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8277F" w14:textId="77777777" w:rsidR="00555DB3" w:rsidRDefault="00555DB3">
      <w:pPr>
        <w:pBdr>
          <w:top w:val="nil"/>
          <w:left w:val="nil"/>
          <w:bottom w:val="nil"/>
          <w:right w:val="nil"/>
          <w:between w:val="nil"/>
        </w:pBdr>
        <w:tabs>
          <w:tab w:val="left" w:pos="8789"/>
        </w:tabs>
        <w:spacing w:line="276" w:lineRule="auto"/>
        <w:jc w:val="center"/>
        <w:rPr>
          <w:rFonts w:eastAsia="Times New Roman"/>
          <w:color w:val="000000"/>
          <w:sz w:val="22"/>
          <w:szCs w:val="22"/>
        </w:rPr>
      </w:pPr>
    </w:p>
    <w:tbl>
      <w:tblPr>
        <w:tblStyle w:val="a"/>
        <w:tblW w:w="8667"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20"/>
      </w:tblGrid>
      <w:tr w:rsidR="00555DB3" w14:paraId="6BDE27DE" w14:textId="77777777">
        <w:tc>
          <w:tcPr>
            <w:tcW w:w="8647" w:type="dxa"/>
            <w:gridSpan w:val="2"/>
            <w:tcBorders>
              <w:top w:val="single" w:sz="4" w:space="0" w:color="000000"/>
              <w:bottom w:val="single" w:sz="4" w:space="0" w:color="000000"/>
            </w:tcBorders>
          </w:tcPr>
          <w:p w14:paraId="44200AA7" w14:textId="77777777" w:rsidR="00555DB3" w:rsidRDefault="00087212">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r>
              <w:rPr>
                <w:noProof/>
              </w:rPr>
              <w:drawing>
                <wp:anchor distT="0" distB="0" distL="114300" distR="114300" simplePos="0" relativeHeight="251658240" behindDoc="0" locked="0" layoutInCell="1" hidden="0" allowOverlap="1" wp14:anchorId="53E9FF39" wp14:editId="52F11675">
                  <wp:simplePos x="0" y="0"/>
                  <wp:positionH relativeFrom="column">
                    <wp:posOffset>34291</wp:posOffset>
                  </wp:positionH>
                  <wp:positionV relativeFrom="paragraph">
                    <wp:posOffset>234950</wp:posOffset>
                  </wp:positionV>
                  <wp:extent cx="733425" cy="733425"/>
                  <wp:effectExtent l="0" t="0" r="0" b="0"/>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p w14:paraId="1C458881" w14:textId="77777777" w:rsidR="00555DB3" w:rsidRDefault="00087212">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05F75DCD" wp14:editId="7DD62609">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514D39A1" w14:textId="77777777" w:rsidR="00555DB3" w:rsidRDefault="00087212">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w:pict>
                    <v:rect w14:anchorId="05F75DCD"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" strokecolor="white [3201]">
                      <v:stroke startarrowwidth="narrow" startarrowlength="short" endarrowwidth="narrow" endarrowlength="short"/>
                      <v:textbox inset="2.53958mm,1.2694mm,2.53958mm,1.2694mm">
                        <w:txbxContent>
                          <w:p w14:paraId="514D39A1" w14:textId="77777777" w:rsidR="00555DB3" w:rsidRDefault="00087212">
                            <w:pPr>
                              <w:jc w:val="center"/>
                              <w:textDirection w:val="btLr"/>
                            </w:pPr>
                            <w:r>
                              <w:rPr>
                                <w:rFonts w:ascii="Georgia" w:eastAsia="Georgia" w:hAnsi="Georgia" w:cs="Georgia"/>
                                <w:color w:val="000000"/>
                                <w:sz w:val="28"/>
                              </w:rPr>
                              <w:t>Sekolah Tinggi Teologi Arrabona Bogor</w:t>
                            </w:r>
                          </w:p>
                        </w:txbxContent>
                      </v:textbox>
                    </v:rect>
                  </w:pict>
                </mc:Fallback>
              </mc:AlternateContent>
            </w:r>
          </w:p>
          <w:p w14:paraId="32927C8E" w14:textId="77777777" w:rsidR="00555DB3" w:rsidRDefault="00087212">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38C11633" w14:textId="77777777" w:rsidR="00555DB3" w:rsidRDefault="006117DD">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00087212">
                <w:rPr>
                  <w:rFonts w:ascii="Lustria" w:eastAsia="Lustria" w:hAnsi="Lustria" w:cs="Lustria"/>
                  <w:color w:val="0000FF"/>
                  <w:sz w:val="20"/>
                  <w:szCs w:val="20"/>
                  <w:u w:val="single"/>
                </w:rPr>
                <w:t>https://jurnal.sttarrabona.ac.id/JurnalSTTA/</w:t>
              </w:r>
            </w:hyperlink>
          </w:p>
          <w:p w14:paraId="627D685C" w14:textId="375F9F8E" w:rsidR="00555DB3" w:rsidRDefault="00087212">
            <w:pPr>
              <w:pBdr>
                <w:top w:val="nil"/>
                <w:left w:val="nil"/>
                <w:bottom w:val="nil"/>
                <w:right w:val="nil"/>
                <w:between w:val="nil"/>
              </w:pBdr>
              <w:spacing w:line="276" w:lineRule="auto"/>
              <w:ind w:left="4678"/>
              <w:rPr>
                <w:rFonts w:eastAsia="Times New Roman"/>
                <w:color w:val="000000"/>
              </w:rPr>
            </w:pPr>
            <w:r>
              <w:rPr>
                <w:rFonts w:eastAsia="Times New Roman"/>
                <w:color w:val="000000"/>
              </w:rPr>
              <w:t>Vol. No.</w:t>
            </w:r>
          </w:p>
        </w:tc>
        <w:tc>
          <w:tcPr>
            <w:tcW w:w="20" w:type="dxa"/>
            <w:tcBorders>
              <w:top w:val="single" w:sz="4" w:space="0" w:color="000000"/>
              <w:bottom w:val="single" w:sz="4" w:space="0" w:color="000000"/>
            </w:tcBorders>
          </w:tcPr>
          <w:p w14:paraId="0019765B" w14:textId="77777777" w:rsidR="00555DB3" w:rsidRDefault="00555DB3">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555DB3" w14:paraId="2EA16F98" w14:textId="77777777">
        <w:tc>
          <w:tcPr>
            <w:tcW w:w="8667" w:type="dxa"/>
            <w:gridSpan w:val="3"/>
            <w:tcBorders>
              <w:top w:val="single" w:sz="4" w:space="0" w:color="000000"/>
              <w:bottom w:val="single" w:sz="4" w:space="0" w:color="000000"/>
            </w:tcBorders>
          </w:tcPr>
          <w:p w14:paraId="26D017A2" w14:textId="10F489DE" w:rsidR="00555DB3" w:rsidRDefault="00555DB3" w:rsidP="009472AA">
            <w:pPr>
              <w:pBdr>
                <w:top w:val="nil"/>
                <w:left w:val="nil"/>
                <w:bottom w:val="nil"/>
                <w:right w:val="nil"/>
                <w:between w:val="nil"/>
              </w:pBdr>
              <w:spacing w:line="276" w:lineRule="auto"/>
              <w:rPr>
                <w:rFonts w:eastAsia="Times New Roman"/>
                <w:b/>
                <w:color w:val="000000"/>
              </w:rPr>
            </w:pPr>
          </w:p>
          <w:p w14:paraId="2F16496A" w14:textId="77777777" w:rsidR="008309BA" w:rsidRPr="008309BA" w:rsidRDefault="008309BA" w:rsidP="008309BA">
            <w:pPr>
              <w:pBdr>
                <w:top w:val="nil"/>
                <w:left w:val="nil"/>
                <w:bottom w:val="nil"/>
                <w:right w:val="nil"/>
                <w:between w:val="nil"/>
              </w:pBdr>
              <w:spacing w:line="276" w:lineRule="auto"/>
              <w:jc w:val="center"/>
              <w:rPr>
                <w:rFonts w:eastAsia="Times New Roman"/>
                <w:b/>
                <w:color w:val="000000"/>
              </w:rPr>
            </w:pPr>
            <w:r w:rsidRPr="008309BA">
              <w:rPr>
                <w:rFonts w:eastAsia="Times New Roman"/>
                <w:b/>
                <w:color w:val="000000"/>
              </w:rPr>
              <w:t>SINKRETISME DALAM KITAB HAKIM-HAKIM:</w:t>
            </w:r>
          </w:p>
          <w:p w14:paraId="1059C8E4" w14:textId="050B38F5" w:rsidR="000611DD" w:rsidRDefault="008309BA" w:rsidP="008309BA">
            <w:pPr>
              <w:pBdr>
                <w:top w:val="nil"/>
                <w:left w:val="nil"/>
                <w:bottom w:val="nil"/>
                <w:right w:val="nil"/>
                <w:between w:val="nil"/>
              </w:pBdr>
              <w:spacing w:line="276" w:lineRule="auto"/>
              <w:jc w:val="center"/>
              <w:rPr>
                <w:rFonts w:eastAsia="Times New Roman"/>
                <w:b/>
                <w:color w:val="000000"/>
              </w:rPr>
            </w:pPr>
            <w:r w:rsidRPr="008309BA">
              <w:rPr>
                <w:rFonts w:eastAsia="Times New Roman"/>
                <w:b/>
                <w:color w:val="000000"/>
              </w:rPr>
              <w:t>ANALISIS TEOLOGIS DAN RELEVANSI BAGI GEREJA MASA KINI</w:t>
            </w:r>
          </w:p>
          <w:p w14:paraId="21CAFFD9" w14:textId="77777777" w:rsidR="007E6D59" w:rsidRPr="007E6D59" w:rsidRDefault="007E6D59" w:rsidP="007E6D59">
            <w:pPr>
              <w:widowControl w:val="0"/>
              <w:pBdr>
                <w:top w:val="nil"/>
                <w:left w:val="nil"/>
                <w:bottom w:val="nil"/>
                <w:right w:val="nil"/>
                <w:between w:val="nil"/>
              </w:pBdr>
              <w:spacing w:before="15"/>
              <w:ind w:right="391" w:firstLine="567"/>
              <w:jc w:val="center"/>
              <w:rPr>
                <w:rFonts w:eastAsia="Calibri"/>
                <w:b/>
                <w:bCs/>
                <w:i/>
                <w:iCs/>
                <w:color w:val="000000"/>
                <w:sz w:val="28"/>
                <w:szCs w:val="28"/>
                <w:vertAlign w:val="superscript"/>
                <w:lang w:val="id-ID"/>
              </w:rPr>
            </w:pPr>
            <w:r w:rsidRPr="007E6D59">
              <w:rPr>
                <w:rFonts w:eastAsia="Calibri"/>
                <w:b/>
                <w:bCs/>
                <w:i/>
                <w:iCs/>
                <w:color w:val="000000"/>
                <w:sz w:val="28"/>
                <w:szCs w:val="28"/>
                <w:lang w:val="id-ID"/>
              </w:rPr>
              <w:t>Denyka Munthe</w:t>
            </w:r>
            <w:r w:rsidRPr="007E6D59">
              <w:rPr>
                <w:rFonts w:eastAsia="Calibri"/>
                <w:b/>
                <w:bCs/>
                <w:i/>
                <w:iCs/>
                <w:color w:val="000000"/>
                <w:sz w:val="28"/>
                <w:szCs w:val="28"/>
                <w:vertAlign w:val="superscript"/>
                <w:lang w:val="id-ID"/>
              </w:rPr>
              <w:t xml:space="preserve">1 </w:t>
            </w:r>
            <w:r w:rsidRPr="007E6D59">
              <w:rPr>
                <w:rFonts w:eastAsia="Calibri"/>
                <w:b/>
                <w:bCs/>
                <w:i/>
                <w:iCs/>
                <w:color w:val="000000"/>
                <w:sz w:val="28"/>
                <w:szCs w:val="28"/>
                <w:lang w:val="id-ID"/>
              </w:rPr>
              <w:t>Edriger</w:t>
            </w:r>
            <w:r w:rsidRPr="007E6D59">
              <w:rPr>
                <w:rFonts w:eastAsia="Calibri"/>
                <w:b/>
                <w:bCs/>
                <w:i/>
                <w:iCs/>
                <w:color w:val="000000"/>
                <w:sz w:val="28"/>
                <w:szCs w:val="28"/>
                <w:vertAlign w:val="superscript"/>
                <w:lang w:val="id-ID"/>
              </w:rPr>
              <w:t xml:space="preserve">2 </w:t>
            </w:r>
            <w:r w:rsidRPr="007E6D59">
              <w:rPr>
                <w:rFonts w:eastAsia="Calibri"/>
                <w:b/>
                <w:bCs/>
                <w:i/>
                <w:iCs/>
                <w:color w:val="000000"/>
                <w:sz w:val="28"/>
                <w:szCs w:val="28"/>
                <w:lang w:val="id-ID"/>
              </w:rPr>
              <w:t>Refamati Gulo</w:t>
            </w:r>
            <w:r w:rsidRPr="007E6D59">
              <w:rPr>
                <w:rFonts w:eastAsia="Calibri"/>
                <w:b/>
                <w:bCs/>
                <w:i/>
                <w:iCs/>
                <w:color w:val="000000"/>
                <w:sz w:val="28"/>
                <w:szCs w:val="28"/>
                <w:vertAlign w:val="superscript"/>
                <w:lang w:val="id-ID"/>
              </w:rPr>
              <w:t>3</w:t>
            </w:r>
          </w:p>
          <w:p w14:paraId="03C5E73A" w14:textId="4E4EFD6B" w:rsidR="007E6D59" w:rsidRPr="007E6D59" w:rsidRDefault="007E6D59" w:rsidP="007E6D59">
            <w:pPr>
              <w:widowControl w:val="0"/>
              <w:pBdr>
                <w:top w:val="nil"/>
                <w:left w:val="nil"/>
                <w:bottom w:val="nil"/>
                <w:right w:val="nil"/>
                <w:between w:val="nil"/>
              </w:pBdr>
              <w:spacing w:before="15"/>
              <w:ind w:right="391" w:firstLine="567"/>
              <w:jc w:val="center"/>
              <w:rPr>
                <w:rFonts w:eastAsia="Calibri"/>
                <w:i/>
                <w:iCs/>
                <w:color w:val="000000"/>
                <w:lang w:val="id-ID"/>
              </w:rPr>
            </w:pPr>
            <w:bookmarkStart w:id="0" w:name="_Hlk181196654"/>
            <w:r w:rsidRPr="007E6D59">
              <w:rPr>
                <w:rFonts w:eastAsia="Calibri"/>
                <w:i/>
                <w:iCs/>
                <w:color w:val="000000"/>
                <w:vertAlign w:val="superscript"/>
                <w:lang w:val="id-ID"/>
              </w:rPr>
              <w:t>12</w:t>
            </w:r>
            <w:r w:rsidR="000611DD">
              <w:rPr>
                <w:rFonts w:eastAsia="Calibri"/>
                <w:i/>
                <w:iCs/>
                <w:color w:val="000000"/>
                <w:vertAlign w:val="superscript"/>
              </w:rPr>
              <w:t>3</w:t>
            </w:r>
            <w:r w:rsidRPr="007E6D59">
              <w:rPr>
                <w:rFonts w:eastAsia="Calibri"/>
                <w:i/>
                <w:iCs/>
                <w:color w:val="000000"/>
                <w:lang w:val="id-ID"/>
              </w:rPr>
              <w:t>Mahasiswa Sekolah Tinggi Teologi Rajawali Arastamar Indonesia Batam</w:t>
            </w:r>
          </w:p>
          <w:bookmarkEnd w:id="0"/>
          <w:p w14:paraId="07C3D585" w14:textId="12A174DE" w:rsidR="007E6D59" w:rsidRPr="007E6D59" w:rsidRDefault="007E6D59" w:rsidP="007E6D59">
            <w:pPr>
              <w:widowControl w:val="0"/>
              <w:pBdr>
                <w:top w:val="nil"/>
                <w:left w:val="nil"/>
                <w:bottom w:val="nil"/>
                <w:right w:val="nil"/>
                <w:between w:val="nil"/>
              </w:pBdr>
              <w:spacing w:before="15"/>
              <w:ind w:right="391" w:firstLine="567"/>
              <w:jc w:val="center"/>
              <w:rPr>
                <w:rFonts w:eastAsia="Calibri"/>
                <w:i/>
                <w:iCs/>
                <w:lang w:val="id-ID"/>
              </w:rPr>
            </w:pPr>
            <w:r w:rsidRPr="007E6D59">
              <w:rPr>
                <w:i/>
                <w:iCs/>
                <w:lang w:val="id-ID"/>
              </w:rPr>
              <w:t xml:space="preserve">Email: </w:t>
            </w:r>
            <w:hyperlink r:id="rId10" w:history="1">
              <w:r w:rsidR="000611DD" w:rsidRPr="00976C26">
                <w:rPr>
                  <w:rStyle w:val="Hyperlink"/>
                  <w:i/>
                  <w:iCs/>
                </w:rPr>
                <w:t>refamatigulo@gmail.com</w:t>
              </w:r>
            </w:hyperlink>
          </w:p>
          <w:p w14:paraId="32A9940C" w14:textId="77777777" w:rsidR="00555DB3" w:rsidRDefault="00555DB3">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555DB3" w14:paraId="68BB64F3" w14:textId="77777777">
        <w:tc>
          <w:tcPr>
            <w:tcW w:w="2160" w:type="dxa"/>
            <w:tcBorders>
              <w:top w:val="single" w:sz="4" w:space="0" w:color="000000"/>
              <w:bottom w:val="single" w:sz="4" w:space="0" w:color="000000"/>
            </w:tcBorders>
          </w:tcPr>
          <w:p w14:paraId="0242EEE4" w14:textId="77777777" w:rsidR="00555DB3" w:rsidRDefault="00555DB3">
            <w:pPr>
              <w:pBdr>
                <w:top w:val="nil"/>
                <w:left w:val="nil"/>
                <w:bottom w:val="nil"/>
                <w:right w:val="nil"/>
                <w:between w:val="nil"/>
              </w:pBdr>
              <w:rPr>
                <w:rFonts w:ascii="Lustria" w:eastAsia="Lustria" w:hAnsi="Lustria" w:cs="Lustria"/>
                <w:b/>
                <w:color w:val="000000"/>
                <w:sz w:val="36"/>
                <w:szCs w:val="36"/>
                <w:vertAlign w:val="subscript"/>
              </w:rPr>
            </w:pPr>
          </w:p>
          <w:p w14:paraId="0CA5DEC9" w14:textId="63EDFF0E" w:rsidR="00555DB3" w:rsidRDefault="00555DB3">
            <w:pPr>
              <w:pBdr>
                <w:top w:val="nil"/>
                <w:left w:val="nil"/>
                <w:bottom w:val="nil"/>
                <w:right w:val="nil"/>
                <w:between w:val="nil"/>
              </w:pBdr>
              <w:rPr>
                <w:rFonts w:ascii="Lustria" w:eastAsia="Lustria" w:hAnsi="Lustria" w:cs="Lustria"/>
                <w:b/>
                <w:color w:val="000000"/>
                <w:sz w:val="36"/>
                <w:szCs w:val="36"/>
                <w:vertAlign w:val="subscript"/>
              </w:rPr>
            </w:pPr>
          </w:p>
          <w:p w14:paraId="3C5E9DA5" w14:textId="14D28974" w:rsidR="004945AB" w:rsidRDefault="004945AB">
            <w:pPr>
              <w:pBdr>
                <w:top w:val="nil"/>
                <w:left w:val="nil"/>
                <w:bottom w:val="nil"/>
                <w:right w:val="nil"/>
                <w:between w:val="nil"/>
              </w:pBdr>
              <w:rPr>
                <w:rFonts w:ascii="Lustria" w:eastAsia="Lustria" w:hAnsi="Lustria" w:cs="Lustria"/>
                <w:b/>
                <w:color w:val="000000"/>
                <w:sz w:val="36"/>
                <w:szCs w:val="36"/>
                <w:vertAlign w:val="subscript"/>
              </w:rPr>
            </w:pPr>
          </w:p>
          <w:p w14:paraId="6BEFD7B1" w14:textId="6B32961D" w:rsidR="004945AB" w:rsidRDefault="004945AB">
            <w:pPr>
              <w:pBdr>
                <w:top w:val="nil"/>
                <w:left w:val="nil"/>
                <w:bottom w:val="nil"/>
                <w:right w:val="nil"/>
                <w:between w:val="nil"/>
              </w:pBdr>
              <w:rPr>
                <w:rFonts w:ascii="Lustria" w:eastAsia="Lustria" w:hAnsi="Lustria" w:cs="Lustria"/>
                <w:b/>
                <w:color w:val="000000"/>
                <w:sz w:val="36"/>
                <w:szCs w:val="36"/>
                <w:vertAlign w:val="subscript"/>
              </w:rPr>
            </w:pPr>
          </w:p>
          <w:p w14:paraId="0EB5B745" w14:textId="6C4498B9" w:rsidR="004945AB" w:rsidRDefault="004945AB">
            <w:pPr>
              <w:pBdr>
                <w:top w:val="nil"/>
                <w:left w:val="nil"/>
                <w:bottom w:val="nil"/>
                <w:right w:val="nil"/>
                <w:between w:val="nil"/>
              </w:pBdr>
              <w:rPr>
                <w:rFonts w:ascii="Lustria" w:eastAsia="Lustria" w:hAnsi="Lustria" w:cs="Lustria"/>
                <w:b/>
                <w:color w:val="000000"/>
                <w:sz w:val="36"/>
                <w:szCs w:val="36"/>
                <w:vertAlign w:val="subscript"/>
              </w:rPr>
            </w:pPr>
          </w:p>
          <w:p w14:paraId="1EA3D610" w14:textId="0E57EA2C" w:rsidR="004945AB" w:rsidRDefault="004945AB">
            <w:pPr>
              <w:pBdr>
                <w:top w:val="nil"/>
                <w:left w:val="nil"/>
                <w:bottom w:val="nil"/>
                <w:right w:val="nil"/>
                <w:between w:val="nil"/>
              </w:pBdr>
              <w:rPr>
                <w:rFonts w:ascii="Lustria" w:eastAsia="Lustria" w:hAnsi="Lustria" w:cs="Lustria"/>
                <w:b/>
                <w:color w:val="000000"/>
                <w:sz w:val="36"/>
                <w:szCs w:val="36"/>
                <w:vertAlign w:val="subscript"/>
              </w:rPr>
            </w:pPr>
          </w:p>
          <w:p w14:paraId="5DBF62F7" w14:textId="77777777" w:rsidR="004945AB" w:rsidRDefault="004945AB">
            <w:pPr>
              <w:pBdr>
                <w:top w:val="nil"/>
                <w:left w:val="nil"/>
                <w:bottom w:val="nil"/>
                <w:right w:val="nil"/>
                <w:between w:val="nil"/>
              </w:pBdr>
              <w:rPr>
                <w:rFonts w:ascii="Lustria" w:eastAsia="Lustria" w:hAnsi="Lustria" w:cs="Lustria"/>
                <w:b/>
                <w:color w:val="000000"/>
                <w:sz w:val="36"/>
                <w:szCs w:val="36"/>
                <w:vertAlign w:val="subscript"/>
              </w:rPr>
            </w:pPr>
          </w:p>
          <w:p w14:paraId="5260714D" w14:textId="77777777" w:rsidR="00555DB3" w:rsidRDefault="00087212">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58E77E39" w14:textId="77777777" w:rsidR="00555DB3" w:rsidRDefault="00087212">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43E23616" w14:textId="77777777" w:rsidR="00555DB3" w:rsidRDefault="00087212">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5841BA9D" w14:textId="16D51FC7" w:rsidR="00555DB3" w:rsidRDefault="00087212">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 </w:t>
            </w:r>
          </w:p>
          <w:p w14:paraId="6CA103F5" w14:textId="763667AD" w:rsidR="00555DB3" w:rsidRDefault="00087212">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 </w:t>
            </w:r>
          </w:p>
          <w:p w14:paraId="7821AF8F" w14:textId="28A0C2EF" w:rsidR="00555DB3" w:rsidRDefault="00087212">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p>
          <w:p w14:paraId="3F58EDF8" w14:textId="42C6F810" w:rsidR="00555DB3" w:rsidRDefault="00087212">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p>
          <w:p w14:paraId="51AE2805" w14:textId="77777777" w:rsidR="00555DB3" w:rsidRDefault="00087212">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21423B5C" w14:textId="77777777" w:rsidR="00555DB3" w:rsidRDefault="00555DB3">
            <w:pPr>
              <w:pBdr>
                <w:top w:val="nil"/>
                <w:left w:val="nil"/>
                <w:bottom w:val="nil"/>
                <w:right w:val="nil"/>
                <w:between w:val="nil"/>
              </w:pBdr>
              <w:spacing w:line="276" w:lineRule="auto"/>
              <w:rPr>
                <w:rFonts w:ascii="Lustria" w:eastAsia="Lustria" w:hAnsi="Lustria" w:cs="Lustria"/>
                <w:i/>
                <w:color w:val="000000"/>
                <w:sz w:val="16"/>
                <w:szCs w:val="16"/>
              </w:rPr>
            </w:pPr>
          </w:p>
        </w:tc>
        <w:tc>
          <w:tcPr>
            <w:tcW w:w="6507" w:type="dxa"/>
            <w:gridSpan w:val="2"/>
            <w:tcBorders>
              <w:top w:val="single" w:sz="4" w:space="0" w:color="000000"/>
              <w:bottom w:val="single" w:sz="4" w:space="0" w:color="000000"/>
            </w:tcBorders>
          </w:tcPr>
          <w:p w14:paraId="04EBEF59" w14:textId="77777777" w:rsidR="00555DB3" w:rsidRDefault="00087212">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6A49E246" w14:textId="060EF49E" w:rsidR="00555DB3" w:rsidRPr="000611DD" w:rsidRDefault="007E6D59" w:rsidP="000611DD">
            <w:pPr>
              <w:pBdr>
                <w:top w:val="nil"/>
                <w:left w:val="nil"/>
                <w:bottom w:val="nil"/>
                <w:right w:val="nil"/>
                <w:between w:val="nil"/>
              </w:pBdr>
              <w:ind w:left="390"/>
              <w:jc w:val="both"/>
              <w:rPr>
                <w:rFonts w:eastAsia="Times New Roman"/>
                <w:sz w:val="22"/>
                <w:szCs w:val="22"/>
                <w:lang w:val="en-ID"/>
              </w:rPr>
            </w:pPr>
            <w:r w:rsidRPr="007E6D59">
              <w:rPr>
                <w:rFonts w:eastAsia="Times New Roman"/>
                <w:sz w:val="22"/>
                <w:szCs w:val="22"/>
                <w:lang w:val="en-ID"/>
              </w:rPr>
              <w:t>Sinkretisme dalam Kitab Hakim-Hakim dilatarbelakangi oleh kegagalan bangsa Israel dalam sepenuhnya mengusir bangsa-bangsa Kanaan dari tanah perjanjian, sehingga terjadi asimilasi budaya dan agama. Kondisi ini menyebabkan bangsa Israel berpikir untuk melakukan penyembahan kepada Allah dengan melakukan praktik keagamaan kafir, seperti penyembahan kepada Baal dan Asyera. Fenomena sinkretisme ini tidak hanya mencerminkan ketidaksetiaan umat terhadap perjanjian Allah, namun juga mengakibatkan kemerosotan moral dan spiritual yang parah. Penelitian ini bertujuan untuk menganalisis dinamika sinkretisme yang terjadi dalam Kitab Hakim-Hakim serta mengeksplorasi relevansinya bagi gereja masa kini dalam menjaga kemurnian iman di tengah pluralitas budaya dan agama.</w:t>
            </w:r>
            <w:r w:rsidRPr="007E6D59">
              <w:rPr>
                <w:rFonts w:eastAsia="Calibri"/>
                <w:b/>
                <w:color w:val="000000"/>
                <w:sz w:val="22"/>
                <w:szCs w:val="22"/>
              </w:rPr>
              <w:t xml:space="preserve"> </w:t>
            </w:r>
            <w:r w:rsidRPr="007E6D59">
              <w:rPr>
                <w:rFonts w:eastAsia="Times New Roman"/>
                <w:sz w:val="22"/>
                <w:szCs w:val="22"/>
                <w:lang w:val="en-ID"/>
              </w:rPr>
              <w:t>Penelitian ini menggunakan metode kualitatif dengan pendekatan teologis-historis, melalui analisis naratif terhadap teks Kitab Hakim-Hakim. Pendekatan ini bertujuan untuk menggali motif teologis di balik tindakan sinkretisme yang dilakukan oleh bangsa Israel dan bagaimana respon Allah terhadap pelanggaran ini. Data dikumpulkan melalui studi literatur yang mencakup sumber-sumber primer Alkitab dan sumber sekunder berupa jurnal akademik serta buku-buku teologi.</w:t>
            </w:r>
            <w:r w:rsidR="000611DD">
              <w:rPr>
                <w:rFonts w:eastAsia="Times New Roman"/>
                <w:sz w:val="22"/>
                <w:szCs w:val="22"/>
                <w:lang w:val="en-ID"/>
              </w:rPr>
              <w:t xml:space="preserve"> </w:t>
            </w:r>
            <w:r w:rsidRPr="007E6D59">
              <w:rPr>
                <w:rFonts w:eastAsia="Times New Roman"/>
                <w:sz w:val="22"/>
                <w:szCs w:val="22"/>
                <w:lang w:val="en-ID"/>
              </w:rPr>
              <w:t>Hasil penelitian menunjukkan bahwa sinkretisme dalam Kitab Hakim-Hakim tidak hanya berdampak pada kerusakan spiritual umat, tetapi juga pada disintegrasi sosial dan politik Israel. Temuan ini relevan bagi gereja masa kini untuk mewaspadai bahaya sinkretisme modern, yang seringkali hadir dalam bentuk kompromi teologis dan adaptasi budaya yang tidak sejalan dengan ajaran Alkitab. Dengan memahami pelajaran dari Kitab Hakim-Hakim, gereja dapat memperkuat komitmennya dalam menjaga kemurnian iman dan integritas doktrin di tengah tantangan zaman.</w:t>
            </w:r>
          </w:p>
          <w:p w14:paraId="2F7A996E" w14:textId="77777777" w:rsidR="00555DB3" w:rsidRDefault="00087212">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15FC5FD" w14:textId="77777777" w:rsidR="007E6D59" w:rsidRDefault="00087212">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41802272" w14:textId="2CAD869D" w:rsidR="00555DB3" w:rsidRPr="007E6D59" w:rsidRDefault="007E6D59">
            <w:pPr>
              <w:pBdr>
                <w:top w:val="nil"/>
                <w:left w:val="nil"/>
                <w:bottom w:val="nil"/>
                <w:right w:val="nil"/>
                <w:between w:val="nil"/>
              </w:pBdr>
              <w:rPr>
                <w:rFonts w:eastAsia="Times New Roman"/>
                <w:bCs/>
                <w:i/>
                <w:color w:val="000000"/>
                <w:sz w:val="22"/>
                <w:szCs w:val="22"/>
              </w:rPr>
            </w:pPr>
            <w:r w:rsidRPr="007E6D59">
              <w:rPr>
                <w:rFonts w:eastAsia="Times New Roman"/>
                <w:bCs/>
                <w:iCs/>
                <w:color w:val="000000"/>
                <w:sz w:val="22"/>
                <w:szCs w:val="22"/>
                <w:lang w:val="id-ID"/>
              </w:rPr>
              <w:t>Sinkretisme, Kitab Hakim-Hakim, Israel, Iman Kristen, Kesetiaan.</w:t>
            </w:r>
          </w:p>
          <w:p w14:paraId="6BB646A1" w14:textId="77777777" w:rsidR="00555DB3" w:rsidRDefault="00087212">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4AC078D0" w14:textId="6DF74320" w:rsidR="00555DB3" w:rsidRDefault="00555DB3">
            <w:pPr>
              <w:pBdr>
                <w:top w:val="nil"/>
                <w:left w:val="nil"/>
                <w:bottom w:val="nil"/>
                <w:right w:val="nil"/>
                <w:between w:val="nil"/>
              </w:pBdr>
              <w:spacing w:line="276" w:lineRule="auto"/>
              <w:jc w:val="both"/>
              <w:rPr>
                <w:rFonts w:eastAsia="Times New Roman"/>
                <w:color w:val="000000"/>
                <w:sz w:val="22"/>
                <w:szCs w:val="22"/>
              </w:rPr>
            </w:pPr>
          </w:p>
          <w:p w14:paraId="41D7157E" w14:textId="736047C8" w:rsidR="001938A4" w:rsidRDefault="001938A4">
            <w:pPr>
              <w:pBdr>
                <w:top w:val="nil"/>
                <w:left w:val="nil"/>
                <w:bottom w:val="nil"/>
                <w:right w:val="nil"/>
                <w:between w:val="nil"/>
              </w:pBdr>
              <w:spacing w:line="276" w:lineRule="auto"/>
              <w:jc w:val="both"/>
              <w:rPr>
                <w:rFonts w:eastAsia="Times New Roman"/>
                <w:color w:val="000000"/>
                <w:sz w:val="22"/>
                <w:szCs w:val="22"/>
              </w:rPr>
            </w:pPr>
          </w:p>
          <w:p w14:paraId="4FAEA8A9" w14:textId="77777777" w:rsidR="001938A4" w:rsidRDefault="001938A4">
            <w:pPr>
              <w:pBdr>
                <w:top w:val="nil"/>
                <w:left w:val="nil"/>
                <w:bottom w:val="nil"/>
                <w:right w:val="nil"/>
                <w:between w:val="nil"/>
              </w:pBdr>
              <w:spacing w:line="276" w:lineRule="auto"/>
              <w:jc w:val="both"/>
              <w:rPr>
                <w:rFonts w:eastAsia="Times New Roman"/>
                <w:color w:val="000000"/>
                <w:sz w:val="22"/>
                <w:szCs w:val="22"/>
              </w:rPr>
            </w:pPr>
          </w:p>
          <w:p w14:paraId="54E793CF" w14:textId="77777777" w:rsidR="00555DB3" w:rsidRDefault="00087212">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lastRenderedPageBreak/>
              <w:t>ABSTRACT</w:t>
            </w:r>
          </w:p>
          <w:p w14:paraId="531E5AA5" w14:textId="77777777" w:rsidR="00555DB3" w:rsidRDefault="00087212">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2FE5EF47" w14:textId="2563D8EA" w:rsidR="007E6D59" w:rsidRPr="007E6D59" w:rsidRDefault="007E6D59" w:rsidP="003227D2">
            <w:pPr>
              <w:pBdr>
                <w:top w:val="nil"/>
                <w:left w:val="nil"/>
                <w:bottom w:val="nil"/>
                <w:right w:val="nil"/>
                <w:between w:val="nil"/>
              </w:pBdr>
              <w:ind w:left="390"/>
              <w:jc w:val="both"/>
              <w:rPr>
                <w:rFonts w:eastAsia="Calibri"/>
                <w:i/>
                <w:iCs/>
                <w:color w:val="000000"/>
                <w:sz w:val="22"/>
                <w:szCs w:val="22"/>
              </w:rPr>
            </w:pPr>
            <w:r w:rsidRPr="007E6D59">
              <w:rPr>
                <w:rFonts w:eastAsia="Calibri"/>
                <w:i/>
                <w:iCs/>
                <w:color w:val="000000"/>
                <w:sz w:val="22"/>
                <w:szCs w:val="22"/>
              </w:rPr>
              <w:t>The syncretism in the Book of Judges is motivated by the failure of the Israelites to completely expel the Canaanite nations from the promised land, resulting in cultural and religious assimilation. This condition caused the Israelites to think about worshiping God by carrying out pagan religious practices, such as worshiping Baal and Asherah. This syncretism phenomenon not only reflects the people's disloyalty to God's covenant, but also results in serious moral and spiritual decline. This research aims to analyze the dynamics of syncretism that occur in the Book of Judges and explore its relevance for the church today in maintaining the purity of faith amidst cultural and religious plurality.</w:t>
            </w:r>
            <w:r w:rsidR="003227D2">
              <w:rPr>
                <w:rFonts w:eastAsia="Calibri"/>
                <w:i/>
                <w:iCs/>
                <w:color w:val="000000"/>
                <w:sz w:val="22"/>
                <w:szCs w:val="22"/>
              </w:rPr>
              <w:t xml:space="preserve"> </w:t>
            </w:r>
            <w:r w:rsidRPr="007E6D59">
              <w:rPr>
                <w:rFonts w:eastAsia="Calibri"/>
                <w:i/>
                <w:iCs/>
                <w:color w:val="000000"/>
                <w:sz w:val="22"/>
                <w:szCs w:val="22"/>
              </w:rPr>
              <w:t>This research uses qualitative methods with a theological-historical approach, through narrative analysis of the text of the Book of Judges. This approach aims to explore the theological motives behind the acts of syncretism carried out by the Israelites and how God responded to these violations. Data was collected through literature studies which included primary sources from the Bible and secondary sources in the form of academic journals and theological books.</w:t>
            </w:r>
            <w:r w:rsidR="003227D2">
              <w:rPr>
                <w:rFonts w:eastAsia="Calibri"/>
                <w:i/>
                <w:iCs/>
                <w:color w:val="000000"/>
                <w:sz w:val="22"/>
                <w:szCs w:val="22"/>
              </w:rPr>
              <w:t xml:space="preserve"> </w:t>
            </w:r>
            <w:r w:rsidRPr="007E6D59">
              <w:rPr>
                <w:rFonts w:eastAsia="Calibri"/>
                <w:i/>
                <w:iCs/>
                <w:color w:val="000000"/>
                <w:sz w:val="22"/>
                <w:szCs w:val="22"/>
              </w:rPr>
              <w:t>The research results show that syncretism in the Book of Judges not only has an impact on the spiritual damage of the people, but also on the social and political disintegration of Israel. These findings are relevant for today's church to be alert to the dangers of modern syncretism, which often comes in the form of theological compromises and cultural adaptations that are not in line with Biblical teachings. By understanding the lessons from the Book of Judges, the church can strengthen its commitment to maintaining the purity of faith and integrity of doctrine amidst the challenges of the times.</w:t>
            </w:r>
          </w:p>
          <w:p w14:paraId="5B68ACA8" w14:textId="77777777" w:rsidR="00555DB3" w:rsidRDefault="00555DB3">
            <w:pPr>
              <w:pBdr>
                <w:top w:val="nil"/>
                <w:left w:val="nil"/>
                <w:bottom w:val="nil"/>
                <w:right w:val="nil"/>
                <w:between w:val="nil"/>
              </w:pBdr>
              <w:rPr>
                <w:rFonts w:eastAsia="Times New Roman"/>
                <w:i/>
                <w:color w:val="000000"/>
                <w:sz w:val="22"/>
                <w:szCs w:val="22"/>
              </w:rPr>
            </w:pPr>
          </w:p>
          <w:p w14:paraId="59B4918E" w14:textId="77777777" w:rsidR="00555DB3" w:rsidRDefault="00087212">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7F40DD55" w14:textId="77777777" w:rsidR="00555DB3" w:rsidRDefault="00087212">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76780388" w14:textId="396E9644" w:rsidR="00555DB3" w:rsidRPr="007E6D59" w:rsidRDefault="007E6D59" w:rsidP="007E6D59">
            <w:pPr>
              <w:pBdr>
                <w:top w:val="nil"/>
                <w:left w:val="nil"/>
                <w:bottom w:val="nil"/>
                <w:right w:val="nil"/>
                <w:between w:val="nil"/>
              </w:pBdr>
              <w:rPr>
                <w:rFonts w:eastAsia="Calibri"/>
                <w:i/>
                <w:iCs/>
                <w:color w:val="000000"/>
                <w:sz w:val="22"/>
                <w:szCs w:val="22"/>
              </w:rPr>
            </w:pPr>
            <w:r w:rsidRPr="007E6D59">
              <w:rPr>
                <w:rFonts w:eastAsia="Calibri"/>
                <w:i/>
                <w:iCs/>
                <w:color w:val="000000"/>
                <w:sz w:val="22"/>
                <w:szCs w:val="22"/>
              </w:rPr>
              <w:t>Syncretism, Book of Judges, Israel, Christian Faith, Faithfulness</w:t>
            </w:r>
            <w:r w:rsidR="00087212" w:rsidRPr="007E6D59">
              <w:rPr>
                <w:rFonts w:eastAsia="Times New Roman"/>
                <w:i/>
                <w:color w:val="000000"/>
                <w:sz w:val="22"/>
                <w:szCs w:val="22"/>
              </w:rPr>
              <w:t>.</w:t>
            </w:r>
          </w:p>
          <w:p w14:paraId="752C69C5" w14:textId="77777777" w:rsidR="00555DB3" w:rsidRDefault="00087212">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43E2A406" w14:textId="77777777" w:rsidR="00555DB3" w:rsidRDefault="00555DB3">
            <w:pPr>
              <w:pBdr>
                <w:top w:val="nil"/>
                <w:left w:val="nil"/>
                <w:bottom w:val="nil"/>
                <w:right w:val="nil"/>
                <w:between w:val="nil"/>
              </w:pBdr>
              <w:jc w:val="both"/>
              <w:rPr>
                <w:rFonts w:ascii="EB Garamond" w:eastAsia="EB Garamond" w:hAnsi="EB Garamond" w:cs="EB Garamond"/>
                <w:color w:val="000000"/>
                <w:sz w:val="20"/>
                <w:szCs w:val="20"/>
              </w:rPr>
            </w:pPr>
          </w:p>
        </w:tc>
      </w:tr>
    </w:tbl>
    <w:p w14:paraId="781CB842" w14:textId="77777777" w:rsidR="00555DB3" w:rsidRDefault="00555DB3">
      <w:pPr>
        <w:pBdr>
          <w:top w:val="nil"/>
          <w:left w:val="nil"/>
          <w:bottom w:val="nil"/>
          <w:right w:val="nil"/>
          <w:between w:val="nil"/>
        </w:pBdr>
        <w:spacing w:line="288" w:lineRule="auto"/>
        <w:rPr>
          <w:rFonts w:ascii="Lustria" w:eastAsia="Lustria" w:hAnsi="Lustria" w:cs="Lustria"/>
          <w:color w:val="000000"/>
          <w:sz w:val="16"/>
          <w:szCs w:val="16"/>
        </w:rPr>
        <w:sectPr w:rsidR="00555DB3">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p>
    <w:p w14:paraId="00D5B118" w14:textId="77777777" w:rsidR="00555DB3" w:rsidRDefault="00555DB3">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555DB3" w14:paraId="1D6FEFE2" w14:textId="77777777">
        <w:tc>
          <w:tcPr>
            <w:tcW w:w="5111" w:type="dxa"/>
            <w:tcBorders>
              <w:top w:val="single" w:sz="4" w:space="0" w:color="000000"/>
            </w:tcBorders>
          </w:tcPr>
          <w:p w14:paraId="20F7959A" w14:textId="77777777" w:rsidR="00555DB3" w:rsidRDefault="00555DB3">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5532EB0B" w14:textId="77777777" w:rsidR="00555DB3" w:rsidRDefault="00555DB3">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23EC3DE0" w14:textId="77777777" w:rsidR="007E6D59" w:rsidRPr="007416AF" w:rsidRDefault="00087212" w:rsidP="007416AF">
      <w:pPr>
        <w:spacing w:line="360" w:lineRule="auto"/>
        <w:jc w:val="both"/>
        <w:rPr>
          <w:b/>
        </w:rPr>
      </w:pPr>
      <w:r w:rsidRPr="007416AF">
        <w:rPr>
          <w:b/>
        </w:rPr>
        <w:t>PENDAHULUAN</w:t>
      </w:r>
    </w:p>
    <w:p w14:paraId="0BB93D52" w14:textId="517F83B3" w:rsidR="007E6D59" w:rsidRPr="007416AF" w:rsidRDefault="007E6D59" w:rsidP="007416AF">
      <w:pPr>
        <w:spacing w:line="360" w:lineRule="auto"/>
        <w:ind w:firstLine="720"/>
        <w:jc w:val="both"/>
        <w:rPr>
          <w:b/>
        </w:rPr>
      </w:pPr>
      <w:r w:rsidRPr="007416AF">
        <w:t>Berdasarkan Kamus Besar Bahasa Indonesia</w:t>
      </w:r>
      <w:r w:rsidRPr="007416AF">
        <w:rPr>
          <w:lang w:val="id-ID"/>
        </w:rPr>
        <w:t xml:space="preserve"> (KBBI)</w:t>
      </w:r>
      <w:r w:rsidRPr="007416AF">
        <w:t xml:space="preserve">, sinkretisme didefinisikan sebagai suatu aliran atau pemahaman baru yang merupakan hasil perpaduan dari berbagai paham yang berbeda, dengan tujuan mencapai harmoni dan keseimbangan. Kata sinkretisme sendiri berakar dari bahasa Yunani </w:t>
      </w:r>
      <w:r w:rsidRPr="007416AF">
        <w:rPr>
          <w:i/>
          <w:iCs/>
        </w:rPr>
        <w:t>synkretismos</w:t>
      </w:r>
      <w:r w:rsidRPr="007416AF">
        <w:t>, yang berarti persatuan atau kebersamaan (dari kata</w:t>
      </w:r>
      <w:r w:rsidRPr="007416AF">
        <w:rPr>
          <w:lang w:val="id-ID"/>
        </w:rPr>
        <w:t xml:space="preserve"> </w:t>
      </w:r>
      <w:r w:rsidRPr="007416AF">
        <w:rPr>
          <w:i/>
          <w:iCs/>
        </w:rPr>
        <w:t>sun</w:t>
      </w:r>
      <w:r w:rsidRPr="007416AF">
        <w:t>). Istilah sinkretisme ini lebih bersifat non-teologis.</w:t>
      </w:r>
      <w:r w:rsidRPr="007416AF">
        <w:rPr>
          <w:rStyle w:val="FootnoteReference"/>
        </w:rPr>
        <w:footnoteReference w:id="1"/>
      </w:r>
      <w:r w:rsidRPr="007416AF">
        <w:rPr>
          <w:lang w:val="id-ID"/>
        </w:rPr>
        <w:t xml:space="preserve"> Secara umum, "sinkretisme" sering kali dipandang secara negatif, karena persepsi tersebut biasanya muncul dari perpaduan antara dua keyakinan iman yang berbeda menjadi satu kesatuan. Misalnya, masyarakat di Jawa yang mematuhi ajaran agama yang mereka anut, namun di sisi lain tetap melaksanakan berbagai ritual kebudayaan tradisional. Contoh kasus semacam ini menjadikan sinkretisme dianggap sebagai sesuatu yang negatif.</w:t>
      </w:r>
      <w:r w:rsidRPr="007416AF">
        <w:rPr>
          <w:rStyle w:val="FootnoteReference"/>
          <w:lang w:val="id-ID"/>
        </w:rPr>
        <w:footnoteReference w:id="2"/>
      </w:r>
      <w:r w:rsidRPr="007416AF">
        <w:rPr>
          <w:lang w:val="id-ID"/>
        </w:rPr>
        <w:t xml:space="preserve"> Dalam Alkitab, sinkretisme seringkali muncul sebagai bentuk kompromi iman yang dilakukan oleh bangsa Israel yang di sebut sebagai bangsa/umat pilihan, dimana umat pilihan tersebut mencampuradukkan penyembahan kepada Tuhan dengan praktik keagamaan asing. </w:t>
      </w:r>
    </w:p>
    <w:p w14:paraId="5C722FB4" w14:textId="77777777" w:rsidR="007E6D59" w:rsidRPr="007416AF" w:rsidRDefault="007E6D59" w:rsidP="007416AF">
      <w:pPr>
        <w:widowControl w:val="0"/>
        <w:pBdr>
          <w:top w:val="nil"/>
          <w:left w:val="nil"/>
          <w:bottom w:val="nil"/>
          <w:right w:val="nil"/>
          <w:between w:val="nil"/>
        </w:pBdr>
        <w:spacing w:line="360" w:lineRule="auto"/>
        <w:ind w:firstLine="720"/>
        <w:jc w:val="both"/>
      </w:pPr>
      <w:r w:rsidRPr="007416AF">
        <w:t>Sinkretisme, atau pencampuran agama, menjadi salah satu isu terbesar yang dihadapi Israel pada periode ini. Sebagai bangsa yang baru saja menetap di tanah Kanaan, Israel berada dalam kondisi yang rentan terhadap pengaruh budaya dan agama setempat, terutama kepercayaan politeistik bangsa Kanaan yang memuja Baal, Asyera, dan dewa-dewa lainnya. Dengan penjelasan tersebut, jelas bahwa makna asli dari istilah "sinkretisme" pada awalnya mengandung pengertian politik. Orang-orang biasa akan mengesampingkan perbedaan pendapat di antara mereka dan bersatu menghadapi ancaman dari luar. Penggunaan awal ini bertolak belakang dengan pendekatan yang lambat terhadap perubahan. Ketika makna ini kemudian masuk ke dalam ranah filsafat dan agama, sinkretisme mulai memperoleh konotasi negatif, seiring dengan munculnya pengaruh eksklusivisme dalam pemikiran agama</w:t>
      </w:r>
      <w:r w:rsidRPr="007416AF">
        <w:rPr>
          <w:lang w:val="id-ID"/>
        </w:rPr>
        <w:t xml:space="preserve">. </w:t>
      </w:r>
    </w:p>
    <w:p w14:paraId="239D0015" w14:textId="77777777" w:rsidR="007E6D59" w:rsidRPr="007416AF" w:rsidRDefault="007E6D59" w:rsidP="007416AF">
      <w:pPr>
        <w:widowControl w:val="0"/>
        <w:pBdr>
          <w:top w:val="nil"/>
          <w:left w:val="nil"/>
          <w:bottom w:val="nil"/>
          <w:right w:val="nil"/>
          <w:between w:val="nil"/>
        </w:pBdr>
        <w:spacing w:line="360" w:lineRule="auto"/>
        <w:ind w:firstLine="720"/>
        <w:jc w:val="both"/>
      </w:pPr>
      <w:r w:rsidRPr="007416AF">
        <w:rPr>
          <w:lang w:val="id-ID"/>
        </w:rPr>
        <w:t xml:space="preserve">Dalam kitab hakim-hakim, sinkretisme menjadi tantangan besar bagi bangsa Israel yang sering terjerumus dalam penyembahan berhala. Fenomena ini dapat dilihat </w:t>
      </w:r>
      <w:r w:rsidRPr="007416AF">
        <w:t>dalam perilaku bangsa Israel yang menyembah Baal dan Asyera, dewa-dewa bangsa Kanaan, meskipun mereka tahu akan perjanjian mereka dengan Yahweh (Hakim-Hakim 2:11-15).</w:t>
      </w:r>
      <w:r w:rsidRPr="007416AF">
        <w:rPr>
          <w:lang w:val="id-ID"/>
        </w:rPr>
        <w:t xml:space="preserve"> </w:t>
      </w:r>
      <w:r w:rsidRPr="007416AF">
        <w:t>Tantangan utama yang muncul dari sinkretisme ini adalah menjaga kesetiaan iman Israel kepada Allah di tengah godaan untuk menyembah dewa-dewa lokal demi kemakmuran dan keamanan. Kitab Hakim-</w:t>
      </w:r>
      <w:r w:rsidRPr="007416AF">
        <w:lastRenderedPageBreak/>
        <w:t>Hakim mencatat bahwa setiap kali Israel jatuh ke dalam dosa penyembahan berhala, mereka dihukum oleh Allah melalui penindasan oleh bangsa-bangsa asing, yang pada akhirnya membawa mereka kembali kepada pertobatan dan penyelamatan oleh para hakim yang diutus Allah. Artikel ini bertujuan untuk menggali lebih dalam isu sinkretisme dalam Kitab Hakim-Hakim dan bagaimana hal itu menjadi</w:t>
      </w:r>
      <w:r w:rsidRPr="007416AF">
        <w:rPr>
          <w:lang w:val="id-ID"/>
        </w:rPr>
        <w:t xml:space="preserve"> </w:t>
      </w:r>
      <w:r w:rsidRPr="007416AF">
        <w:t>tantangan serius bagi kesetiaan iman Israel.</w:t>
      </w:r>
      <w:r w:rsidRPr="007416AF">
        <w:rPr>
          <w:rStyle w:val="FootnoteReference"/>
        </w:rPr>
        <w:footnoteReference w:id="3"/>
      </w:r>
    </w:p>
    <w:p w14:paraId="5918EA7D" w14:textId="77777777" w:rsidR="007E6D59" w:rsidRPr="007416AF" w:rsidRDefault="007E6D59" w:rsidP="007416AF">
      <w:pPr>
        <w:widowControl w:val="0"/>
        <w:pBdr>
          <w:top w:val="nil"/>
          <w:left w:val="nil"/>
          <w:bottom w:val="nil"/>
          <w:right w:val="nil"/>
          <w:between w:val="nil"/>
        </w:pBdr>
        <w:spacing w:line="360" w:lineRule="auto"/>
        <w:ind w:firstLine="720"/>
        <w:jc w:val="both"/>
      </w:pPr>
      <w:r w:rsidRPr="007416AF">
        <w:rPr>
          <w:lang w:val="id-ID"/>
        </w:rPr>
        <w:t xml:space="preserve">Beberapa </w:t>
      </w:r>
      <w:r w:rsidRPr="007416AF">
        <w:t>peneliti seperti Klein dan Olson berpendapat bahwa tindakan bangsa Israel bukanlah bentuk sinkretisme yang sepenuhnya disengaja, melainkan sebuah respons kelangsungan hidup di tengah tekanan sosial dan budaya bangsa Kanaan.</w:t>
      </w:r>
      <w:r w:rsidRPr="007416AF">
        <w:rPr>
          <w:lang w:val="id-ID"/>
        </w:rPr>
        <w:t xml:space="preserve"> </w:t>
      </w:r>
      <w:r w:rsidRPr="007416AF">
        <w:rPr>
          <w:rFonts w:eastAsia="Times New Roman"/>
          <w:lang w:val="en-ID"/>
        </w:rPr>
        <w:t>Namun, saya tidak sependapat dengan pendapat Klein dan Olson yang berpendapat bahwa sinkretisme dalam Kitab Hakim-Hakim merupakan akibat dari tekanan sosial dan budaya semata. Mereka menganggap tindakan bangsa Israel sebagai respon terhadap ancaman eksistensial yang mereka hadapi, namun saya berpendapat bahwa ini mengabaikan aspek ketidaktaatan yang lebih mendalam.</w:t>
      </w:r>
      <w:r w:rsidRPr="007416AF">
        <w:rPr>
          <w:rStyle w:val="FootnoteReference"/>
          <w:rFonts w:eastAsia="Times New Roman"/>
          <w:lang w:val="en-ID"/>
        </w:rPr>
        <w:footnoteReference w:id="4"/>
      </w:r>
      <w:r w:rsidRPr="007416AF">
        <w:rPr>
          <w:rFonts w:eastAsia="Times New Roman"/>
          <w:lang w:val="id-ID"/>
        </w:rPr>
        <w:t xml:space="preserve"> Kemudian saya lebih setuju dengan pendapat </w:t>
      </w:r>
      <w:r w:rsidRPr="007416AF">
        <w:t>Anderson</w:t>
      </w:r>
      <w:r w:rsidRPr="007416AF">
        <w:rPr>
          <w:lang w:val="id-ID"/>
        </w:rPr>
        <w:t xml:space="preserve"> bahwa</w:t>
      </w:r>
      <w:r w:rsidRPr="007416AF">
        <w:t>, tindakan Israel lebih dari sekedar penyesuaian budaya; ini adalah pelanggaran serius terhadap hukum Allah yang menuntut kesetiaan penuh</w:t>
      </w:r>
      <w:r w:rsidRPr="007416AF">
        <w:rPr>
          <w:rFonts w:eastAsia="Times New Roman"/>
          <w:lang w:val="id-ID"/>
        </w:rPr>
        <w:t>.</w:t>
      </w:r>
      <w:r w:rsidRPr="007416AF">
        <w:rPr>
          <w:rStyle w:val="FootnoteReference"/>
          <w:rFonts w:eastAsia="Times New Roman"/>
          <w:lang w:val="id-ID"/>
        </w:rPr>
        <w:footnoteReference w:id="5"/>
      </w:r>
      <w:r w:rsidRPr="007416AF">
        <w:rPr>
          <w:rFonts w:eastAsia="Times New Roman"/>
          <w:lang w:val="id-ID"/>
        </w:rPr>
        <w:t xml:space="preserve"> </w:t>
      </w:r>
      <w:r w:rsidRPr="007416AF">
        <w:rPr>
          <w:lang w:val="id-ID"/>
        </w:rPr>
        <w:t>Didukung dengan pendapat</w:t>
      </w:r>
      <w:r w:rsidRPr="007416AF">
        <w:t xml:space="preserve"> Larkin dan Brueggemann, kegagalan bangsa Israel untuk mengusir bangsa Kanaan secara total menjadi akar penyebab terjadinya sinkretisme ini, karena mereka mulai mengadopsi budaya dan kepercayaan asing yang mengarah pada pengingkaran terhadap Tuhan mereka yang sejati.</w:t>
      </w:r>
      <w:r w:rsidRPr="007416AF">
        <w:rPr>
          <w:rStyle w:val="FootnoteReference"/>
        </w:rPr>
        <w:footnoteReference w:id="6"/>
      </w:r>
      <w:r w:rsidRPr="007416AF">
        <w:rPr>
          <w:lang w:val="id-ID"/>
        </w:rPr>
        <w:t xml:space="preserve"> </w:t>
      </w:r>
      <w:r w:rsidRPr="007416AF">
        <w:t>Brueggemann juga menekankan bahwa ketidaksetiaan bangsa Israel adalah akibat langsung dari kegagalan mereka dalam mempertahankan kemurnian iman</w:t>
      </w:r>
      <w:r w:rsidRPr="007416AF">
        <w:rPr>
          <w:rStyle w:val="FootnoteReference"/>
        </w:rPr>
        <w:footnoteReference w:id="7"/>
      </w:r>
      <w:r w:rsidRPr="007416AF">
        <w:t>. Block menambahkan bahwa hal ini menyebabkan degradasi moral dan sosial yang mempercepat keruntuhan spiritual Israel</w:t>
      </w:r>
      <w:r w:rsidRPr="007416AF">
        <w:rPr>
          <w:rStyle w:val="FootnoteReference"/>
        </w:rPr>
        <w:footnoteReference w:id="8"/>
      </w:r>
      <w:r w:rsidRPr="007416AF">
        <w:t>.</w:t>
      </w:r>
      <w:r w:rsidRPr="007416AF">
        <w:rPr>
          <w:lang w:val="id-ID"/>
        </w:rPr>
        <w:t xml:space="preserve"> </w:t>
      </w:r>
      <w:r w:rsidRPr="007416AF">
        <w:t>Hal ini mengindikasikan bahwa bukan hanya ketidaksetiaan kepada Allah yang muncul, tetapi juga ketidakmampuan untuk menjaga identitas rohani mereka sebagai umat pilihan</w:t>
      </w:r>
      <w:r w:rsidRPr="007416AF">
        <w:rPr>
          <w:rFonts w:eastAsia="Times New Roman"/>
          <w:lang w:val="id-ID"/>
        </w:rPr>
        <w:t xml:space="preserve"> </w:t>
      </w:r>
      <w:r w:rsidRPr="007416AF">
        <w:rPr>
          <w:rFonts w:eastAsia="Times New Roman"/>
          <w:lang w:val="en-ID"/>
        </w:rPr>
        <w:t xml:space="preserve">Israel tidak hanya menyesuaikan diri dengan budaya sekitar, tetapi secara sadar memilih untuk menyimpang dari perintah Tuhan, yang menunjukkan adanya kompromi terhadap iman yang lebih berbahaya. Temuan penelitian ini menegaskan bahwa sinkretisme dalam Kitab Hakim-Hakim adalah bentuk pelanggaran teologis yang lebih serius, yang berakibat pada kerusakan </w:t>
      </w:r>
      <w:r w:rsidRPr="007416AF">
        <w:rPr>
          <w:rFonts w:eastAsia="Times New Roman"/>
          <w:lang w:val="en-ID"/>
        </w:rPr>
        <w:lastRenderedPageBreak/>
        <w:t>moral dan spiritual bagi umat Israel.</w:t>
      </w:r>
    </w:p>
    <w:p w14:paraId="2BE8947A" w14:textId="77777777" w:rsidR="007E6D59" w:rsidRPr="007416AF" w:rsidRDefault="007E6D59" w:rsidP="007416AF">
      <w:pPr>
        <w:widowControl w:val="0"/>
        <w:pBdr>
          <w:top w:val="nil"/>
          <w:left w:val="nil"/>
          <w:bottom w:val="nil"/>
          <w:right w:val="nil"/>
          <w:between w:val="nil"/>
        </w:pBdr>
        <w:spacing w:line="360" w:lineRule="auto"/>
        <w:ind w:firstLine="720"/>
        <w:jc w:val="both"/>
      </w:pPr>
      <w:r w:rsidRPr="007416AF">
        <w:rPr>
          <w:rFonts w:eastAsia="Times New Roman"/>
          <w:lang w:val="en-ID"/>
        </w:rPr>
        <w:t>Pendekatan yang saya tawarkan</w:t>
      </w:r>
      <w:r w:rsidRPr="007416AF">
        <w:rPr>
          <w:rFonts w:eastAsia="Times New Roman"/>
          <w:lang w:val="id-ID"/>
        </w:rPr>
        <w:t xml:space="preserve"> dalam tulisan ini</w:t>
      </w:r>
      <w:r w:rsidRPr="007416AF">
        <w:rPr>
          <w:rFonts w:eastAsia="Times New Roman"/>
          <w:lang w:val="en-ID"/>
        </w:rPr>
        <w:t xml:space="preserve"> adalah melihat sinkretisme dalam Kitab Hakim-Hakim sebagai sebuah peringatan bagi gereja masa kini. serupa dengan bangsa Israel pada zaman Hakim-Hakim, orang percaya masa kini juga dapat terjerumus dalam sinkretisme melalui kompromi terhadap ajaran Alkitab, baik dalam bentuk pencampuran doktrin Kristen dengan filosofi-filosofi modern maupun dalam adaptasi budaya yang tidak sejalan dengan prinsip-prinsip iman Kristen yang sejati. Misalnya, gereja-gereja yang mencoba mengakomodasi nilai-nilai budaya populer atau memodifikasi ajaran Alkitab agar lebih diterima oleh masyarakat sekuler, tanpa menyadari bahwa hal ini dapat </w:t>
      </w:r>
      <w:r w:rsidRPr="007416AF">
        <w:rPr>
          <w:rFonts w:eastAsia="Times New Roman"/>
          <w:lang w:val="id-ID"/>
        </w:rPr>
        <w:t xml:space="preserve">merusak </w:t>
      </w:r>
      <w:r w:rsidRPr="007416AF">
        <w:rPr>
          <w:rFonts w:eastAsia="Times New Roman"/>
          <w:lang w:val="en-ID"/>
        </w:rPr>
        <w:t>pesan Kristus yang murni. Dalam hal ini, Kitab Hakim-Hakim mengajarkan pentingnya kesetiaan total kepada Allah, dan bahwa setiap bentuk sinkretisme akan selalu berakhir dengan kerusakan iman dan moral.</w:t>
      </w:r>
      <w:r w:rsidRPr="007416AF">
        <w:rPr>
          <w:rStyle w:val="FootnoteReference"/>
          <w:rFonts w:eastAsia="Times New Roman"/>
          <w:lang w:val="en-ID"/>
        </w:rPr>
        <w:footnoteReference w:id="9"/>
      </w:r>
    </w:p>
    <w:p w14:paraId="1FDC4305" w14:textId="4B696363" w:rsidR="007E6D59" w:rsidRDefault="007E6D59" w:rsidP="007416AF">
      <w:pPr>
        <w:widowControl w:val="0"/>
        <w:pBdr>
          <w:top w:val="nil"/>
          <w:left w:val="nil"/>
          <w:bottom w:val="nil"/>
          <w:right w:val="nil"/>
          <w:between w:val="nil"/>
        </w:pBdr>
        <w:spacing w:line="360" w:lineRule="auto"/>
        <w:ind w:firstLine="720"/>
        <w:jc w:val="both"/>
        <w:rPr>
          <w:rFonts w:eastAsia="Times New Roman"/>
          <w:lang w:val="en-ID"/>
        </w:rPr>
      </w:pPr>
      <w:r w:rsidRPr="007416AF">
        <w:rPr>
          <w:rFonts w:eastAsia="Times New Roman"/>
          <w:lang w:val="en-ID"/>
        </w:rPr>
        <w:t>Apa yang dapat kita pelajari dari kesalahan Israel? Bisakah kita, sebagai masa gereja masa kini, belajar dari ketidaksetiaan mereka untuk menjaga kemurnian iman kita di dunia tengah yang semakin plural? Sinkretisme bukan hanya masalah sejarah, tetapi juga ancaman nyata yang dapat merusak keutuhan doktrin kita. Oleh karena itu, penting bagi kita untuk mengenali dan menghindari berbagai bentuk sinkretisme yang muncul dalam kehidupan kita, agar iman kita tetap teguh dan tidak tercemar oleh pengaruh luar yang tidak sesuai dengan firman Tuhan.</w:t>
      </w:r>
    </w:p>
    <w:p w14:paraId="2516B5F1" w14:textId="77777777" w:rsidR="007416AF" w:rsidRPr="007416AF" w:rsidRDefault="007416AF" w:rsidP="007416AF">
      <w:pPr>
        <w:widowControl w:val="0"/>
        <w:pBdr>
          <w:top w:val="nil"/>
          <w:left w:val="nil"/>
          <w:bottom w:val="nil"/>
          <w:right w:val="nil"/>
          <w:between w:val="nil"/>
        </w:pBdr>
        <w:spacing w:line="360" w:lineRule="auto"/>
        <w:ind w:firstLine="720"/>
        <w:jc w:val="both"/>
        <w:rPr>
          <w:rFonts w:eastAsia="Times New Roman"/>
          <w:lang w:val="en-ID"/>
        </w:rPr>
      </w:pPr>
    </w:p>
    <w:p w14:paraId="1EAD6B60" w14:textId="77777777" w:rsidR="007416AF" w:rsidRPr="007416AF" w:rsidRDefault="007416AF" w:rsidP="007416AF">
      <w:pPr>
        <w:tabs>
          <w:tab w:val="left" w:pos="284"/>
        </w:tabs>
        <w:spacing w:line="360" w:lineRule="auto"/>
        <w:jc w:val="both"/>
        <w:rPr>
          <w:b/>
        </w:rPr>
      </w:pPr>
      <w:r w:rsidRPr="007416AF">
        <w:rPr>
          <w:b/>
        </w:rPr>
        <w:t>METODE PENELITIAN</w:t>
      </w:r>
    </w:p>
    <w:p w14:paraId="20D3694C" w14:textId="1CE141F3" w:rsidR="007E6D59" w:rsidRPr="007416AF" w:rsidRDefault="007E6D59" w:rsidP="007416AF">
      <w:pPr>
        <w:widowControl w:val="0"/>
        <w:pBdr>
          <w:top w:val="nil"/>
          <w:left w:val="nil"/>
          <w:bottom w:val="nil"/>
          <w:right w:val="nil"/>
          <w:between w:val="nil"/>
        </w:pBdr>
        <w:spacing w:line="360" w:lineRule="auto"/>
        <w:ind w:firstLine="720"/>
        <w:jc w:val="both"/>
        <w:rPr>
          <w:rFonts w:eastAsia="Times New Roman"/>
          <w:b/>
          <w:lang w:val="en-ID"/>
        </w:rPr>
      </w:pPr>
      <w:r w:rsidRPr="007416AF">
        <w:rPr>
          <w:rFonts w:eastAsia="Calibri"/>
          <w:bCs/>
          <w:color w:val="000000"/>
        </w:rPr>
        <w:t xml:space="preserve">Penelitian ini menggunakan pendekatan kualitatif dengan </w:t>
      </w:r>
      <w:r w:rsidRPr="007416AF">
        <w:rPr>
          <w:rFonts w:eastAsia="Calibri"/>
          <w:bCs/>
          <w:color w:val="000000"/>
          <w:lang w:val="id-ID"/>
        </w:rPr>
        <w:t xml:space="preserve">pendekatan analisis teologis dan menggunakan langkah-langkah </w:t>
      </w:r>
      <w:r w:rsidRPr="007416AF">
        <w:rPr>
          <w:rFonts w:eastAsia="Calibri"/>
          <w:bCs/>
          <w:color w:val="000000"/>
        </w:rPr>
        <w:t xml:space="preserve">studi pustaka </w:t>
      </w:r>
      <w:r w:rsidRPr="007416AF">
        <w:rPr>
          <w:rFonts w:eastAsia="Calibri"/>
          <w:bCs/>
          <w:i/>
          <w:iCs/>
          <w:color w:val="000000"/>
        </w:rPr>
        <w:t>(literature review)</w:t>
      </w:r>
      <w:r w:rsidRPr="007416AF">
        <w:rPr>
          <w:rFonts w:eastAsia="Calibri"/>
          <w:bCs/>
          <w:i/>
          <w:iCs/>
          <w:color w:val="000000"/>
          <w:lang w:val="id-ID"/>
        </w:rPr>
        <w:t xml:space="preserve"> </w:t>
      </w:r>
      <w:r w:rsidRPr="007416AF">
        <w:rPr>
          <w:rFonts w:eastAsia="Times New Roman"/>
          <w:bCs/>
          <w:lang w:val="en-ID"/>
        </w:rPr>
        <w:t>yakni memanfaatkan berbagai sumber sekunder seperti buku, jurnal akademik, dan artikel yang relevan</w:t>
      </w:r>
      <w:r w:rsidRPr="007416AF">
        <w:rPr>
          <w:rFonts w:eastAsia="Calibri"/>
          <w:bCs/>
          <w:i/>
          <w:iCs/>
          <w:color w:val="000000"/>
        </w:rPr>
        <w:t>.</w:t>
      </w:r>
      <w:r w:rsidRPr="007416AF">
        <w:rPr>
          <w:rFonts w:eastAsia="Calibri"/>
          <w:bCs/>
          <w:color w:val="000000"/>
        </w:rPr>
        <w:t xml:space="preserve"> </w:t>
      </w:r>
      <w:r w:rsidRPr="007416AF">
        <w:rPr>
          <w:bCs/>
        </w:rPr>
        <w:t>Metode penelitian kualitatif adalah metode yang bertujuan untuk memahami fenomena berdasarkan pandangan dan makna yang diberikan oleh individu atau kelompok terhadap suatu kenyataan.</w:t>
      </w:r>
      <w:r w:rsidRPr="007416AF">
        <w:rPr>
          <w:rStyle w:val="FootnoteReference"/>
          <w:bCs/>
        </w:rPr>
        <w:footnoteReference w:id="10"/>
      </w:r>
      <w:r w:rsidRPr="007416AF">
        <w:rPr>
          <w:bCs/>
          <w:lang w:val="id-ID"/>
        </w:rPr>
        <w:t xml:space="preserve"> Kemudian p</w:t>
      </w:r>
      <w:r w:rsidRPr="007416AF">
        <w:rPr>
          <w:rFonts w:eastAsia="Times New Roman"/>
          <w:bCs/>
          <w:lang w:val="en-ID"/>
        </w:rPr>
        <w:t xml:space="preserve">endekatan analisis teologis digunakan untuk menelaah fenomena sinkretisme dari sudut pandang iman Kristen. Analisis teologis adalah proses sistematis yang fokus pada pemahaman kebenaran-kebenaran doktrinal berdasarkan </w:t>
      </w:r>
      <w:r w:rsidRPr="007416AF">
        <w:rPr>
          <w:rFonts w:eastAsia="Times New Roman"/>
          <w:bCs/>
          <w:lang w:val="id-ID"/>
        </w:rPr>
        <w:t>Firman</w:t>
      </w:r>
      <w:r w:rsidRPr="007416AF">
        <w:rPr>
          <w:rFonts w:eastAsia="Times New Roman"/>
          <w:bCs/>
          <w:lang w:val="en-ID"/>
        </w:rPr>
        <w:t xml:space="preserve"> Allah sebagaimana tertuang dalam Alkitab</w:t>
      </w:r>
      <w:r w:rsidRPr="007416AF">
        <w:rPr>
          <w:rStyle w:val="FootnoteReference"/>
          <w:rFonts w:eastAsia="Times New Roman"/>
          <w:bCs/>
          <w:lang w:val="en-ID"/>
        </w:rPr>
        <w:footnoteReference w:id="11"/>
      </w:r>
    </w:p>
    <w:p w14:paraId="697B4FB7" w14:textId="77777777" w:rsidR="007E6D59" w:rsidRPr="007416AF" w:rsidRDefault="007E6D59" w:rsidP="007416AF">
      <w:pPr>
        <w:spacing w:line="360" w:lineRule="auto"/>
        <w:jc w:val="both"/>
        <w:rPr>
          <w:bCs/>
          <w:lang w:val="id-ID"/>
        </w:rPr>
      </w:pPr>
      <w:r w:rsidRPr="007416AF">
        <w:rPr>
          <w:bCs/>
          <w:lang w:val="en-ID"/>
        </w:rPr>
        <w:lastRenderedPageBreak/>
        <w:tab/>
      </w:r>
      <w:r w:rsidRPr="007416AF">
        <w:rPr>
          <w:bCs/>
          <w:lang w:val="id-ID"/>
        </w:rPr>
        <w:t xml:space="preserve">Dalam penelitian ini, kemudian penulis memberikan 3 point dalam relevansi bagi gereja masa kini, yaitu: </w:t>
      </w:r>
      <w:r w:rsidRPr="007416AF">
        <w:rPr>
          <w:rFonts w:eastAsia="Times New Roman"/>
          <w:bCs/>
          <w:lang w:val="en-ID"/>
        </w:rPr>
        <w:t>Pertama, penelitian ini menyoroti pentingnya kesetiaan doktrinal sebagai tanggapan atas tantangan pluralitas agama di dunia modern. Sinkretisme dalam Kitab Hakim-Hakim mengajarkan bahwa penyimpangan doktrinal membawa konsekuensi serius terhadap kehidupan spiritual umat Allah</w:t>
      </w:r>
      <w:r w:rsidRPr="007416AF">
        <w:rPr>
          <w:rStyle w:val="FootnoteReference"/>
          <w:rFonts w:eastAsia="Times New Roman"/>
          <w:bCs/>
          <w:lang w:val="en-ID"/>
        </w:rPr>
        <w:footnoteReference w:id="12"/>
      </w:r>
      <w:r w:rsidRPr="007416AF">
        <w:rPr>
          <w:rFonts w:eastAsia="Times New Roman"/>
          <w:bCs/>
          <w:lang w:val="en-ID"/>
        </w:rPr>
        <w:t>. Kedua, penelitian ini menawarkan wawasan praktis bagi gereja dalam mengidentifikasi dan mengatasi berbagai bentuk sinkretisme modern, seperti pengaruh nilai-nilai sekuler atau ajaran-ajaran yang tidak alkitabiah. Ketiga, penelitian ini memberikan pengajaran kepada gereja mengenai pentingnya memelihara pengajaran yang murni di tengah dunia yang penuh membahayakan iman. Dengan belajar dari kesalahan Israel dalam Kitab Hakim-Hakim, gereja dapat mengembangkan strategi untuk tetap setia kepada Kristus di tengah pluralitas budaya dan agama yang semakin kompleks</w:t>
      </w:r>
      <w:r w:rsidRPr="007416AF">
        <w:rPr>
          <w:rStyle w:val="FootnoteReference"/>
          <w:rFonts w:eastAsia="Times New Roman"/>
          <w:bCs/>
          <w:lang w:val="en-ID"/>
        </w:rPr>
        <w:footnoteReference w:id="13"/>
      </w:r>
    </w:p>
    <w:p w14:paraId="416D5780" w14:textId="553DADCD" w:rsidR="007E6D59" w:rsidRDefault="007E6D59" w:rsidP="007416AF">
      <w:pPr>
        <w:pStyle w:val="Heading4"/>
        <w:spacing w:before="0" w:after="0" w:line="360" w:lineRule="auto"/>
        <w:ind w:left="-10" w:firstLine="730"/>
        <w:jc w:val="both"/>
        <w:rPr>
          <w:rFonts w:eastAsia="Times New Roman"/>
          <w:b w:val="0"/>
          <w:bCs/>
          <w:lang w:val="en-ID"/>
        </w:rPr>
      </w:pPr>
      <w:r w:rsidRPr="007416AF">
        <w:rPr>
          <w:rFonts w:eastAsia="Times New Roman"/>
          <w:b w:val="0"/>
          <w:bCs/>
          <w:lang w:val="en-ID"/>
        </w:rPr>
        <w:t>Melalui metode ini, penelitian diharapkan dapat memberikan pemahaman yang lebih mendalam mengenai fenomena sinkretisme dalam Kitab Hakim-Hakim dan memberikan kontribusi teologis yang relevan bagi gereja masa kini. Analisis ini menekankan pentingnya kesetiaan kepada Allah yang sejati sebagai landasan utama dalam menghadapi tantangan sinkretisme modern.</w:t>
      </w:r>
    </w:p>
    <w:p w14:paraId="3A41653E" w14:textId="77777777" w:rsidR="007416AF" w:rsidRPr="007416AF" w:rsidRDefault="007416AF" w:rsidP="007416AF">
      <w:pPr>
        <w:rPr>
          <w:lang w:val="en-ID"/>
        </w:rPr>
      </w:pPr>
    </w:p>
    <w:p w14:paraId="1AC2AD28" w14:textId="382E025C" w:rsidR="007E6D59" w:rsidRPr="007416AF" w:rsidRDefault="007416AF" w:rsidP="007416AF">
      <w:pPr>
        <w:spacing w:line="360" w:lineRule="auto"/>
        <w:jc w:val="both"/>
        <w:rPr>
          <w:b/>
        </w:rPr>
      </w:pPr>
      <w:r w:rsidRPr="007416AF">
        <w:rPr>
          <w:b/>
        </w:rPr>
        <w:t>HASIL DAN PEMBAHASAN</w:t>
      </w:r>
    </w:p>
    <w:p w14:paraId="3979A156" w14:textId="77777777" w:rsidR="007E6D59" w:rsidRPr="007416AF" w:rsidRDefault="007E6D59" w:rsidP="007416AF">
      <w:pPr>
        <w:pStyle w:val="NormalWeb"/>
        <w:numPr>
          <w:ilvl w:val="0"/>
          <w:numId w:val="7"/>
        </w:numPr>
        <w:spacing w:before="0" w:beforeAutospacing="0" w:after="0" w:afterAutospacing="0" w:line="360" w:lineRule="auto"/>
        <w:ind w:left="426" w:hanging="426"/>
        <w:jc w:val="both"/>
      </w:pPr>
      <w:r w:rsidRPr="007416AF">
        <w:rPr>
          <w:b/>
          <w:bCs/>
        </w:rPr>
        <w:t>Sejarah, Sosial, Budaya, Ekonomi Dalam Kitab Hakim-Hakim</w:t>
      </w:r>
    </w:p>
    <w:p w14:paraId="0A2F36DD" w14:textId="77777777" w:rsidR="007E6D59" w:rsidRPr="007416AF" w:rsidRDefault="007E6D59" w:rsidP="007416AF">
      <w:pPr>
        <w:pStyle w:val="NormalWeb"/>
        <w:numPr>
          <w:ilvl w:val="0"/>
          <w:numId w:val="8"/>
        </w:numPr>
        <w:spacing w:before="0" w:beforeAutospacing="0" w:after="0" w:afterAutospacing="0" w:line="360" w:lineRule="auto"/>
        <w:ind w:left="426" w:hanging="426"/>
        <w:jc w:val="both"/>
        <w:rPr>
          <w:rStyle w:val="Strong"/>
          <w:b w:val="0"/>
          <w:bCs w:val="0"/>
        </w:rPr>
      </w:pPr>
      <w:r w:rsidRPr="007416AF">
        <w:rPr>
          <w:rStyle w:val="Strong"/>
          <w:bCs w:val="0"/>
        </w:rPr>
        <w:t>Dimensi Sejarah: Ketidakstabilan Politik dalam Periode Hakim-Hakim</w:t>
      </w:r>
    </w:p>
    <w:p w14:paraId="50586EDC" w14:textId="77777777" w:rsidR="007E6D59" w:rsidRPr="007416AF" w:rsidRDefault="007E6D59" w:rsidP="007416AF">
      <w:pPr>
        <w:pStyle w:val="NormalWeb"/>
        <w:spacing w:before="0" w:beforeAutospacing="0" w:after="0" w:afterAutospacing="0" w:line="360" w:lineRule="auto"/>
        <w:ind w:firstLine="720"/>
        <w:jc w:val="both"/>
      </w:pPr>
      <w:r w:rsidRPr="007416AF">
        <w:t>Periode Hakim (ca. abad ke-12 hingga 10 SM) adalah era di mana Israel hidup sebagai konfederasi suku-suku tanpa pemerintahan pusat yang kuat. Tidak adanya raja membuat setiap orang bertindak berdasarkan kemauannya sendiri (Hakim-Hakim 21:25). Pola siklus dosa-penghukuman-pertobatan-penyelamatan menjadi tema utama dalam Kitab Hakim-Hakim, yang menyoroti pergumulan Israel dalam menjaga kesetiaan kepada Allah.</w:t>
      </w:r>
    </w:p>
    <w:p w14:paraId="6BA1DF10" w14:textId="77777777" w:rsidR="007E6D59" w:rsidRPr="007416AF" w:rsidRDefault="007E6D59" w:rsidP="007416AF">
      <w:pPr>
        <w:widowControl w:val="0"/>
        <w:pBdr>
          <w:top w:val="nil"/>
          <w:left w:val="nil"/>
          <w:bottom w:val="nil"/>
          <w:right w:val="nil"/>
          <w:between w:val="nil"/>
        </w:pBdr>
        <w:spacing w:line="360" w:lineRule="auto"/>
        <w:ind w:firstLine="720"/>
        <w:jc w:val="both"/>
      </w:pPr>
      <w:r w:rsidRPr="007416AF">
        <w:t xml:space="preserve">Dalam konteks sejarah dan budaya, Israel menghadapi banyak tantangan. Mereka baru saja memasuki tanah Kanaan, tanah yang dijanjikan oleh Allah kepada nenek moyang mereka. Namun, meskipun mereka berhasil menaklukkan sebagian besar wilayah tersebut, banyak bangsa Kanaan yang masih tinggal di antara mereka. Kegagalan Israel untuk sepenuhnya memusnahkan penduduk asli, sebagaimana diperintahkan oleh Allah (Yosua 13:1-7), menciptakan ruang bagi interaksi budaya yang intens antara Israel dan bangsa Kanaan. Hal ini kemudian membuka jalan bagi pencampuran agama, di mana Israel mulai mengadopsi beberapa </w:t>
      </w:r>
      <w:r w:rsidRPr="007416AF">
        <w:lastRenderedPageBreak/>
        <w:t>praktik keagamaan Kanaan. Dalam catatan sejarah bangsa Israel, terdapat satu periode di mana mereka dipimpin oleh para hakim, yang tercatat dalam Kitab Hakim-hakim. Kitab ini menyajikan banyak hal penting, namun juga menimbulkan beberapa teori yang menghasilkan pandangan berbeda mengenai isinya. Selain itu, ada minat yang minim dari orang Kristen terhadap studi Kitab Hakim-hakim, yang mendorong penulis untuk menjelaskan secara lebih tepat mengenai survei Kitab Hakim-hakim guna meluruskan pandangan yang salah.</w:t>
      </w:r>
    </w:p>
    <w:p w14:paraId="195D000E" w14:textId="6BE1AE92" w:rsidR="007E6D59" w:rsidRPr="007416AF" w:rsidRDefault="007E6D59" w:rsidP="007416AF">
      <w:pPr>
        <w:pStyle w:val="NormalWeb"/>
        <w:spacing w:before="0" w:beforeAutospacing="0" w:after="240" w:afterAutospacing="0" w:line="360" w:lineRule="auto"/>
        <w:ind w:firstLine="720"/>
        <w:jc w:val="both"/>
      </w:pPr>
      <w:r w:rsidRPr="007416AF">
        <w:t>Bangsa Israel berada dalam masa pasca-penaklukan, tetapi mereka tidak sepenuhnya menduduki bangsa-bangsa Kanaan seperti yang diperintahkan Allah (Hakim-Hakim 1:27-36). Kondisi ini menciptakan konflik berkepanjangan antara Israel dan bangsa-bangsa tetangganya, seperti Filistin, Moab, dan Midian. Ketidakstabilan politik ini tercermin dalam munculnya berbagai hakim yang bertindak sebagai pemimpin sementara untuk menyelamatkan Israel dari meninggalkan bangsa asing. Sejarah periode ini menggambarkan kegagalan Israel dalam mematuhi mandat teologis mereka. Menurut Anderson (2022), kegagalan Israel untuk sepenuhnya mengusir bangsa Kanaan merupakan pelanggaran serius terhadap perjanjian Allah dan menjadi akar dari masalah sinkretisme mereka</w:t>
      </w:r>
      <w:r w:rsidRPr="007416AF">
        <w:rPr>
          <w:rStyle w:val="FootnoteReference"/>
        </w:rPr>
        <w:footnoteReference w:id="14"/>
      </w:r>
    </w:p>
    <w:p w14:paraId="1FD7C958" w14:textId="77777777" w:rsidR="007E6D59" w:rsidRPr="007416AF" w:rsidRDefault="007E6D59" w:rsidP="007416AF">
      <w:pPr>
        <w:pStyle w:val="NormalWeb"/>
        <w:numPr>
          <w:ilvl w:val="0"/>
          <w:numId w:val="8"/>
        </w:numPr>
        <w:spacing w:before="0" w:beforeAutospacing="0" w:after="0" w:afterAutospacing="0" w:line="360" w:lineRule="auto"/>
        <w:ind w:left="426" w:hanging="426"/>
        <w:jc w:val="both"/>
        <w:rPr>
          <w:rStyle w:val="Strong"/>
          <w:b w:val="0"/>
          <w:bCs w:val="0"/>
        </w:rPr>
      </w:pPr>
      <w:r w:rsidRPr="007416AF">
        <w:rPr>
          <w:rStyle w:val="Strong"/>
        </w:rPr>
        <w:t>Dimensi Sosial: Fragmentasi Komunitas dan Konflik Antar Suku</w:t>
      </w:r>
    </w:p>
    <w:p w14:paraId="3453E78C" w14:textId="77777777" w:rsidR="007E6D59" w:rsidRPr="007416AF" w:rsidRDefault="007E6D59" w:rsidP="007416AF">
      <w:pPr>
        <w:pStyle w:val="NormalWeb"/>
        <w:spacing w:before="0" w:beforeAutospacing="0" w:after="0" w:afterAutospacing="0" w:line="360" w:lineRule="auto"/>
        <w:ind w:firstLine="720"/>
        <w:jc w:val="both"/>
      </w:pPr>
      <w:r w:rsidRPr="007416AF">
        <w:t>Secara sosial, Israel pada zaman hakim adalah masyarakat yang terfragmentasi. Setiap suku memiliki otonomi sendiri tanpa adanya pemimpin nasional yang menyatukan mereka. Fragmentasi ini sering kali memicu konflik internal, seperti perang saudara antara suku Israel melawan suku Benyamin (Hakim-Hakim 20:12-48). Peristiwa ini menunjukkan bahwa solidaritas internal bangsa Israel melemah akibat ketidaksetiaan mereka kepada Allah.</w:t>
      </w:r>
    </w:p>
    <w:p w14:paraId="11E6B0A4" w14:textId="77777777" w:rsidR="007E6D59" w:rsidRPr="007416AF" w:rsidRDefault="007E6D59" w:rsidP="007416AF">
      <w:pPr>
        <w:pStyle w:val="NormalWeb"/>
        <w:spacing w:before="0" w:beforeAutospacing="0" w:after="0" w:afterAutospacing="0" w:line="360" w:lineRule="auto"/>
        <w:ind w:firstLine="720"/>
        <w:jc w:val="both"/>
      </w:pPr>
      <w:r w:rsidRPr="007416AF">
        <w:t>Selain itu, kegagalan mereka untuk menjaga kemurnian iman juga mempengaruhi dinamika sosial. Kehidupan bersama dengan bangsa Kanaan menyebabkan Israel mengadopsi budaya setempat, yang kemudian menciptakan masalah identitas kolektif. Brueggemann (1997) menyatakan bahwa integrasi sosial dengan bangsa Kanaan merusak prinsip kesetiaan mereka sebagai umat Allah yang terpisah dari bangsa-bangsa lain</w:t>
      </w:r>
      <w:r w:rsidRPr="007416AF">
        <w:rPr>
          <w:rStyle w:val="FootnoteReference"/>
        </w:rPr>
        <w:footnoteReference w:id="15"/>
      </w:r>
    </w:p>
    <w:p w14:paraId="5A1341B1" w14:textId="77777777" w:rsidR="007E6D59" w:rsidRPr="007416AF" w:rsidRDefault="007E6D59" w:rsidP="007416AF">
      <w:pPr>
        <w:pStyle w:val="NormalWeb"/>
        <w:numPr>
          <w:ilvl w:val="0"/>
          <w:numId w:val="8"/>
        </w:numPr>
        <w:spacing w:after="0" w:afterAutospacing="0" w:line="360" w:lineRule="auto"/>
        <w:ind w:left="426" w:hanging="426"/>
        <w:jc w:val="both"/>
        <w:rPr>
          <w:rStyle w:val="Strong"/>
          <w:b w:val="0"/>
          <w:bCs w:val="0"/>
        </w:rPr>
      </w:pPr>
      <w:r w:rsidRPr="007416AF">
        <w:rPr>
          <w:rStyle w:val="Strong"/>
        </w:rPr>
        <w:t>Dimensi Budaya: Sinkretisme dan Pengaruh Keagamaan Kanaan</w:t>
      </w:r>
    </w:p>
    <w:p w14:paraId="2FCC1365" w14:textId="77777777" w:rsidR="007E6D59" w:rsidRPr="007416AF" w:rsidRDefault="007E6D59" w:rsidP="007416AF">
      <w:pPr>
        <w:pStyle w:val="NormalWeb"/>
        <w:spacing w:before="0" w:beforeAutospacing="0" w:after="0" w:afterAutospacing="0" w:line="360" w:lineRule="auto"/>
        <w:ind w:firstLine="720"/>
        <w:jc w:val="both"/>
      </w:pPr>
      <w:r w:rsidRPr="007416AF">
        <w:t xml:space="preserve">Budaya bangsa Israel pada masa hakim dipengaruhi oleh budaya Kanaan yang politeistik. Praktik keagamaan seperti penyembahan Baal dan Asyera menjadi hal yang umum di masyarakat tengah Israel (Hakim-Hakim 2:11-13). Baal dipandang sebagai dewa kesuburan, </w:t>
      </w:r>
      <w:r w:rsidRPr="007416AF">
        <w:lastRenderedPageBreak/>
        <w:t>sedangkan Asyera dikaitkan dengan praktik seksual yang sering kali bersifat ritualistik. Menurut Keil dan Delitzsch (1996), penyembahan kepada dewa-dewa ini tidak hanya melibatkan ritual keagamaan, tetapi juga perilaku moral yang menyimpang.</w:t>
      </w:r>
      <w:r w:rsidRPr="007416AF">
        <w:rPr>
          <w:rStyle w:val="FootnoteReference"/>
        </w:rPr>
        <w:footnoteReference w:id="16"/>
      </w:r>
      <w:r w:rsidRPr="007416AF">
        <w:t xml:space="preserve"> Dalam konteks ini, sinkretisme tidak hanya mencakup adaptasi doktrin asing tetapi juga perubahan gaya hidup yang mengabaikan prinsip-prinsip Taurat.</w:t>
      </w:r>
    </w:p>
    <w:p w14:paraId="4310D957" w14:textId="77777777" w:rsidR="007E6D59" w:rsidRPr="007416AF" w:rsidRDefault="007E6D59" w:rsidP="007416AF">
      <w:pPr>
        <w:pStyle w:val="NormalWeb"/>
        <w:spacing w:before="0" w:beforeAutospacing="0" w:after="0" w:afterAutospacing="0" w:line="360" w:lineRule="auto"/>
        <w:ind w:firstLine="720"/>
        <w:jc w:val="both"/>
      </w:pPr>
      <w:r w:rsidRPr="007416AF">
        <w:t>Larkin (2008) mencatat bahwa upaya Israel untuk menyelaraskan kepercayaan mereka dengan budaya setempat menunjukkan kompromi terhadap iman yang membahayakan identitas rohani mereka.</w:t>
      </w:r>
      <w:r w:rsidRPr="007416AF">
        <w:rPr>
          <w:rStyle w:val="FootnoteReference"/>
        </w:rPr>
        <w:footnoteReference w:id="17"/>
      </w:r>
      <w:r w:rsidRPr="007416AF">
        <w:t xml:space="preserve"> Dalam jangka panjang, hal ini tidak hanya merusak hubungan mereka dengan Allah tetapi juga memperlemah moralitas mereka sebagai komunitas.</w:t>
      </w:r>
    </w:p>
    <w:p w14:paraId="786EBBAA" w14:textId="77777777" w:rsidR="007E6D59" w:rsidRPr="007416AF" w:rsidRDefault="007E6D59" w:rsidP="007416AF">
      <w:pPr>
        <w:pStyle w:val="NormalWeb"/>
        <w:numPr>
          <w:ilvl w:val="0"/>
          <w:numId w:val="8"/>
        </w:numPr>
        <w:spacing w:after="0" w:afterAutospacing="0" w:line="360" w:lineRule="auto"/>
        <w:ind w:left="426" w:hanging="426"/>
        <w:jc w:val="both"/>
        <w:rPr>
          <w:rStyle w:val="Strong"/>
          <w:b w:val="0"/>
          <w:bCs w:val="0"/>
        </w:rPr>
      </w:pPr>
      <w:r w:rsidRPr="007416AF">
        <w:rPr>
          <w:rStyle w:val="Strong"/>
        </w:rPr>
        <w:t>Dimensi Ekonomi: Penindasan dan Ketidakadilan</w:t>
      </w:r>
    </w:p>
    <w:p w14:paraId="4B225986" w14:textId="77777777" w:rsidR="007E6D59" w:rsidRPr="007416AF" w:rsidRDefault="007E6D59" w:rsidP="007416AF">
      <w:pPr>
        <w:pStyle w:val="NormalWeb"/>
        <w:spacing w:before="0" w:beforeAutospacing="0" w:after="0" w:afterAutospacing="0" w:line="360" w:lineRule="auto"/>
        <w:ind w:firstLine="720"/>
        <w:jc w:val="both"/>
      </w:pPr>
      <w:r w:rsidRPr="007416AF">
        <w:t>Pada masa hakim, perekonomian Israel didasarkan pada pertanian subsisten dan peternakan. Namun, kondisi ekonomi mereka sering kali terganggu oleh bangsa-bangsa sekitar, seperti Midian, yang merampas hasil panen mereka dan memaksa mereka hidup dalam kelaparan (Hakim-Hakim 6:1-6). Eksploitasi ekonomi ini tidak hanya menyelamatkan mereka secara fisik tetapi juga menurunkan semangat juang mereka sebagai bangsa. Block (1999) menyatakan bahwa memilih ekonomi adalah alat utama yang digunakan bangsa-bangsa sekitar untuk mengendalikan Israel, yang pada akhirnya mempercepat degradasi moral dan spiritual mereka.</w:t>
      </w:r>
      <w:r w:rsidRPr="007416AF">
        <w:rPr>
          <w:rStyle w:val="FootnoteReference"/>
        </w:rPr>
        <w:footnoteReference w:id="18"/>
      </w:r>
    </w:p>
    <w:p w14:paraId="7FD151C0" w14:textId="77777777" w:rsidR="007E6D59" w:rsidRPr="007416AF" w:rsidRDefault="007E6D59" w:rsidP="007416AF">
      <w:pPr>
        <w:pStyle w:val="NormalWeb"/>
        <w:spacing w:before="0" w:beforeAutospacing="0" w:after="0" w:afterAutospacing="0" w:line="360" w:lineRule="auto"/>
        <w:ind w:firstLine="720"/>
        <w:jc w:val="both"/>
      </w:pPr>
      <w:r w:rsidRPr="007416AF">
        <w:t>Dengan demikian, Dimensi sejarah, sosial, budaya, dan ekonomi dalam Kitab Hakim-Hakim saling terkait dalam menciptakan tantangan bagi bangsa Israel untuk menjaga kesetiaan kepada Allah. Fragmentasi politik, integrasi sosial, pengaruh budaya asing, dan sinkronisasi ekonomi semuanya mempengaruhi kondisi mereka, sehingga menciptakan lingkungan yang rentan terhadap sinkretisme. Bagi gereja masa kini, pelajaran dari Kitab Hakim-Hakim relevan dalam menghadapi tantangan serupa di dunia yang semakin plural. Penting untuk menjaga kesetiaan kepada Allah dan firman-Nya di tengah pengaruh luar yang dapat merusak kemurnian iman dan akhlak.</w:t>
      </w:r>
    </w:p>
    <w:p w14:paraId="1C3A3E6B" w14:textId="77777777" w:rsidR="007E6D59" w:rsidRPr="007416AF" w:rsidRDefault="007E6D59" w:rsidP="007416AF">
      <w:pPr>
        <w:pStyle w:val="NormalWeb"/>
        <w:spacing w:before="0" w:beforeAutospacing="0" w:after="0" w:afterAutospacing="0" w:line="360" w:lineRule="auto"/>
        <w:ind w:firstLine="720"/>
        <w:jc w:val="both"/>
      </w:pPr>
      <w:r w:rsidRPr="007416AF">
        <w:t xml:space="preserve">Kitab Hakim-hakim menggambarkan sejarah Israel selama 350 tahun pertama setelah mereka memasuki dan menduduki tanah Kanaan. Pada masa ini, Israel diperintah oleh para hakim, dalam sebuah pemerintahan teokrasi di mana Allah sendiri bertindak sebagai raja mereka. Kitab ini mencatat perjalanan Israel di bawah bimbingan ilahi dan berbagai tantangan </w:t>
      </w:r>
      <w:r w:rsidRPr="007416AF">
        <w:lastRenderedPageBreak/>
        <w:t>yang mereka hadapi di bawah kepemimpinan para hakim</w:t>
      </w:r>
      <w:r w:rsidRPr="007416AF">
        <w:rPr>
          <w:rStyle w:val="FootnoteReference"/>
        </w:rPr>
        <w:footnoteReference w:id="19"/>
      </w:r>
      <w:r w:rsidRPr="007416AF">
        <w:t>. Kitab Hakim-Hakim menggambarkan suatu periode dalam sejarah Israel yang berlangsung dari kematian Yosua hingga awal pemerintahan Saul sebagai raja pertama Israel. Selama periode ini, bangsa Israel dipimpin oleh serangkaian hakim, pemimpin karismatik yang dipanggil oleh Allah untuk memimpin umat-Nya dalam berbagai pertempuran melawan musuh-musuh mereka serta memulihkan iman Israel kepada Yahweh. Namun, hakim-hakim ini tidak selalu mampu menjaga bangsa Israel tetap setia kepada Allah. Sebaliknya, sering kali setelah seorang hakim meninggal, bangsa Israel kembali jatuh ke dalam dosa penyembahan berhala.</w:t>
      </w:r>
    </w:p>
    <w:p w14:paraId="2745FBBA" w14:textId="538FAF25" w:rsidR="007E6D59" w:rsidRPr="007416AF" w:rsidRDefault="007E6D59" w:rsidP="007416AF">
      <w:pPr>
        <w:widowControl w:val="0"/>
        <w:pBdr>
          <w:top w:val="nil"/>
          <w:left w:val="nil"/>
          <w:bottom w:val="nil"/>
          <w:right w:val="nil"/>
          <w:between w:val="nil"/>
        </w:pBdr>
        <w:spacing w:line="360" w:lineRule="auto"/>
        <w:ind w:firstLine="720"/>
        <w:jc w:val="both"/>
      </w:pPr>
      <w:r w:rsidRPr="007416AF">
        <w:t>Kitab Hakim-hakim tidak mengalami kesulitan dalam proses pengkanonan, meskipun ada perubahan dalam Kanon Septuaginta, di mana kitab ini ditempatkan dalam kumpulan Kitab Sejarah, bukan lagi di bagian kitab-kitab nabi terdahulu. Meskipun ada beberapa perbedaan pandangan mengenai penulis Kitab Hakim-hakim, tradisi Yahudi meyakini bahwa Samuel adalah penulisnya. Namun, pandangan modern, terutama dari kaum liberal, menganggap bahwa kitab ini ditulis oleh beberapa penulis pada waktu yang berbeda. Hal ini ditolak oleh kaum Injili yang berpendapat bahwa kitab tersebut ditulis oleh satu penulis berdasarkan pola bahasa dan penceritaan yang konsisten.</w:t>
      </w:r>
      <w:r w:rsidRPr="007416AF">
        <w:rPr>
          <w:lang w:val="id-ID"/>
        </w:rPr>
        <w:t xml:space="preserve"> </w:t>
      </w:r>
      <w:r w:rsidRPr="007416AF">
        <w:t>Tanggal penulisan kitab ini diperkirakan terjadi antara tahun 1050-1000 SM, kemungkinan besar pada masa pemerintahan Saul atau awal pemerintahan Daud. Tujuan penulisannya adalah untuk mencatat tindakan Allah dalam memberikan hukuman kepada Israel yang tidak setia dan menunjukkan kasih setia-Nya melalui para hakim yang dibangkitkan untuk membebaskan Israel dari penjajahan. Kitab ini juga berfungsi sebagai pengingat bahwa meskipun Israel seringkali tidak setia, Allah tetap menjaga mereka melalui anugerah-Nya.</w:t>
      </w:r>
      <w:r w:rsidRPr="007416AF">
        <w:rPr>
          <w:lang w:val="id-ID"/>
        </w:rPr>
        <w:t xml:space="preserve"> </w:t>
      </w:r>
      <w:r w:rsidRPr="007416AF">
        <w:t>Kitab Hakim-hakim juga menyajikan latar belakang historis bangsa Israel pada masa para hakim, termasuk tentang musuh-musuh mereka, siklus penindasan, dan ibadah mereka. Selain itu, terdapat hakim-hakim terkenal seperti Otniel, Ehud, Debora, Gideon, dan Simson. Meskipun ada periode kepemimpinan yang berbeda, terdapat indikasi bahwa ada hakim yang memimpin pada waktu yang bersamaan dan tidak semua serangan musuh menyasar seluruh suku Israel.</w:t>
      </w:r>
      <w:r w:rsidRPr="007416AF">
        <w:rPr>
          <w:rStyle w:val="FootnoteReference"/>
        </w:rPr>
        <w:footnoteReference w:id="20"/>
      </w:r>
    </w:p>
    <w:p w14:paraId="42D6C964" w14:textId="77777777" w:rsidR="007E6D59" w:rsidRPr="007416AF" w:rsidRDefault="007E6D59" w:rsidP="007416AF">
      <w:pPr>
        <w:pStyle w:val="ListParagraph"/>
        <w:widowControl w:val="0"/>
        <w:numPr>
          <w:ilvl w:val="0"/>
          <w:numId w:val="7"/>
        </w:numPr>
        <w:pBdr>
          <w:top w:val="nil"/>
          <w:left w:val="nil"/>
          <w:bottom w:val="nil"/>
          <w:right w:val="nil"/>
          <w:between w:val="nil"/>
        </w:pBdr>
        <w:spacing w:after="0" w:line="360" w:lineRule="auto"/>
        <w:ind w:left="426" w:hanging="426"/>
        <w:jc w:val="both"/>
        <w:rPr>
          <w:rFonts w:ascii="Times New Roman" w:hAnsi="Times New Roman"/>
          <w:b/>
          <w:bCs/>
          <w:sz w:val="24"/>
          <w:szCs w:val="24"/>
        </w:rPr>
      </w:pPr>
      <w:r w:rsidRPr="007416AF">
        <w:rPr>
          <w:rFonts w:ascii="Times New Roman" w:hAnsi="Times New Roman"/>
          <w:b/>
          <w:bCs/>
          <w:sz w:val="24"/>
          <w:szCs w:val="24"/>
        </w:rPr>
        <w:t>Bentuk-Bentuk Sinkretisme Dalam kitab hakim-hakim</w:t>
      </w:r>
    </w:p>
    <w:p w14:paraId="44F8D6DC" w14:textId="77777777" w:rsidR="007E6D59" w:rsidRPr="007416AF" w:rsidRDefault="007E6D59" w:rsidP="007416AF">
      <w:pPr>
        <w:pStyle w:val="Heading4"/>
        <w:numPr>
          <w:ilvl w:val="0"/>
          <w:numId w:val="6"/>
        </w:numPr>
        <w:spacing w:before="0" w:after="0" w:line="360" w:lineRule="auto"/>
        <w:ind w:left="426" w:hanging="426"/>
        <w:jc w:val="both"/>
      </w:pPr>
      <w:r w:rsidRPr="007416AF">
        <w:t>Pengaruh Agama Kanaan: Baal dan Asyera</w:t>
      </w:r>
    </w:p>
    <w:p w14:paraId="195789B2" w14:textId="77777777" w:rsidR="007E6D59" w:rsidRPr="007416AF" w:rsidRDefault="007E6D59" w:rsidP="007416AF">
      <w:pPr>
        <w:pStyle w:val="NormalWeb"/>
        <w:spacing w:before="0" w:beforeAutospacing="0" w:after="0" w:afterAutospacing="0" w:line="360" w:lineRule="auto"/>
        <w:ind w:firstLine="720"/>
        <w:jc w:val="both"/>
      </w:pPr>
      <w:r w:rsidRPr="007416AF">
        <w:t xml:space="preserve">Agama Kanaan berpusat pada penyembahan dewa-dewi alam, yang dipandang sebagai penguasa atas kesuburan tanah, hujan, dan hasil panen. Dua dewa utama yang disembah oleh </w:t>
      </w:r>
      <w:r w:rsidRPr="007416AF">
        <w:lastRenderedPageBreak/>
        <w:t>bangsa Kanaan adalah Baal dan Asyera. Baal, dalam mitologi Kanaan, adalah dewa badai dan hujan yang memberikan kesuburan kepada tanah. Sebagai dewa yang dihubungkan dengan kehidupan agrikultur, Baal dipandang penting bagi bangsa Kanaan yang bergantung pada hasil panen untuk kelangsungan hidup mereka. Asyera, yang sering digambarkan sebagai pasangan Baal, adalah dewi kesuburan dan kehidupan, dan penyembahan kepada dewi ini juga dianggap penting bagi kesejahteraan agraris. Bagi bangsa Israel yang baru menetap di tanah yang belum mereka kuasai sepenuhnya, keyakinan terhadap dewa-dewi ini menjadi sangat menggoda. Meskipun mereka telah menerima perintah yang jelas dari Allah untuk hanya menyembah-Nya, godaan untuk beralih kepada Baal dan Asyera demi keamanan ekonomi dan kesuburan tanah menjadi salah satu penyebab utama terjadinya sinkretisme.</w:t>
      </w:r>
    </w:p>
    <w:p w14:paraId="4E4A27FD" w14:textId="77777777" w:rsidR="007E6D59" w:rsidRPr="007416AF" w:rsidRDefault="007E6D59" w:rsidP="007416AF">
      <w:pPr>
        <w:pStyle w:val="NormalWeb"/>
        <w:spacing w:before="0" w:beforeAutospacing="0" w:after="0" w:afterAutospacing="0" w:line="360" w:lineRule="auto"/>
        <w:ind w:firstLine="720"/>
        <w:jc w:val="both"/>
      </w:pPr>
      <w:r w:rsidRPr="007416AF">
        <w:t>Pemujaan Baal menjadi masalah kronis bagi Israel selama lebih dari 600 tahun, sejak pertama kali disebutkan dalam Taurat (Bilangan 22:41) hingga yang terakhir dalam Perjanjian Lama (Zefanya 1:4). Baal, dewa utama orang Kanaan, berperan sebagai dewa badai dan kesuburan, yang disembah oleh bangsa Kanaan dan perlahan mempengaruhi kehidupan Israel. Meski pemujaan seremonial Baal memudar setelah Israel kembali dari pembuangan di Babel, pengaruhnya tetap membekas, seperti disebutkan oleh Paulus dalam Roma 11:4. Hubungan Israel dengan Baal dimulai sejak masa mereka di Mesir, dan agama Kanaan, yang berfokus pada kesuburan, menjadi tantangan bagi Israel yang mempercayai Yahweh. Konflik utama terjadi antara iman nomadik Israel dan agama agraris Kanaan. Orang Israel seringkali tergoda untuk menyembah Baal, selain kepada Yahweh, dalam upaya memastikan panen mereka melimpah. Penggalian arkeologi di Ugarit mengungkapkan banyak informasi tentang posisi Baal dalam agama Kanaan, menegaskan bukti sejarah penyembahan berhala yang menyebabkan Israel terlibat dalam praktik-praktik keagamaan yang dikecam oleh para penulis Alkitab.</w:t>
      </w:r>
      <w:r w:rsidRPr="007416AF">
        <w:rPr>
          <w:rStyle w:val="FootnoteReference"/>
        </w:rPr>
        <w:footnoteReference w:id="21"/>
      </w:r>
    </w:p>
    <w:p w14:paraId="0DECE2D7" w14:textId="77777777" w:rsidR="007E6D59" w:rsidRPr="007416AF" w:rsidRDefault="007E6D59" w:rsidP="007416AF">
      <w:pPr>
        <w:pStyle w:val="Heading4"/>
        <w:numPr>
          <w:ilvl w:val="0"/>
          <w:numId w:val="6"/>
        </w:numPr>
        <w:spacing w:after="0" w:line="360" w:lineRule="auto"/>
        <w:ind w:left="426" w:hanging="426"/>
        <w:jc w:val="both"/>
      </w:pPr>
      <w:r w:rsidRPr="007416AF">
        <w:t>Contoh-Contoh Sinkretisme dalam Kitab Hakim-Hakim</w:t>
      </w:r>
    </w:p>
    <w:p w14:paraId="53C701FC" w14:textId="77777777" w:rsidR="007E6D59" w:rsidRPr="007416AF" w:rsidRDefault="007E6D59" w:rsidP="007416AF">
      <w:pPr>
        <w:pStyle w:val="NormalWeb"/>
        <w:spacing w:before="0" w:beforeAutospacing="0" w:after="0" w:afterAutospacing="0" w:line="360" w:lineRule="auto"/>
        <w:ind w:firstLine="720"/>
        <w:jc w:val="both"/>
      </w:pPr>
      <w:r w:rsidRPr="007416AF">
        <w:t xml:space="preserve">Kitab Hakim-Hakim memberikan beberapa contoh konkret tentang bagaimana sinkretisme terjadi dalam kehidupan bangsa Israel. Salah satu kisah paling menonjol adalah kisah Gideon. Gideon, meskipun dipilih oleh Allah untuk membebaskan Israel dari penindasan bangsa Midian, kemudian jatuh dalam dosa sinkretisme. Setelah kemenangannya, Gideon membuat sebuah efod dari emas, yang meskipun mungkin dimaksudkan sebagai tanda </w:t>
      </w:r>
      <w:r w:rsidRPr="007416AF">
        <w:lastRenderedPageBreak/>
        <w:t>penghormatan kepada Allah, akhirnya menjadi objek penyembahan bagi bangsa Israel (Hakim-Hakim 8:27). Kisah ini menunjukkan betapa mudahnya simbol-simbol religius yang sah dapat berubah menjadi alat penyimpangan iman ketika tidak dijaga dengan benar. Kepemimpinan Gideon menunjukkan tarik-menarik yang jelas antara hasrat untuk memajukan Israel dan sisi gelap kekuasaan. Di akhir kepemimpinannya, ambisi untuk membangun Israel justru bertentangan dengan tindakannya, yang membawa bangsa itu terjerumus ke dalam penyembahan berhala. Hal ini mengingatkan kita pada Bileam, yang juga membiarkan kepentingan materialisme dan hedonisme membutakan integritasnya, sehingga menyebabkan Israel jatuh ke dalam dosa penyembahan berhala (Bil. 22:5,7; 25:1-3; 31:16). Gideon secara terbuka menolak menjadi raja, namun secara diam-diam mempersiapkan Abimelekh untuk merebut kekuasaan melalui cara-cara licik dan kejam. Semua ini menunjukkan hubungan kuat antara kepemimpinan dan sisi negatif kekuasaan yang merusak pikiran Gideon, sehingga ia membuat keputusan yang salah. Kondisi ini menarik untuk dikaji lebih lanjut karena dapat memberikan wawasan dan pembelajaran penting bagi siapa saja yang dipanggil Tuhan untuk memimpin.</w:t>
      </w:r>
      <w:r w:rsidRPr="007416AF">
        <w:rPr>
          <w:rStyle w:val="FootnoteReference"/>
        </w:rPr>
        <w:footnoteReference w:id="22"/>
      </w:r>
    </w:p>
    <w:p w14:paraId="14A3FD03" w14:textId="77777777" w:rsidR="007E6D59" w:rsidRPr="007416AF" w:rsidRDefault="007E6D59" w:rsidP="007416AF">
      <w:pPr>
        <w:pStyle w:val="NormalWeb"/>
        <w:spacing w:before="0" w:beforeAutospacing="0" w:after="0" w:afterAutospacing="0" w:line="360" w:lineRule="auto"/>
        <w:ind w:firstLine="720"/>
        <w:jc w:val="both"/>
      </w:pPr>
      <w:r w:rsidRPr="007416AF">
        <w:t xml:space="preserve">Contoh lain yang tak kalah penting adalah kisah Mikha dalam Hakim-Hakim 17-18. Mikha adalah seorang pria dari Efraim yang mendirikan sebuah kuil di rumahnya dan membuat patung berhala dari perak. Meskipun Mikha mungkin menganggap dirinya setia kepada Allah, tindakannya jelas merupakan bentuk sinkretisme, di mana ia mencampur penyembahan kepada Yahweh dengan praktik-praktik penyembahan berhala. Karena pelanggaran umat Israel, mereka tidak lagi bisa berhubungan langsung dengan Allah. Tuntutan bangsa Israel untuk memiliki seorang perantara membuat Allah memilih orang-orang yang dapat menjadi penghubung antara diri-Nya dan bangsa Israel. Para hakim, yang berjumlah dua belas, ditunjuk Allah untuk mengadili Israel ketika mereka melanggar perintah-Nya. Periode ini mencakup transisi dari Zaman Perunggu Akhir ke Zaman Besi Awal, masa kemakmuran di Palestina, di mana wilayah tersebut masih terdiri dari kota-kota kecil yang independen. Orang Israel tinggal di perbukitan, sementara orang Kanaan menetap di pesisir dan dataran rendah. Pada saat itu, Israel relatif tidak diganggu oleh bangsa lain. Meski begitu, keberadaan bangsa seperti Mesir dan Het, serta orang Filistin yang berasal dari pesisir barat tanah Kanaan, tetap menjadi ancaman. </w:t>
      </w:r>
    </w:p>
    <w:p w14:paraId="722E151C" w14:textId="77777777" w:rsidR="007E6D59" w:rsidRPr="007416AF" w:rsidRDefault="007E6D59" w:rsidP="007416AF">
      <w:pPr>
        <w:pStyle w:val="NormalWeb"/>
        <w:spacing w:before="0" w:beforeAutospacing="0" w:after="0" w:afterAutospacing="0" w:line="360" w:lineRule="auto"/>
        <w:ind w:firstLine="720"/>
        <w:jc w:val="both"/>
      </w:pPr>
      <w:r w:rsidRPr="007416AF">
        <w:t xml:space="preserve">Alkitab menggambarkan orang Filistin sebagai bangsa yang tidak bersunat dan menyembah Dagon, dewa utama mereka. Orang Israel sering kali meninggalkan Allah dan </w:t>
      </w:r>
      <w:r w:rsidRPr="007416AF">
        <w:lastRenderedPageBreak/>
        <w:t>berpaling kepada dewa-dewa Kanaan, terpengaruh oleh kemajuan orang Kanaan dalam bidang sastra, seni, arsitektur, organisasi politik, dan perdagangan. Hal ini juga mempengaruhi praktik keagamaan mereka, seperti penyembahan Baal dan pelacuran sakral. Masa hakim-hakim dimulai setelah kepemimpinan Yosua berakhir, sebagai respons terhadap ketidakmampuan para tua-tua untuk memimpin dalam masa perang yang genting. Hakim-hakim bertugas menegakkan keadilan sekaligus memimpin Israel, biasanya berasal dari para tua-tua yang dianggap memiliki kemampuan. Seiring berjalannya waktu, hukum moral terus merosot, dan meskipun keamanan semu bisa bertahan sementara, pada akhirnya kejahatan akan menghasilkan akibat yang buruk. Bangsa yang bergantung pada kekuatan fisik dan militer, bukan pada Tuhan, ditakdirkan untuk mengalami kehancuran. Baik Perjanjian Lama maupun Baru menekankan pentingnya bangsa yang menaruh harapannya pada Tuhan Kebenaran dan Keadilan.</w:t>
      </w:r>
      <w:r w:rsidRPr="007416AF">
        <w:rPr>
          <w:rStyle w:val="FootnoteReference"/>
        </w:rPr>
        <w:footnoteReference w:id="23"/>
      </w:r>
    </w:p>
    <w:p w14:paraId="6CECB5C6" w14:textId="77777777" w:rsidR="007E6D59" w:rsidRPr="007416AF" w:rsidRDefault="007E6D59" w:rsidP="007416AF">
      <w:pPr>
        <w:pStyle w:val="NormalWeb"/>
        <w:spacing w:before="0" w:beforeAutospacing="0" w:after="0" w:afterAutospacing="0" w:line="360" w:lineRule="auto"/>
        <w:jc w:val="both"/>
      </w:pPr>
    </w:p>
    <w:p w14:paraId="50066EA1" w14:textId="77777777" w:rsidR="007E6D59" w:rsidRPr="007416AF" w:rsidRDefault="007E6D59" w:rsidP="007416AF">
      <w:pPr>
        <w:pStyle w:val="Heading4"/>
        <w:numPr>
          <w:ilvl w:val="0"/>
          <w:numId w:val="7"/>
        </w:numPr>
        <w:spacing w:before="0" w:after="0" w:line="360" w:lineRule="auto"/>
        <w:ind w:left="284" w:hanging="284"/>
        <w:jc w:val="both"/>
      </w:pPr>
      <w:r w:rsidRPr="007416AF">
        <w:t>Dampak Sosial, Spiritual, dan Politik dari Sinkretisme</w:t>
      </w:r>
    </w:p>
    <w:p w14:paraId="21CF0084" w14:textId="77777777" w:rsidR="007E6D59" w:rsidRPr="007416AF" w:rsidRDefault="007E6D59" w:rsidP="007416AF">
      <w:pPr>
        <w:pStyle w:val="NormalWeb"/>
        <w:spacing w:before="0" w:beforeAutospacing="0" w:after="0" w:afterAutospacing="0" w:line="360" w:lineRule="auto"/>
        <w:ind w:firstLine="720"/>
        <w:jc w:val="both"/>
      </w:pPr>
      <w:r w:rsidRPr="007416AF">
        <w:t xml:space="preserve">Sinkretisme dalam Kitab Hakim-Hakim tidak hanya berdampak pada kehidupan religius Israel, tetapi juga memiliki implikasi yang luas dalam bidang sosial, spiritual, dan politik. Dalam bidang religius, sinkretisme menyebabkan krisis identitas spiritual bagi bangsa Israel. Alih-alih berpegang teguh pada iman monoteistik yang diajarkan oleh Musa, mereka mulai menggabungkan kepercayaan Yahweh dengan unsur-unsur kepercayaan Kanaan. Hal ini menyebabkan penyimpangan dalam ibadah mereka, di mana simbol-simbol keagamaan Yahweh digunakan dalam cara-cara yang tidak sesuai dengan hukum Allah. Dalam bidang sosial, sinkretisme menyebabkan perpecahan dan ketidakstabilan di tengah-tengah bangsa Israel. Penyembahan berhala bukan hanya masalah teologis, tetapi juga mempengaruhi cara hidup dan interaksi sosial di antara orang Israel. Ketika mereka mulai mengadopsi praktik-praktik penyembahan Kanaan, nilai-nilai dan norma-norma sosial mereka pun mengalami perubahan. Ini terlihat jelas dalam kisah-kisah seperti Mikha dan kuil rumahannya, di mana keluarga-keluarga Israel mulai terpecah dalam hal kesetiaan spiritual mereka. </w:t>
      </w:r>
    </w:p>
    <w:p w14:paraId="26D29B36" w14:textId="008B5119" w:rsidR="007E6D59" w:rsidRPr="007416AF" w:rsidRDefault="007E6D59" w:rsidP="007416AF">
      <w:pPr>
        <w:pStyle w:val="NormalWeb"/>
        <w:spacing w:before="0" w:beforeAutospacing="0" w:after="240" w:afterAutospacing="0" w:line="360" w:lineRule="auto"/>
        <w:ind w:firstLine="720"/>
        <w:jc w:val="both"/>
      </w:pPr>
      <w:r w:rsidRPr="007416AF">
        <w:t xml:space="preserve">Dari segi politik, sinkretisme menyebabkan lemahnya kekuatan politik dan militer Israel. Setiap kali Israel jatuh ke dalam penyembahan berhala, mereka kehilangan perlindungan Allah, yang memungkinkan bangsa-bangsa asing untuk menindas mereka. Penindasan ini tidak hanya membawa penderitaan fisik, tetapi juga menyebabkan keruntuhan struktur politik dan sosial mereka. Hanya melalui pertobatan dan pemulihan iman mereka kepada Allah, Israel dapat kembali membangun kekuatan politik dan militernya. Seorang pemimpin adalah pribadi </w:t>
      </w:r>
      <w:r w:rsidRPr="007416AF">
        <w:lastRenderedPageBreak/>
        <w:t>yang mampu memberikan teladan dalam kepemimpinannya. Keteladanan dari pemimpin tersebut akan menginspirasi orang lain untuk mengikuti sikap dan cara hidupnya, baik dalam kehidupan sehari-hari, sosial, maupun dalam konteks berbangsa dan bernegara. Gereja, sebagai bagian dari masyarakat dan bangsa, memiliki peran penting dalam mendorong perubahan meski merupakan kelompok minoritas. Salah satu cara efektif dengan persuasif agar Gereja dapat memberi dampak pada pengambilan kebijakan publik adalah dengan mencontohkan ajaran moral melalui program-program dan struktur yang bermanfaat bagi masyarakat luas.</w:t>
      </w:r>
      <w:r w:rsidRPr="007416AF">
        <w:rPr>
          <w:rStyle w:val="FootnoteReference"/>
        </w:rPr>
        <w:footnoteReference w:id="24"/>
      </w:r>
    </w:p>
    <w:p w14:paraId="78993909" w14:textId="77777777" w:rsidR="007E6D59" w:rsidRPr="007416AF" w:rsidRDefault="007E6D59" w:rsidP="007416AF">
      <w:pPr>
        <w:pStyle w:val="Heading4"/>
        <w:numPr>
          <w:ilvl w:val="0"/>
          <w:numId w:val="7"/>
        </w:numPr>
        <w:spacing w:before="0" w:after="0" w:line="360" w:lineRule="auto"/>
        <w:ind w:left="426" w:hanging="436"/>
        <w:jc w:val="both"/>
      </w:pPr>
      <w:r w:rsidRPr="007416AF">
        <w:t>Sinkretisme dan Hubungan Sosial dalam Masyarakat Israel</w:t>
      </w:r>
    </w:p>
    <w:p w14:paraId="65CE96A2" w14:textId="0118C495" w:rsidR="007E6D59" w:rsidRPr="007416AF" w:rsidRDefault="007E6D59" w:rsidP="007416AF">
      <w:pPr>
        <w:pStyle w:val="NormalWeb"/>
        <w:spacing w:before="0" w:beforeAutospacing="0" w:after="240" w:afterAutospacing="0" w:line="360" w:lineRule="auto"/>
        <w:ind w:firstLine="720"/>
        <w:jc w:val="both"/>
      </w:pPr>
      <w:r w:rsidRPr="007416AF">
        <w:t>Sinkretisme dalam Kitab Hakim-Hakim tidak hanya berkaitan dengan hubungan Israel dengan Allah, tetapi juga berdampak pada dinamika sosial dan hubungan internal mereka sebagai sebuah komunitas. Di dalam konteks sosial, sinkretisme mempengaruhi tata cara hidup, pola pikir, serta tatanan masyarakat Israel. Sebagai bangsa yang hidup berdampingan dengan bangsa Kanaan, Israel tidak hanya dipengaruhi secara spiritual, tetapi juga sosial dan budaya. Pengaruh budaya Kanaan dalam kehidupan sehari-hari Israel secara tidak langsung mendorong sinkretisme, terutama melalui hubungan pernikahan campuran, perdagangan, dan aliansi politik.</w:t>
      </w:r>
    </w:p>
    <w:p w14:paraId="4175C1AF" w14:textId="77777777" w:rsidR="007E6D59" w:rsidRPr="007416AF" w:rsidRDefault="007E6D59" w:rsidP="007416AF">
      <w:pPr>
        <w:pStyle w:val="ListParagraph"/>
        <w:numPr>
          <w:ilvl w:val="0"/>
          <w:numId w:val="1"/>
        </w:numPr>
        <w:spacing w:after="0" w:line="360" w:lineRule="auto"/>
        <w:ind w:left="426" w:hanging="426"/>
        <w:jc w:val="both"/>
        <w:rPr>
          <w:rFonts w:ascii="Times New Roman" w:hAnsi="Times New Roman"/>
          <w:sz w:val="24"/>
          <w:szCs w:val="24"/>
        </w:rPr>
      </w:pPr>
      <w:r w:rsidRPr="007416AF">
        <w:rPr>
          <w:rStyle w:val="Strong"/>
          <w:rFonts w:ascii="Times New Roman" w:hAnsi="Times New Roman"/>
          <w:sz w:val="24"/>
          <w:szCs w:val="24"/>
        </w:rPr>
        <w:t>Pernikahan Campuran dan Erosi Kesetiaan Iman</w:t>
      </w:r>
    </w:p>
    <w:p w14:paraId="5D942193" w14:textId="77777777" w:rsidR="007E6D59" w:rsidRPr="007416AF" w:rsidRDefault="007E6D59" w:rsidP="007416AF">
      <w:pPr>
        <w:pStyle w:val="NormalWeb"/>
        <w:spacing w:before="0" w:beforeAutospacing="0" w:after="0" w:afterAutospacing="0" w:line="360" w:lineRule="auto"/>
        <w:ind w:firstLine="720"/>
        <w:jc w:val="both"/>
      </w:pPr>
      <w:r w:rsidRPr="007416AF">
        <w:t>Salah satu sarana utama yang mendorong terjadinya sinkretisme di Israel adalah Perkawinan campur dianggap sebagai tindakan yang menajiskan perjanjian dengan Allah dan mengotori kekudusan Israel sebagai bangsa pilihan-Nya. Kecuali jika orang non-Israel telah disucikan, mereka boleh menikah dengan orang Israel (Ul 21:10-13). Jadi, Tuhan tidak menentang pernikahan antarbangsa, tetapi menentang pernikahan antaragama. Hal ini mendorong penulis untuk meneliti lebih lanjut dan menulis karya ilmiah berjudul "Larangan Kawin Campur Menurut Ulangan 7:1-6 dan Implikasinya Bagi Orang Percaya Masa Kini.</w:t>
      </w:r>
      <w:r w:rsidRPr="007416AF">
        <w:rPr>
          <w:rStyle w:val="FootnoteReference"/>
        </w:rPr>
        <w:footnoteReference w:id="25"/>
      </w:r>
      <w:r w:rsidRPr="007416AF">
        <w:t xml:space="preserve"> pernikahan campuran dengan bangsa-bangsa Kanaan. Pernikahan campuran ini sering kali membawa masuk praktik-praktik keagamaan dan budaya yang bertentangan dengan ajaran Yahweh. Dalam beberapa kasus, p8ara istri dari bangsa asing tetap mempertahankan kepercayaan mereka kepada dewa-dewa Kanaan, yang kemudian merembet kepada suami dan anak-anak mereka. Akibatnya, terjadi pencampuran nilai-nilai spiritual di dalam keluarga </w:t>
      </w:r>
      <w:r w:rsidRPr="007416AF">
        <w:lastRenderedPageBreak/>
        <w:t>Israel, yang pada gilirannya melemahkan kesetiaan generasi berikutnya kepada Allah. Pernikahan campuran yang melibatkan orang Kanaan, selain melibatkan pengenalan terhadap dewa-dewa asing, juga berpotensi merusak identitas spiritual dan kultural Israel. Dalam konteks budaya Israel kuno, pernikahan bukan hanya dianggap sebagai hubungan pribadi tetapi juga sebagai aliansi sosial dan politik. Oleh karena itu, hubungan dengan bangsa-bangsa di luar Israel melalui pernikahan sering kali membawa implikasi politik yang besar, mempercepat asimilasi dan penyebaran pengaruh agama Kanaan di kalangan masyarakat Israel.</w:t>
      </w:r>
    </w:p>
    <w:p w14:paraId="1D8CEBC0" w14:textId="4A987506" w:rsidR="007E6D59" w:rsidRPr="007416AF" w:rsidRDefault="007E6D59" w:rsidP="007416AF">
      <w:pPr>
        <w:pStyle w:val="NormalWeb"/>
        <w:spacing w:before="0" w:beforeAutospacing="0" w:after="240" w:afterAutospacing="0" w:line="360" w:lineRule="auto"/>
        <w:ind w:firstLine="720"/>
        <w:jc w:val="both"/>
      </w:pPr>
      <w:r w:rsidRPr="007416AF">
        <w:t>Dalam kitab-kitab lain Perjanjian Lama, seperti Ezra dan Nehemia, kita melihat dampak jangka panjang dari pernikahan campuran ini. Nehemia secara khusus mengutuk pernikahan dengan bangsa asing karena ia menganggapnya sebagai penyebab utama keruntuhan iman Israel. Dengan demikian, dapat dikatakan bahwa pernikahan campuran menjadi salah satu akar penyebab yang signifikan dalam menumbuhkannya sinkretisme, baik di zaman Hakim-Hakim maupun setelahnya. Iman Kristen tidak bertujuan untuk mendorong seseorang bersikap individualistis, melainkan menempatkan setiap penganutnya dalam persekutuan dengan sesama orang percaya. Namun, hal ini tidak berarti memisahkan mereka dari persekutuan-persekutuan lainnya. "Persekutuan orang kudus" mendorong kita untuk bersikap kritis terhadap persekutuan-persekutuan lain. Seorang Kristen tidak dapat sepenuhnya menyesuaikan diri dengan persekutuan-persekutuan lain dengan menyerahkan dirinya secara total pada tuntutan-tuntutan tersebut (lih. Kis. 14:19; 5:29; Mrk. 10:29; Luk. 14:26-27; Mat. 10:37; 12:46-50).</w:t>
      </w:r>
      <w:r w:rsidRPr="007416AF">
        <w:rPr>
          <w:rStyle w:val="FootnoteReference"/>
        </w:rPr>
        <w:footnoteReference w:id="26"/>
      </w:r>
    </w:p>
    <w:p w14:paraId="423CF586" w14:textId="77777777" w:rsidR="007E6D59" w:rsidRPr="007416AF" w:rsidRDefault="007E6D59" w:rsidP="007416AF">
      <w:pPr>
        <w:pStyle w:val="ListParagraph"/>
        <w:numPr>
          <w:ilvl w:val="0"/>
          <w:numId w:val="1"/>
        </w:numPr>
        <w:spacing w:after="0" w:line="360" w:lineRule="auto"/>
        <w:ind w:left="426" w:hanging="426"/>
        <w:jc w:val="both"/>
        <w:rPr>
          <w:rFonts w:ascii="Times New Roman" w:hAnsi="Times New Roman"/>
          <w:sz w:val="24"/>
          <w:szCs w:val="24"/>
        </w:rPr>
      </w:pPr>
      <w:r w:rsidRPr="007416AF">
        <w:rPr>
          <w:rStyle w:val="Strong"/>
          <w:rFonts w:ascii="Times New Roman" w:hAnsi="Times New Roman"/>
          <w:sz w:val="24"/>
          <w:szCs w:val="24"/>
        </w:rPr>
        <w:t>Aliansi Politik dan Kekuasaan</w:t>
      </w:r>
    </w:p>
    <w:p w14:paraId="37A3E82D" w14:textId="77777777" w:rsidR="007E6D59" w:rsidRPr="007416AF" w:rsidRDefault="007E6D59" w:rsidP="007416AF">
      <w:pPr>
        <w:pStyle w:val="NormalWeb"/>
        <w:spacing w:before="0" w:beforeAutospacing="0" w:after="0" w:afterAutospacing="0" w:line="360" w:lineRule="auto"/>
        <w:ind w:firstLine="720"/>
        <w:jc w:val="both"/>
      </w:pPr>
      <w:r w:rsidRPr="007416AF">
        <w:t xml:space="preserve">Pada periode hakim-hakim, Israel juga terlibat dalam aliansi politik dengan bangsa-bangsa di sekitarnya. Ali2ansi politik i8ni sering kali dibuat untuk melindungi diri dari serangan bangsa asing atau untuk menjaga kestabilan politik dan militer di wilayah mereka. Namun, aliansi semacam itu sering kali disertai dengan kompromi terhadap nilai-nilai dan ajaran agama Israel. Sebagai contoh, bangsa Israel terkadang merasa terpaksa untuk menjalin hubungan politik dengan bangsa Kanaan atau bangsa lain yang lebih kuat secara militer. Dalam proses ini, bangsa Israel sering kali mengadopsi dewa-dewa lokal sebagai bentuk penghormatan atau bahkan jaminan atas kesetiaan dalam aliansi tersebut. Kompromi ini pada akhirnya mempercepat masuknya praktik-praktik sinkretis di kalangan masyarakat Israel. Dalam Perjanjian Lama, terdapat pola pemerintahan yang dipimpin oleh para Nabi, Hakim, atau Raja, yang sering disebut sebagai teokrasi. Baik pemerintahan Nabi, Hakim, maupun Raja, semuanya </w:t>
      </w:r>
      <w:r w:rsidRPr="007416AF">
        <w:lastRenderedPageBreak/>
        <w:t xml:space="preserve">memberikan pelajaran penting bagi kita tentang tugas pemerintah terhadap rakyatnya, yang dapat diringkas dalam empat poin utama: </w:t>
      </w:r>
    </w:p>
    <w:p w14:paraId="260EDFAA" w14:textId="77777777" w:rsidR="007E6D59" w:rsidRPr="007416AF" w:rsidRDefault="007E6D59" w:rsidP="007416AF">
      <w:pPr>
        <w:pStyle w:val="NormalWeb"/>
        <w:spacing w:before="0" w:beforeAutospacing="0" w:after="0" w:afterAutospacing="0" w:line="360" w:lineRule="auto"/>
        <w:jc w:val="both"/>
      </w:pPr>
    </w:p>
    <w:p w14:paraId="23A74404" w14:textId="77777777" w:rsidR="007E6D59" w:rsidRPr="007416AF" w:rsidRDefault="007E6D59" w:rsidP="007416AF">
      <w:pPr>
        <w:pStyle w:val="NormalWeb"/>
        <w:numPr>
          <w:ilvl w:val="0"/>
          <w:numId w:val="3"/>
        </w:numPr>
        <w:spacing w:before="0" w:beforeAutospacing="0" w:after="0" w:afterAutospacing="0" w:line="360" w:lineRule="auto"/>
        <w:jc w:val="both"/>
      </w:pPr>
      <w:r w:rsidRPr="007416AF">
        <w:t>Menyediakan kebebasan dari penjajahan dan menjamin keamanan bagi seluruh rakyat. Hal ini tercermin dalam berbagai kisah dalam kitab Hakim-hakim dan kitab para Nabi.</w:t>
      </w:r>
    </w:p>
    <w:p w14:paraId="62E91D53" w14:textId="77777777" w:rsidR="007E6D59" w:rsidRPr="007416AF" w:rsidRDefault="007E6D59" w:rsidP="007416AF">
      <w:pPr>
        <w:pStyle w:val="NormalWeb"/>
        <w:numPr>
          <w:ilvl w:val="0"/>
          <w:numId w:val="3"/>
        </w:numPr>
        <w:spacing w:before="0" w:beforeAutospacing="0" w:after="0" w:afterAutospacing="0" w:line="360" w:lineRule="auto"/>
        <w:jc w:val="both"/>
      </w:pPr>
      <w:r w:rsidRPr="007416AF">
        <w:t>Memenuhi kebutuhan sehari-hari rakyat, meskipun prioritas sering kali diberikan pada lingkungan istana raja. Kisah dalam Kitab Keluaran menunjukkan peran manajerial Yusuf dalam memastikan ketersediaan pangan selama musim kekeringan.</w:t>
      </w:r>
    </w:p>
    <w:p w14:paraId="2416EB1F" w14:textId="77777777" w:rsidR="007E6D59" w:rsidRPr="007416AF" w:rsidRDefault="007E6D59" w:rsidP="007416AF">
      <w:pPr>
        <w:pStyle w:val="NormalWeb"/>
        <w:numPr>
          <w:ilvl w:val="0"/>
          <w:numId w:val="3"/>
        </w:numPr>
        <w:spacing w:before="0" w:beforeAutospacing="0" w:after="0" w:afterAutospacing="0" w:line="360" w:lineRule="auto"/>
        <w:jc w:val="both"/>
      </w:pPr>
      <w:r w:rsidRPr="007416AF">
        <w:t>Membantu masyarakat dalam hubungannya dengan Allah, seperti dalam kasus pertobatan masyarakat Niniwe. Kitab Ezra dan Nehemia juga menggambarkan usaha transformasi total dalam infrastruktur kota dan iman bangsa Israel yang membawa kebangunan rohani besar.</w:t>
      </w:r>
    </w:p>
    <w:p w14:paraId="1E46C24E" w14:textId="77777777" w:rsidR="007E6D59" w:rsidRPr="007416AF" w:rsidRDefault="007E6D59" w:rsidP="007416AF">
      <w:pPr>
        <w:pStyle w:val="NormalWeb"/>
        <w:numPr>
          <w:ilvl w:val="0"/>
          <w:numId w:val="3"/>
        </w:numPr>
        <w:spacing w:before="0" w:beforeAutospacing="0" w:after="0" w:afterAutospacing="0" w:line="360" w:lineRule="auto"/>
        <w:jc w:val="both"/>
      </w:pPr>
      <w:r w:rsidRPr="007416AF">
        <w:t>Menginspirasi rasa patriotisme dan cinta tanah air dalam diri rakyat terhadap negara dan pemerintah. Ini dapat dilihat dari keterlibatan rakyat dalam pembangunan rumah Allah atau pemilihan Raja.</w:t>
      </w:r>
    </w:p>
    <w:p w14:paraId="1B98ED19" w14:textId="77777777" w:rsidR="007E6D59" w:rsidRPr="007416AF" w:rsidRDefault="007E6D59" w:rsidP="007416AF">
      <w:pPr>
        <w:pStyle w:val="NormalWeb"/>
        <w:spacing w:before="0" w:beforeAutospacing="0" w:after="0" w:afterAutospacing="0" w:line="360" w:lineRule="auto"/>
        <w:ind w:left="927"/>
        <w:jc w:val="both"/>
      </w:pPr>
    </w:p>
    <w:p w14:paraId="4AE9A6E2" w14:textId="09D0560E" w:rsidR="007E6D59" w:rsidRPr="007416AF" w:rsidRDefault="007E6D59" w:rsidP="007416AF">
      <w:pPr>
        <w:pStyle w:val="NormalWeb"/>
        <w:spacing w:before="0" w:beforeAutospacing="0" w:after="0" w:afterAutospacing="0" w:line="360" w:lineRule="auto"/>
        <w:ind w:firstLine="720"/>
        <w:jc w:val="both"/>
      </w:pPr>
      <w:r w:rsidRPr="007416AF">
        <w:t>Aliansi politik semacam ini tidak hanya berdampak pada struktur politik Israel, tetapi juga memengaruhi kehidupan spiritual mereka. Dalam beberapa kasus, pemimpin Israel sendiri terlibat dalam tindakan sinkretisme sebagai bagian dari strategi politik mereka. Hal ini terlihat dalam kehidupan beberapa hakim yang secara moral dan spiritual lemah, sehingga membuat mereka rentan terhadap pengaruh bangsa asing dan dewa-dewa mereka.</w:t>
      </w:r>
      <w:r w:rsidRPr="007416AF">
        <w:rPr>
          <w:rStyle w:val="FootnoteReference"/>
        </w:rPr>
        <w:footnoteReference w:id="27"/>
      </w:r>
    </w:p>
    <w:p w14:paraId="00B3FA08" w14:textId="77777777" w:rsidR="007E6D59" w:rsidRPr="007416AF" w:rsidRDefault="007E6D59" w:rsidP="007416AF">
      <w:pPr>
        <w:pStyle w:val="Heading4"/>
        <w:numPr>
          <w:ilvl w:val="0"/>
          <w:numId w:val="7"/>
        </w:numPr>
        <w:spacing w:after="0" w:line="360" w:lineRule="auto"/>
        <w:ind w:left="426" w:hanging="436"/>
        <w:jc w:val="both"/>
      </w:pPr>
      <w:r w:rsidRPr="007416AF">
        <w:t>Relevansi Modern: Sinkretisme sebagai Tantangan Gereja Masa Kini</w:t>
      </w:r>
    </w:p>
    <w:p w14:paraId="71A35F7B" w14:textId="1882023F" w:rsidR="007E6D59" w:rsidRPr="007416AF" w:rsidRDefault="007E6D59" w:rsidP="007416AF">
      <w:pPr>
        <w:pStyle w:val="NormalWeb"/>
        <w:spacing w:before="0" w:beforeAutospacing="0" w:after="240" w:afterAutospacing="0" w:line="360" w:lineRule="auto"/>
        <w:ind w:firstLine="720"/>
        <w:jc w:val="both"/>
      </w:pPr>
      <w:r w:rsidRPr="007416AF">
        <w:t>Meskipun Kitab Hakim-Hakim berfokus pada sinkretisme dalam konteks Israel kuno, isu ini tetap relevan dalam gereja modern saat ini. Tantangan sinkretisme tidak terbatas pada zaman kuno, tetapi terus menjadi ancaman bagi kesetiaan gereja kepada Kristus di tengah arus globalisasi, pluralisme agama, dan relativisme moral yang semakin dominan.</w:t>
      </w:r>
    </w:p>
    <w:p w14:paraId="2392DC92" w14:textId="77777777" w:rsidR="007E6D59" w:rsidRPr="007416AF" w:rsidRDefault="007E6D59" w:rsidP="007416AF">
      <w:pPr>
        <w:pStyle w:val="ListParagraph"/>
        <w:numPr>
          <w:ilvl w:val="0"/>
          <w:numId w:val="4"/>
        </w:numPr>
        <w:spacing w:after="0" w:line="360" w:lineRule="auto"/>
        <w:ind w:left="426" w:hanging="426"/>
        <w:jc w:val="both"/>
        <w:rPr>
          <w:rFonts w:ascii="Times New Roman" w:hAnsi="Times New Roman"/>
          <w:sz w:val="24"/>
          <w:szCs w:val="24"/>
        </w:rPr>
      </w:pPr>
      <w:r w:rsidRPr="007416AF">
        <w:rPr>
          <w:rStyle w:val="Strong"/>
          <w:rFonts w:ascii="Times New Roman" w:hAnsi="Times New Roman"/>
          <w:sz w:val="24"/>
          <w:szCs w:val="24"/>
        </w:rPr>
        <w:t>Pluralisme Agama dan Relativisme Moral</w:t>
      </w:r>
    </w:p>
    <w:p w14:paraId="1AE9B105" w14:textId="03F9B1AF" w:rsidR="007E6D59" w:rsidRPr="007416AF" w:rsidRDefault="007E6D59" w:rsidP="007416AF">
      <w:pPr>
        <w:pStyle w:val="NormalWeb"/>
        <w:spacing w:before="0" w:beforeAutospacing="0" w:after="240" w:afterAutospacing="0" w:line="360" w:lineRule="auto"/>
        <w:ind w:firstLine="720"/>
        <w:jc w:val="both"/>
      </w:pPr>
      <w:r w:rsidRPr="007416AF">
        <w:t xml:space="preserve">Gereja masa kini hidup dalam konteks pluralisme agama yang sangat kental. Dalam masyarakat modern, terdapat tekanan untuk menerima semua agama dan keyakinan sebagai </w:t>
      </w:r>
      <w:r w:rsidRPr="007416AF">
        <w:lastRenderedPageBreak/>
        <w:t>jalan yang sah menuju kebenaran. Relativisme moral juga turut memperparah keadaan ini, di mana kebenaran dianggap relatif dan tidak ada standar moral atau teologis yang absolut. Dalam konteks ini, sinkretisme dapat terjadi ketika gereja mulai mengakomodasi ide-ide atau praktik-praktik dari agama lain atau budaya sekuler ke dalam kehidupan dan ibadah gereja. Contoh-contoh modern dari sinkretisme ini bisa berupa pencampuran ajaran Kristiani dengan spiritualitas New Age, penggunaan teknik meditasi non-Kristiani, atau bahkan akomodasi terhadap pandangan moral yang bertentangan dengan ajaran Alkitab. Untuk mengatasi tantangan ini, gereja perlu memperkuat pendidikannya tentang teologi dan ajaran Kristen yang benar, serta menegaskan kebenaran mutlak yang hanya ada di dalam Kristus. Kesetiaan kepada Kristus berarti menolak segala bentuk pencampuran yang dapat merusak kemurnian iman dan kebenaran Injil.</w:t>
      </w:r>
      <w:r w:rsidRPr="007416AF">
        <w:rPr>
          <w:rStyle w:val="FootnoteReference"/>
        </w:rPr>
        <w:footnoteReference w:id="28"/>
      </w:r>
    </w:p>
    <w:p w14:paraId="1238CA30" w14:textId="77777777" w:rsidR="007E6D59" w:rsidRPr="007416AF" w:rsidRDefault="007E6D59" w:rsidP="007416AF">
      <w:pPr>
        <w:pStyle w:val="ListParagraph"/>
        <w:numPr>
          <w:ilvl w:val="0"/>
          <w:numId w:val="4"/>
        </w:numPr>
        <w:spacing w:after="0" w:line="360" w:lineRule="auto"/>
        <w:ind w:left="426" w:hanging="426"/>
        <w:jc w:val="both"/>
        <w:rPr>
          <w:rFonts w:ascii="Times New Roman" w:hAnsi="Times New Roman"/>
          <w:sz w:val="24"/>
          <w:szCs w:val="24"/>
        </w:rPr>
      </w:pPr>
      <w:r w:rsidRPr="007416AF">
        <w:rPr>
          <w:rStyle w:val="Strong"/>
          <w:rFonts w:ascii="Times New Roman" w:hAnsi="Times New Roman"/>
          <w:sz w:val="24"/>
          <w:szCs w:val="24"/>
        </w:rPr>
        <w:t>Globalisasi dan Arus Budaya Sekuler</w:t>
      </w:r>
    </w:p>
    <w:p w14:paraId="559E8054" w14:textId="329317CD" w:rsidR="007E6D59" w:rsidRPr="007416AF" w:rsidRDefault="007E6D59" w:rsidP="007416AF">
      <w:pPr>
        <w:pStyle w:val="NormalWeb"/>
        <w:spacing w:before="0" w:beforeAutospacing="0" w:after="240" w:afterAutospacing="0" w:line="360" w:lineRule="auto"/>
        <w:ind w:firstLine="720"/>
        <w:jc w:val="both"/>
      </w:pPr>
      <w:r w:rsidRPr="007416AF">
        <w:t>Globalisasi telah membawa perubahan besar dalam cara hidup masyarakat, termasuk di dalam gereja. Pengaruh budaya sekuler yang datang dari berbagai belahan dunia telah menciptakan tantangan baru bagi gereja untuk menjaga kemurnian iman. Budaya populer, media massa, dan teknologi modern sering kali menjadi saluran di mana nilai-nilai yang bertentangan dengan Injil masuk ke dalam gereja. Gereja masa kini harus waspada terhadap bahaya sinkretisme yang terjadi melalui pengaruh budaya sekuler ini. Misalnya, materialisme, hedonisme, dan individualisme adalah nilai-nilai yang secara halus dapat menyusup ke dalam gereja, mempengaruhi cara hidup dan pemikiran umat Kristen. Dalam menghadapi arus budaya sekuler yang kuat, gereja harus secara aktif menolak segala bentuk asimilasi nilai-nilai yang bertentangan dengan ajaran Alkitab. Misalnya, gereja harus menentang konsumerisme yang dapat merusak pemahaman tentang hidup sederhana dan berbagi, serta menolak relativisme moral yang dapat mengaburkan perbedaan antara kebenaran dan dosa. Untuk itu, gereja perlu mempertahankan fondasi teologis yang kuat dan terus-menerus memperbaharui kesetiaannya kepada nilai-nilai kerajaan Allah yang tidak bisa dikompromikan.</w:t>
      </w:r>
      <w:r w:rsidRPr="007416AF">
        <w:rPr>
          <w:rStyle w:val="FootnoteReference"/>
        </w:rPr>
        <w:footnoteReference w:id="29"/>
      </w:r>
    </w:p>
    <w:p w14:paraId="3CADEFD5" w14:textId="77777777" w:rsidR="007E6D59" w:rsidRPr="007416AF" w:rsidRDefault="007E6D59" w:rsidP="007416AF">
      <w:pPr>
        <w:pStyle w:val="ListParagraph"/>
        <w:numPr>
          <w:ilvl w:val="0"/>
          <w:numId w:val="1"/>
        </w:numPr>
        <w:spacing w:after="0" w:line="360" w:lineRule="auto"/>
        <w:ind w:left="426" w:hanging="426"/>
        <w:jc w:val="both"/>
        <w:rPr>
          <w:rFonts w:ascii="Times New Roman" w:hAnsi="Times New Roman"/>
          <w:sz w:val="24"/>
          <w:szCs w:val="24"/>
        </w:rPr>
      </w:pPr>
      <w:r w:rsidRPr="007416AF">
        <w:rPr>
          <w:rStyle w:val="Strong"/>
          <w:rFonts w:ascii="Times New Roman" w:hAnsi="Times New Roman"/>
          <w:sz w:val="24"/>
          <w:szCs w:val="24"/>
        </w:rPr>
        <w:t>Pengaruh Teknologi dan Media Digital</w:t>
      </w:r>
    </w:p>
    <w:p w14:paraId="77D685A2" w14:textId="77777777" w:rsidR="007E6D59" w:rsidRPr="007416AF" w:rsidRDefault="007E6D59" w:rsidP="007416AF">
      <w:pPr>
        <w:pStyle w:val="NormalWeb"/>
        <w:spacing w:before="0" w:beforeAutospacing="0" w:after="0" w:afterAutospacing="0" w:line="360" w:lineRule="auto"/>
        <w:ind w:firstLine="720"/>
        <w:jc w:val="both"/>
      </w:pPr>
      <w:r w:rsidRPr="007416AF">
        <w:t xml:space="preserve">Di era digital saat ini, teknologi dan media sosial memiliki pengaruh yang luar biasa besar terhadap cara gereja dan umat Kristen berinteraksi dengan dunia. Teknologi digital telah membuka peluang besar bagi gereja untuk memberitakan Injil secara lebih luas dan kreatif, </w:t>
      </w:r>
      <w:r w:rsidRPr="007416AF">
        <w:lastRenderedPageBreak/>
        <w:t>namun juga membawa tantangan serius, terutama terkait dengan penyebaran ideologi atau ajaran yang bersifat sinkretis. Media sosial, misalnya, sering kali menjadi ruang di mana berbagai keyakinan dan pandangan dunia bercampur. Tanpa pengawasan yang kritis, gereja dapat terseret ke dalam arus informasi yang tidak terkontrol, di mana ajaran-ajaran yang tidak sesuai dengan Alkitab bercampur dengan kebenaran Kristen. Gereja harus berhati-hati dalam memanfaatkan teknologi, memastikan bahwa penggunaan media digital tetap berpegang pada kebenaran firman Tuhan dan tidak membiarkan kompromi teologis terjadi. Gereja juga harus memanfaatkan media digital untuk mengedukasi umat tentang bahaya sinkretisme dan pentingnya memilah-milah informasi yang diterima. Teknologi dapat menjadi alat yang kuat untuk memperkuat iman, tetapi juga dapat menjadi sarana di mana sinkretisme berkembang jika tidak digunakan dengan bijaksana. Di sinilah pentingnya pemuridan digital, di mana gereja mengajarkan umat bagaimana memahami dan mengkritisi informasi yang mereka terima dari media online, serta tetap teguh pada kebenaran Injil di tengah gempuran berbagai ideologi dan kepercayaan yang bercampur-baur di dunia maya.</w:t>
      </w:r>
      <w:r w:rsidRPr="007416AF">
        <w:rPr>
          <w:rStyle w:val="FootnoteReference"/>
        </w:rPr>
        <w:footnoteReference w:id="30"/>
      </w:r>
    </w:p>
    <w:p w14:paraId="7BD18E16" w14:textId="77777777" w:rsidR="007E6D59" w:rsidRPr="007416AF" w:rsidRDefault="007E6D59" w:rsidP="007416AF">
      <w:pPr>
        <w:pStyle w:val="NormalWeb"/>
        <w:spacing w:before="0" w:beforeAutospacing="0" w:after="0" w:afterAutospacing="0" w:line="360" w:lineRule="auto"/>
        <w:ind w:firstLine="720"/>
        <w:jc w:val="both"/>
      </w:pPr>
    </w:p>
    <w:p w14:paraId="3144D41C" w14:textId="77777777" w:rsidR="007E6D59" w:rsidRPr="007416AF" w:rsidRDefault="007E6D59" w:rsidP="007416AF">
      <w:pPr>
        <w:pStyle w:val="Heading4"/>
        <w:numPr>
          <w:ilvl w:val="0"/>
          <w:numId w:val="7"/>
        </w:numPr>
        <w:spacing w:before="0" w:after="0" w:line="360" w:lineRule="auto"/>
        <w:ind w:left="426" w:hanging="426"/>
        <w:jc w:val="both"/>
      </w:pPr>
      <w:r w:rsidRPr="007416AF">
        <w:t>Strategi Melawan Sinkretisme di Era Modern</w:t>
      </w:r>
    </w:p>
    <w:p w14:paraId="21842C8F" w14:textId="71291AE4" w:rsidR="007E6D59" w:rsidRPr="007416AF" w:rsidRDefault="007E6D59" w:rsidP="007416AF">
      <w:pPr>
        <w:pStyle w:val="NormalWeb"/>
        <w:spacing w:before="0" w:beforeAutospacing="0" w:after="0" w:afterAutospacing="0" w:line="360" w:lineRule="auto"/>
        <w:ind w:firstLine="720"/>
        <w:jc w:val="both"/>
      </w:pPr>
      <w:r w:rsidRPr="007416AF">
        <w:t>Untuk menghadapi tantangan sinkretisme di era modern, gereja perlu mengembangkan beberapa strategi yang efektif dan berkelanjutan guna melindungi iman Kristen dari pengaruh negatif yang dapat mencampuradukkan ajaran Injil dengan praktik-praktik dan kepercayaan lain. Beberapa strategi yang dapat diterapkan antara lain:</w:t>
      </w:r>
    </w:p>
    <w:p w14:paraId="66AE3A58" w14:textId="77777777" w:rsidR="007E6D59" w:rsidRPr="007416AF" w:rsidRDefault="007E6D59" w:rsidP="007416AF">
      <w:pPr>
        <w:pStyle w:val="ListParagraph"/>
        <w:numPr>
          <w:ilvl w:val="0"/>
          <w:numId w:val="2"/>
        </w:numPr>
        <w:spacing w:before="240" w:after="0" w:line="360" w:lineRule="auto"/>
        <w:ind w:left="426" w:hanging="426"/>
        <w:jc w:val="both"/>
        <w:rPr>
          <w:rFonts w:ascii="Times New Roman" w:hAnsi="Times New Roman"/>
          <w:sz w:val="24"/>
          <w:szCs w:val="24"/>
        </w:rPr>
      </w:pPr>
      <w:r w:rsidRPr="007416AF">
        <w:rPr>
          <w:rStyle w:val="Strong"/>
          <w:rFonts w:ascii="Times New Roman" w:hAnsi="Times New Roman"/>
          <w:sz w:val="24"/>
          <w:szCs w:val="24"/>
        </w:rPr>
        <w:t>Pengajaran Teologis yang Mendalam dan Konsisten</w:t>
      </w:r>
    </w:p>
    <w:p w14:paraId="76F4F222" w14:textId="50F97E29" w:rsidR="007416AF" w:rsidRPr="007416AF" w:rsidRDefault="007E6D59" w:rsidP="007416AF">
      <w:pPr>
        <w:pStyle w:val="NormalWeb"/>
        <w:spacing w:before="0" w:beforeAutospacing="0" w:after="240" w:afterAutospacing="0" w:line="360" w:lineRule="auto"/>
        <w:ind w:firstLine="720"/>
        <w:jc w:val="both"/>
      </w:pPr>
      <w:r w:rsidRPr="007416AF">
        <w:t xml:space="preserve">Pengajaran teologi yang mendalam dan konsisten sangat penting untuk membentengi gereja dari pengaruh sinkretisme. Gereja perlu memperkuat ajaran dasar iman Kristen melalui program pendidikan yang sistematis, baik di dalam gereja lokal maupun di lembaga-lembaga pendidikan teologi. Pengajaran ini harus menekankan pada kebenaran mutlak dari firman Tuhan, keunikan Kristus, dan pentingnya menjaga kemurnian iman. Dalam konteks ini, program pembinaan iman, seperti sekolah Alkitab, kelas katekesasi, dan pemuridan, harus dikembangkan lebih jauh. Pengajaran yang baik tidak hanya fokus pada doktrin-doktrin dasar, tetapi juga harus membekali umat Kristen dengan kemampuan untuk mengenali bentuk-bentuk sinkretisme yang mungkin muncul dalam kehidupan sehari-hari, baik di dunia kerja, hubungan sosial, maupun di media digital. Melalui Alkitab, kita diajarkan untuk mengenal Allah sebagai </w:t>
      </w:r>
      <w:r w:rsidRPr="007416AF">
        <w:lastRenderedPageBreak/>
        <w:t>Pencipta alam semesta, yang dengan jelas dibedakan dari semua berhala di dunia ini. Di dalam Alkitab, Allah dinyatakan sebagai Pencipta dunia, dan di dalamnya juga kita diajarkan tentang hal-hal yang perlu kita ketahui mengenai-Nya, sehingga kita tidak tersesat dalam mencari ilah yang tidak pasti. Setelah itu, terdapat jabatan gembala dan pengajar dalam Gereja, yang keduanya tidak pernah bisa terlepas dari kehidupan Gereja. Perbedaan utama antara keduanya adalah bahwa pengajar bertugas untuk menginterpretasikan Alkitab guna menjaga kemurnian ajaran, tetapi tidak memiliki otoritas dalam disiplin Gereja, pelayanan sakramen, atau peringatan. Sebaliknya, jabatan gembala mencakup semua aspe2k tersebut, termasuk tugas untuk memimpin dan menegur.</w:t>
      </w:r>
      <w:r w:rsidRPr="007416AF">
        <w:rPr>
          <w:rStyle w:val="FootnoteReference"/>
        </w:rPr>
        <w:footnoteReference w:id="31"/>
      </w:r>
    </w:p>
    <w:p w14:paraId="217020CE" w14:textId="77777777" w:rsidR="007E6D59" w:rsidRPr="007416AF" w:rsidRDefault="007E6D59" w:rsidP="007416AF">
      <w:pPr>
        <w:pStyle w:val="ListParagraph"/>
        <w:numPr>
          <w:ilvl w:val="0"/>
          <w:numId w:val="2"/>
        </w:numPr>
        <w:spacing w:after="0" w:line="360" w:lineRule="auto"/>
        <w:ind w:left="426" w:hanging="426"/>
        <w:jc w:val="both"/>
        <w:rPr>
          <w:rFonts w:ascii="Times New Roman" w:hAnsi="Times New Roman"/>
          <w:sz w:val="24"/>
          <w:szCs w:val="24"/>
        </w:rPr>
      </w:pPr>
      <w:r w:rsidRPr="007416AF">
        <w:rPr>
          <w:rStyle w:val="Strong"/>
          <w:rFonts w:ascii="Times New Roman" w:hAnsi="Times New Roman"/>
          <w:sz w:val="24"/>
          <w:szCs w:val="24"/>
        </w:rPr>
        <w:t>Pembangunan Komunitas Iman yang Solid</w:t>
      </w:r>
    </w:p>
    <w:p w14:paraId="65A73382" w14:textId="77777777" w:rsidR="007E6D59" w:rsidRPr="007416AF" w:rsidRDefault="007E6D59" w:rsidP="007416AF">
      <w:pPr>
        <w:pStyle w:val="NormalWeb"/>
        <w:spacing w:before="0" w:beforeAutospacing="0" w:line="360" w:lineRule="auto"/>
        <w:ind w:firstLine="720"/>
        <w:jc w:val="both"/>
      </w:pPr>
      <w:r w:rsidRPr="007416AF">
        <w:t>Salah satu cara terbaik untuk melawan sinkretisme adalah dengan membangun komunitas iman yang solid dan saling mendukung. Komunitas yang kuat akan membantu setiap anggotanya untuk tetap teguh dalam iman di tengah tantangan-tantangan sinkretisme. Di dalam komunitas yang sehat, anggota gereja dapat saling mengingatkan, mengoreksi, dan mendukung satu sama lain untuk tetap setia kepada kebenaran Injil. Komunitas ini juga harus menjadi tempat di mana pemuridan yang sejati terjadi, di mana umat Kristen belajar untuk hidup menurut ajaran Alkitab dan menolak segala bentuk kompromi yang dapat mencemari iman mereka. Gereja harus mengembangkan budaya di mana kesetiaan kepada Kristus lebih diutamakan dari pada popularitas atau kenyamanan pribadi. Karakter yang baik mencakup tiga aspek penting: "mengetahui apa yang baik, mencintai yang baik, dan melakukan apa yang baik." Ketiganya saling berkaitan erat. Manusia pada dasarnya lahir dengan kecenderungan berpusat pada diri sendiri dan tanpa pengetahuan yang jelas, di mana dorongan-dorongan dasar sering kali mendominasi penalaran. Pendidikan dan pengasuhan berperan penting untuk mengarahkan perasaan, keinginan, dan nilai-nilai kita agar selaras dengan penalaran yang baik.Mengetahui yang baik berarti seseorang sampai pada pemahaman yang jelas tentang apa yang baik dan jahat. Ini melibatkan kemampuan untuk mengevaluasi situasi, dengan sadar memilih tindakan yang benar, dan melaksanakannya. Aristoteles menyebut proses ini sebagai penalaran praktis, yaitu kemampuan tidak hanya mengelola waktu dengan bijaksana tetapi juga menentukan prioritas dan membuat keputusan yang tepat dalam semua aspek kehidupan.</w:t>
      </w:r>
      <w:r w:rsidRPr="007416AF">
        <w:rPr>
          <w:rStyle w:val="FootnoteReference"/>
        </w:rPr>
        <w:footnoteReference w:id="32"/>
      </w:r>
    </w:p>
    <w:p w14:paraId="5A6FF6AA" w14:textId="77777777" w:rsidR="007E6D59" w:rsidRPr="007416AF" w:rsidRDefault="007E6D59" w:rsidP="007416AF">
      <w:pPr>
        <w:pStyle w:val="ListParagraph"/>
        <w:numPr>
          <w:ilvl w:val="0"/>
          <w:numId w:val="2"/>
        </w:numPr>
        <w:spacing w:after="0" w:line="360" w:lineRule="auto"/>
        <w:ind w:left="426" w:hanging="426"/>
        <w:jc w:val="both"/>
        <w:rPr>
          <w:rFonts w:ascii="Times New Roman" w:hAnsi="Times New Roman"/>
          <w:sz w:val="24"/>
          <w:szCs w:val="24"/>
        </w:rPr>
      </w:pPr>
      <w:r w:rsidRPr="007416AF">
        <w:rPr>
          <w:rStyle w:val="Strong"/>
          <w:rFonts w:ascii="Times New Roman" w:hAnsi="Times New Roman"/>
          <w:sz w:val="24"/>
          <w:szCs w:val="24"/>
        </w:rPr>
        <w:lastRenderedPageBreak/>
        <w:t>Pengembangan Keterampilan Kritis terhadap Budaya</w:t>
      </w:r>
    </w:p>
    <w:p w14:paraId="5E74BA68" w14:textId="2DF9EF13" w:rsidR="007E6D59" w:rsidRPr="007416AF" w:rsidRDefault="007E6D59" w:rsidP="007416AF">
      <w:pPr>
        <w:pStyle w:val="NormalWeb"/>
        <w:spacing w:before="0" w:beforeAutospacing="0" w:line="360" w:lineRule="auto"/>
        <w:ind w:firstLine="720"/>
        <w:jc w:val="both"/>
      </w:pPr>
      <w:r w:rsidRPr="007416AF">
        <w:t>Gereja modern harus membekali umatnya dengan keterampilan untuk secara kritis menganalisis budaya sekitarnya. Tanpa kemampuan untuk mengkritisi budaya, umat Kristen akan lebih mudah terbawa arus sinkretisme yang datang dari pengaruh luar. Gereja dapat membantu umatnya untuk membedakan mana yang sesuai dengan nilai-nilai Kristiani dan mana yang bertentangan dengan Injil. Sebagai bagian dari strategi ini, gereja dapat menyelenggarakan diskusi, seminar, atau pelatihan yang membahas isu-isu kontemporer seperti globalisasi, pluralisme agama, etika digital, dan bagaimana meresponsnya secara teologis. Dengan demikian, umat Kristen akan lebih siap untuk menghadapi tantangan sinkretisme di dalam kehidupan sehari-hari dan tetap setia pada kebenaran firman Tuhan. Di era modernisasi, gereja perlu menyesuaikan diri agar tetap relevan bagi jemaatnya, namun tidak boleh melupakan tanggung jawab dan panggilan utamanya, yaitu membangun masyarakat. Oleh karena itu, teologi praktis harus berperan dalam memberikan panduan bagi gereja dalam merencanakan pengembangan jemaat yang sesuai dengan konteks zaman. Gereja tidak ada dan berkembang untuk kepentingannya sendiri, melainkan untuk turut serta membangun Kerajaan Allah yang membawa damai, keadilan, dan kebenaran di dunia ini. Sebagai institusi yang didirikan oleh Kristus dan diberi kuasa oleh-Nya, gereja diharapkan menjadi alat di mana Allah bekerja melalui umat-Nya untuk memberkati masyarakat.</w:t>
      </w:r>
      <w:r w:rsidRPr="007416AF">
        <w:rPr>
          <w:rStyle w:val="FootnoteReference"/>
        </w:rPr>
        <w:footnoteReference w:id="33"/>
      </w:r>
    </w:p>
    <w:p w14:paraId="3F2007EA" w14:textId="77777777" w:rsidR="007E6D59" w:rsidRPr="007416AF" w:rsidRDefault="007E6D59" w:rsidP="007416AF">
      <w:pPr>
        <w:pStyle w:val="ListParagraph"/>
        <w:numPr>
          <w:ilvl w:val="0"/>
          <w:numId w:val="2"/>
        </w:numPr>
        <w:spacing w:after="0" w:line="360" w:lineRule="auto"/>
        <w:ind w:left="426" w:hanging="426"/>
        <w:jc w:val="both"/>
        <w:rPr>
          <w:rFonts w:ascii="Times New Roman" w:hAnsi="Times New Roman"/>
          <w:sz w:val="24"/>
          <w:szCs w:val="24"/>
        </w:rPr>
      </w:pPr>
      <w:r w:rsidRPr="007416AF">
        <w:rPr>
          <w:rStyle w:val="Strong"/>
          <w:rFonts w:ascii="Times New Roman" w:hAnsi="Times New Roman"/>
          <w:sz w:val="24"/>
          <w:szCs w:val="24"/>
        </w:rPr>
        <w:t>Doa dan Disiplin Rohani yang Mendalam</w:t>
      </w:r>
    </w:p>
    <w:p w14:paraId="4ADC7792" w14:textId="77777777" w:rsidR="007E6D59" w:rsidRPr="007416AF" w:rsidRDefault="007E6D59" w:rsidP="007416AF">
      <w:pPr>
        <w:pStyle w:val="NormalWeb"/>
        <w:spacing w:before="0" w:beforeAutospacing="0" w:after="0" w:afterAutospacing="0" w:line="360" w:lineRule="auto"/>
        <w:ind w:firstLine="720"/>
        <w:jc w:val="both"/>
      </w:pPr>
      <w:r w:rsidRPr="007416AF">
        <w:t xml:space="preserve">Kesetiaan kepada Allah tidak hanya dapat dipertahankan melalui pengajaran dan pemuridan, tetapi juga melalui kehidupan doa dan disiplin rohani yang mendalam. Doa merupakan sarana di mana umat Kristen memohon kekuatan dari Allah untuk tetap setia di tengah godaan-godaan sinkretisme. Disiplin rohani, seperti membaca Alkitab, berpuasa, dan bersekutu dengan sesama orang percaya, akan membentuk karakter iman yang kuat dan tidak mudah digoyahkan oleh pengaruh luar. Dalam Kitab Hakim-Hakim, kita melihat bahwa ketika Israel menjauh dari Allah, mereka dengan mudah terjerumus ke dalam penyembahan berhala dan sinkretisme. Hal ini mengingatkan kita bahwa kehidupan rohani yang mendalam sangat penting untuk mempertahankan kesetiaan iman.  Doa pribadi adalah bagian tak terpisahkan dari kehidupan seorang Kristen. Melalui doa, kita menjalin hubungan dengan Sang Pencipta dalam sebuah interaksi yang dinamis dan penuh semangat. Oleh karena itu, sangat penting bagi orang Kristen untuk memahami arti penting doa dalam kehidupan mereka. Doa memiliki kekuatan </w:t>
      </w:r>
      <w:r w:rsidRPr="007416AF">
        <w:lastRenderedPageBreak/>
        <w:t>untuk membawa kita lebih dekat kepada Tuhan. Ada sepuluh prinsip dasar doa yang sederhana, antara lain: berdoa secara teratur, berdoa untuk berbagai kebutuhan, berdoa dengan keyakinan yang kuat, dan berdoa dengan fokus yang jelas, agar pesan dalam doa dapat diterima dengan baik. Prinsip-prinsip tersebut juga mengajarkan pentingnya mengaitkan doa dengan kehendak ilahi dan tuntunan Roh Kudus, serta memperkuat makna doa melalui keberadaan komunitas iman. Secara keseluruhan, prinsip-prinsip ini membentuk fondasi dalam memahami doa dan bagaimana praktik ini memengaruhi hubungan spiritual seseorang dengan Tuhan. Prinsip-prinsip ini juga berfungsi sebagai landasan teori mengenai doa dan dampaknya pada kesungguhan dalam beribadah. Lancaster menyajikan empat dimensi doa pribadi, termasuk berdoa dengan iman, berdoa dengan fokus, berdoa dengan keberanian, berdoa dengan antusiasme, berdoa sesuai kehendak surgawi, berdoa bersama sahabat-sahabat, berdoa mengikuti arahan Roh Kudus, dan berdoa dengan kasih. Prinsip-prinsip ini menekankan pentingnya Oleh karena itu, gereja harus terus mendorong umatnya untuk memiliki kehidupan doa yang intensif, mendekatkan diri kepada Tuhan, dan mengandalkan Roh Kudus sebagai kekuatan dalam melawan pengaruh sinkretisme.</w:t>
      </w:r>
      <w:r w:rsidRPr="007416AF">
        <w:rPr>
          <w:rStyle w:val="FootnoteReference"/>
        </w:rPr>
        <w:footnoteReference w:id="34"/>
      </w:r>
    </w:p>
    <w:p w14:paraId="7228CCBC" w14:textId="3174B8AA" w:rsidR="007E6D59" w:rsidRDefault="007E6D59" w:rsidP="007416AF">
      <w:pPr>
        <w:pStyle w:val="NormalWeb"/>
        <w:spacing w:before="0" w:beforeAutospacing="0" w:after="0" w:afterAutospacing="0" w:line="360" w:lineRule="auto"/>
        <w:ind w:firstLine="720"/>
        <w:jc w:val="both"/>
      </w:pPr>
      <w:r w:rsidRPr="007416AF">
        <w:t xml:space="preserve">Kitab Hakim-Hakim menunjukkan bahwa Allah menanggapi sinkretisme Israel dengan serius. Setiap kali bangsa Israel jatuh dalam dosa penyembahan berhala, Allah menghukum mereka dengan menyerahkan mereka ke tangan musuh-musuh mereka. Penindasan yang dialami Israel bukan hanya hukuman atas dosa-dosa mereka, tetapi juga sebagai sarana disiplin yang bertujuan untuk membawa mereka kembali kepada-Nya. Misalnya, dalam Hakim-Hakim 6, ketika bangsa Israel jatuh ke dalam penyembahan kepada dewa-dewa Kanaan, Allah menyerahkan mereka ke tangan bangsa Midian selama tujuh tahun. Penindasan ini begitu parah sehingga bangsa Israel terpaksa tinggal di gua-gua dan tempat-tempat persembunyian untuk melarikan diri dari musuh-musuh mereka. Di tengah penderitaan ini, Israel akhirnya berseru kepada Allah, dan Allah merespons dengan mengutus Gideon untuk membebaskan mereka dari tangan musuh. Namun, meskipun penghukuman selalu diikuti dengan pemulihan melalui seorang hakim, Kitab Hakim-Hakim juga menunjukkan bahwa pemulihan ini sering kali bersifat sementara. Setelah hakim yang memimpin Israel meninggal, bangsa itu kembali jatuh ke dalam dosa yang sama. Ini menunjukkan bahwa meskipun Allah selalu setia memulihkan umat-Nya ketika mereka bertobat, pertobatan Israel sering kali dangkal dan tidak bertahan lama. </w:t>
      </w:r>
      <w:r w:rsidRPr="007416AF">
        <w:lastRenderedPageBreak/>
        <w:t>Siklus dosa, penghukuman, pertobatan, dan penyelamatan terus berulang sepanjang Kitab Hakim-Hakim.</w:t>
      </w:r>
    </w:p>
    <w:p w14:paraId="65DD2D8B" w14:textId="77777777" w:rsidR="007416AF" w:rsidRPr="007416AF" w:rsidRDefault="007416AF" w:rsidP="007416AF">
      <w:pPr>
        <w:pStyle w:val="NormalWeb"/>
        <w:spacing w:before="0" w:beforeAutospacing="0" w:after="0" w:afterAutospacing="0" w:line="360" w:lineRule="auto"/>
        <w:ind w:firstLine="720"/>
        <w:jc w:val="both"/>
      </w:pPr>
    </w:p>
    <w:p w14:paraId="22434581" w14:textId="0045F8A2" w:rsidR="007E6D59" w:rsidRPr="007416AF" w:rsidRDefault="007416AF" w:rsidP="007416AF">
      <w:pPr>
        <w:tabs>
          <w:tab w:val="left" w:pos="284"/>
        </w:tabs>
        <w:spacing w:line="360" w:lineRule="auto"/>
        <w:jc w:val="both"/>
        <w:rPr>
          <w:b/>
        </w:rPr>
      </w:pPr>
      <w:r w:rsidRPr="007416AF">
        <w:rPr>
          <w:b/>
        </w:rPr>
        <w:t>KESIMPULAN</w:t>
      </w:r>
    </w:p>
    <w:p w14:paraId="09CE2D6C" w14:textId="77777777" w:rsidR="007E6D59" w:rsidRPr="007416AF" w:rsidRDefault="007E6D59" w:rsidP="007416AF">
      <w:pPr>
        <w:pStyle w:val="NormalWeb"/>
        <w:spacing w:before="0" w:beforeAutospacing="0" w:after="0" w:afterAutospacing="0" w:line="360" w:lineRule="auto"/>
        <w:ind w:firstLine="720"/>
        <w:jc w:val="both"/>
      </w:pPr>
      <w:r w:rsidRPr="007416AF">
        <w:t>Isu sinkretisme dalam Kitab Hakim-Hakim mengajarkan kepada kita tentang bahaya mencampurkan iman kepada Allah dengan praktik-praktik keagamaan dan budaya lain. Bagi bangsa Israel, sinkretisme bukan hanya masalah agama, tetapi juga merupakan masalah spiritual yang mendalam yang mengancam kesetiaan mereka kepada Allah dan merusak hubungan perjanjian yang telah Allah bentuk dengan mereka. Relevansi ini tetap nyata dalam konteks gereja modern, di mana godaan sinkretisme masih menjadi tantangan besar yang menuntut ketegasan dan kewaspadaan.</w:t>
      </w:r>
    </w:p>
    <w:p w14:paraId="45B14D9E" w14:textId="77777777" w:rsidR="007E6D59" w:rsidRPr="007416AF" w:rsidRDefault="007E6D59" w:rsidP="007416AF">
      <w:pPr>
        <w:pStyle w:val="NormalWeb"/>
        <w:spacing w:before="0" w:beforeAutospacing="0" w:after="0" w:afterAutospacing="0" w:line="360" w:lineRule="auto"/>
        <w:ind w:firstLine="720"/>
        <w:jc w:val="both"/>
      </w:pPr>
      <w:r w:rsidRPr="007416AF">
        <w:t>Gereja masa kini dapat menghadapi tantangan ini dengan meneguhkan pendidikan agama yang kuat, membangun komunitas rohani yang solid, mengembangkan disiplin rohani, serta mengedepankan kebenaran teologis yang teguh dan absolut. Upaya ini sangat penting untuk menjaga kemurnian iman di tengah dunia yang kian memenuhi tekanan budaya dan nilai-nilai yang sering bertentangan dengan firman Tuhan. Tantangan sinkretisme mengingatkan bahwa kesetiaan kepada Allah memerlukan perjuangan yang terus-menerus, dan gereja harus selalu waspada terhadap pengaruh-pengaruh yang dapat merusak kemurnian iman umat Allah.</w:t>
      </w:r>
    </w:p>
    <w:p w14:paraId="3DFB87E1" w14:textId="27CE4B83" w:rsidR="007E6D59" w:rsidRDefault="007E6D59" w:rsidP="007E6D59">
      <w:pPr>
        <w:pStyle w:val="NormalWeb"/>
        <w:spacing w:before="0" w:beforeAutospacing="0" w:after="0" w:afterAutospacing="0"/>
        <w:ind w:firstLine="720"/>
        <w:jc w:val="both"/>
        <w:rPr>
          <w:rFonts w:ascii="Calibri Light" w:hAnsi="Calibri Light" w:cs="Calibri Light"/>
        </w:rPr>
      </w:pPr>
    </w:p>
    <w:p w14:paraId="30339929" w14:textId="4687990E" w:rsidR="000611DD" w:rsidRDefault="000611DD" w:rsidP="007E6D59">
      <w:pPr>
        <w:pStyle w:val="NormalWeb"/>
        <w:spacing w:before="0" w:beforeAutospacing="0" w:after="0" w:afterAutospacing="0"/>
        <w:ind w:firstLine="720"/>
        <w:jc w:val="both"/>
        <w:rPr>
          <w:rFonts w:ascii="Calibri Light" w:hAnsi="Calibri Light" w:cs="Calibri Light"/>
        </w:rPr>
      </w:pPr>
    </w:p>
    <w:p w14:paraId="5B077BC9" w14:textId="4924B5B8" w:rsidR="000611DD" w:rsidRDefault="000611DD" w:rsidP="007E6D59">
      <w:pPr>
        <w:pStyle w:val="NormalWeb"/>
        <w:spacing w:before="0" w:beforeAutospacing="0" w:after="0" w:afterAutospacing="0"/>
        <w:ind w:firstLine="720"/>
        <w:jc w:val="both"/>
        <w:rPr>
          <w:rFonts w:ascii="Calibri Light" w:hAnsi="Calibri Light" w:cs="Calibri Light"/>
        </w:rPr>
      </w:pPr>
    </w:p>
    <w:p w14:paraId="205C3CAC" w14:textId="0D904A62" w:rsidR="000611DD" w:rsidRDefault="000611DD" w:rsidP="007E6D59">
      <w:pPr>
        <w:pStyle w:val="NormalWeb"/>
        <w:spacing w:before="0" w:beforeAutospacing="0" w:after="0" w:afterAutospacing="0"/>
        <w:ind w:firstLine="720"/>
        <w:jc w:val="both"/>
        <w:rPr>
          <w:rFonts w:ascii="Calibri Light" w:hAnsi="Calibri Light" w:cs="Calibri Light"/>
        </w:rPr>
      </w:pPr>
    </w:p>
    <w:p w14:paraId="73825868" w14:textId="6A868092" w:rsidR="000611DD" w:rsidRDefault="000611DD" w:rsidP="007E6D59">
      <w:pPr>
        <w:pStyle w:val="NormalWeb"/>
        <w:spacing w:before="0" w:beforeAutospacing="0" w:after="0" w:afterAutospacing="0"/>
        <w:ind w:firstLine="720"/>
        <w:jc w:val="both"/>
        <w:rPr>
          <w:rFonts w:ascii="Calibri Light" w:hAnsi="Calibri Light" w:cs="Calibri Light"/>
        </w:rPr>
      </w:pPr>
    </w:p>
    <w:p w14:paraId="44FF455E" w14:textId="1015094F" w:rsidR="000611DD" w:rsidRDefault="000611DD" w:rsidP="007E6D59">
      <w:pPr>
        <w:pStyle w:val="NormalWeb"/>
        <w:spacing w:before="0" w:beforeAutospacing="0" w:after="0" w:afterAutospacing="0"/>
        <w:ind w:firstLine="720"/>
        <w:jc w:val="both"/>
        <w:rPr>
          <w:rFonts w:ascii="Calibri Light" w:hAnsi="Calibri Light" w:cs="Calibri Light"/>
        </w:rPr>
      </w:pPr>
    </w:p>
    <w:p w14:paraId="1212CD3B" w14:textId="76580661" w:rsidR="000611DD" w:rsidRDefault="000611DD" w:rsidP="007E6D59">
      <w:pPr>
        <w:pStyle w:val="NormalWeb"/>
        <w:spacing w:before="0" w:beforeAutospacing="0" w:after="0" w:afterAutospacing="0"/>
        <w:ind w:firstLine="720"/>
        <w:jc w:val="both"/>
        <w:rPr>
          <w:rFonts w:ascii="Calibri Light" w:hAnsi="Calibri Light" w:cs="Calibri Light"/>
        </w:rPr>
      </w:pPr>
    </w:p>
    <w:p w14:paraId="29F9AF0D" w14:textId="6ABD4A48" w:rsidR="000611DD" w:rsidRDefault="000611DD" w:rsidP="007E6D59">
      <w:pPr>
        <w:pStyle w:val="NormalWeb"/>
        <w:spacing w:before="0" w:beforeAutospacing="0" w:after="0" w:afterAutospacing="0"/>
        <w:ind w:firstLine="720"/>
        <w:jc w:val="both"/>
        <w:rPr>
          <w:rFonts w:ascii="Calibri Light" w:hAnsi="Calibri Light" w:cs="Calibri Light"/>
        </w:rPr>
      </w:pPr>
    </w:p>
    <w:p w14:paraId="7AD78DB6" w14:textId="3A646BFD" w:rsidR="000611DD" w:rsidRDefault="000611DD" w:rsidP="007E6D59">
      <w:pPr>
        <w:pStyle w:val="NormalWeb"/>
        <w:spacing w:before="0" w:beforeAutospacing="0" w:after="0" w:afterAutospacing="0"/>
        <w:ind w:firstLine="720"/>
        <w:jc w:val="both"/>
        <w:rPr>
          <w:rFonts w:ascii="Calibri Light" w:hAnsi="Calibri Light" w:cs="Calibri Light"/>
        </w:rPr>
      </w:pPr>
    </w:p>
    <w:p w14:paraId="398F9FE7" w14:textId="55F63656" w:rsidR="000611DD" w:rsidRDefault="000611DD" w:rsidP="007E6D59">
      <w:pPr>
        <w:pStyle w:val="NormalWeb"/>
        <w:spacing w:before="0" w:beforeAutospacing="0" w:after="0" w:afterAutospacing="0"/>
        <w:ind w:firstLine="720"/>
        <w:jc w:val="both"/>
        <w:rPr>
          <w:rFonts w:ascii="Calibri Light" w:hAnsi="Calibri Light" w:cs="Calibri Light"/>
        </w:rPr>
      </w:pPr>
    </w:p>
    <w:p w14:paraId="618F5DC7" w14:textId="540D81A5" w:rsidR="000611DD" w:rsidRDefault="000611DD" w:rsidP="007E6D59">
      <w:pPr>
        <w:pStyle w:val="NormalWeb"/>
        <w:spacing w:before="0" w:beforeAutospacing="0" w:after="0" w:afterAutospacing="0"/>
        <w:ind w:firstLine="720"/>
        <w:jc w:val="both"/>
        <w:rPr>
          <w:rFonts w:ascii="Calibri Light" w:hAnsi="Calibri Light" w:cs="Calibri Light"/>
        </w:rPr>
      </w:pPr>
    </w:p>
    <w:p w14:paraId="2533756E" w14:textId="422CB24F" w:rsidR="000611DD" w:rsidRDefault="000611DD" w:rsidP="007E6D59">
      <w:pPr>
        <w:pStyle w:val="NormalWeb"/>
        <w:spacing w:before="0" w:beforeAutospacing="0" w:after="0" w:afterAutospacing="0"/>
        <w:ind w:firstLine="720"/>
        <w:jc w:val="both"/>
        <w:rPr>
          <w:rFonts w:ascii="Calibri Light" w:hAnsi="Calibri Light" w:cs="Calibri Light"/>
        </w:rPr>
      </w:pPr>
    </w:p>
    <w:p w14:paraId="47C16720" w14:textId="619E1C14" w:rsidR="000611DD" w:rsidRDefault="000611DD" w:rsidP="007E6D59">
      <w:pPr>
        <w:pStyle w:val="NormalWeb"/>
        <w:spacing w:before="0" w:beforeAutospacing="0" w:after="0" w:afterAutospacing="0"/>
        <w:ind w:firstLine="720"/>
        <w:jc w:val="both"/>
        <w:rPr>
          <w:rFonts w:ascii="Calibri Light" w:hAnsi="Calibri Light" w:cs="Calibri Light"/>
        </w:rPr>
      </w:pPr>
    </w:p>
    <w:p w14:paraId="09A802DC" w14:textId="0D82725D" w:rsidR="000611DD" w:rsidRDefault="000611DD" w:rsidP="007E6D59">
      <w:pPr>
        <w:pStyle w:val="NormalWeb"/>
        <w:spacing w:before="0" w:beforeAutospacing="0" w:after="0" w:afterAutospacing="0"/>
        <w:ind w:firstLine="720"/>
        <w:jc w:val="both"/>
        <w:rPr>
          <w:rFonts w:ascii="Calibri Light" w:hAnsi="Calibri Light" w:cs="Calibri Light"/>
        </w:rPr>
      </w:pPr>
    </w:p>
    <w:p w14:paraId="606A155A" w14:textId="60C2070B" w:rsidR="000611DD" w:rsidRDefault="000611DD" w:rsidP="007E6D59">
      <w:pPr>
        <w:pStyle w:val="NormalWeb"/>
        <w:spacing w:before="0" w:beforeAutospacing="0" w:after="0" w:afterAutospacing="0"/>
        <w:ind w:firstLine="720"/>
        <w:jc w:val="both"/>
        <w:rPr>
          <w:rFonts w:ascii="Calibri Light" w:hAnsi="Calibri Light" w:cs="Calibri Light"/>
        </w:rPr>
      </w:pPr>
    </w:p>
    <w:p w14:paraId="0E9519AD" w14:textId="0906ABD0" w:rsidR="000611DD" w:rsidRDefault="000611DD" w:rsidP="007E6D59">
      <w:pPr>
        <w:pStyle w:val="NormalWeb"/>
        <w:spacing w:before="0" w:beforeAutospacing="0" w:after="0" w:afterAutospacing="0"/>
        <w:ind w:firstLine="720"/>
        <w:jc w:val="both"/>
        <w:rPr>
          <w:rFonts w:ascii="Calibri Light" w:hAnsi="Calibri Light" w:cs="Calibri Light"/>
        </w:rPr>
      </w:pPr>
    </w:p>
    <w:p w14:paraId="5FF9F33F" w14:textId="12F5A9EE" w:rsidR="000611DD" w:rsidRDefault="000611DD" w:rsidP="007E6D59">
      <w:pPr>
        <w:pStyle w:val="NormalWeb"/>
        <w:spacing w:before="0" w:beforeAutospacing="0" w:after="0" w:afterAutospacing="0"/>
        <w:ind w:firstLine="720"/>
        <w:jc w:val="both"/>
        <w:rPr>
          <w:rFonts w:ascii="Calibri Light" w:hAnsi="Calibri Light" w:cs="Calibri Light"/>
        </w:rPr>
      </w:pPr>
    </w:p>
    <w:p w14:paraId="7584D478" w14:textId="03D7E49A" w:rsidR="000611DD" w:rsidRDefault="000611DD" w:rsidP="007E6D59">
      <w:pPr>
        <w:pStyle w:val="NormalWeb"/>
        <w:spacing w:before="0" w:beforeAutospacing="0" w:after="0" w:afterAutospacing="0"/>
        <w:ind w:firstLine="720"/>
        <w:jc w:val="both"/>
        <w:rPr>
          <w:rFonts w:ascii="Calibri Light" w:hAnsi="Calibri Light" w:cs="Calibri Light"/>
        </w:rPr>
      </w:pPr>
    </w:p>
    <w:p w14:paraId="0C6995BB" w14:textId="49A1D9BC" w:rsidR="000611DD" w:rsidRDefault="000611DD" w:rsidP="007E6D59">
      <w:pPr>
        <w:pStyle w:val="NormalWeb"/>
        <w:spacing w:before="0" w:beforeAutospacing="0" w:after="0" w:afterAutospacing="0"/>
        <w:ind w:firstLine="720"/>
        <w:jc w:val="both"/>
        <w:rPr>
          <w:rFonts w:ascii="Calibri Light" w:hAnsi="Calibri Light" w:cs="Calibri Light"/>
        </w:rPr>
      </w:pPr>
    </w:p>
    <w:p w14:paraId="612AE0FB" w14:textId="4505D54D" w:rsidR="000611DD" w:rsidRDefault="000611DD" w:rsidP="007E6D59">
      <w:pPr>
        <w:pStyle w:val="NormalWeb"/>
        <w:spacing w:before="0" w:beforeAutospacing="0" w:after="0" w:afterAutospacing="0"/>
        <w:ind w:firstLine="720"/>
        <w:jc w:val="both"/>
        <w:rPr>
          <w:rFonts w:ascii="Calibri Light" w:hAnsi="Calibri Light" w:cs="Calibri Light"/>
        </w:rPr>
      </w:pPr>
    </w:p>
    <w:p w14:paraId="0BD4B5D4" w14:textId="7A504B19" w:rsidR="000611DD" w:rsidRDefault="000611DD" w:rsidP="007E6D59">
      <w:pPr>
        <w:pStyle w:val="NormalWeb"/>
        <w:spacing w:before="0" w:beforeAutospacing="0" w:after="0" w:afterAutospacing="0"/>
        <w:ind w:firstLine="720"/>
        <w:jc w:val="both"/>
        <w:rPr>
          <w:rFonts w:ascii="Calibri Light" w:hAnsi="Calibri Light" w:cs="Calibri Light"/>
        </w:rPr>
      </w:pPr>
    </w:p>
    <w:p w14:paraId="755DEA0D" w14:textId="77777777" w:rsidR="000611DD" w:rsidRPr="00EC181D" w:rsidRDefault="000611DD" w:rsidP="007E6D59">
      <w:pPr>
        <w:pStyle w:val="NormalWeb"/>
        <w:spacing w:before="0" w:beforeAutospacing="0" w:after="0" w:afterAutospacing="0"/>
        <w:ind w:firstLine="720"/>
        <w:jc w:val="both"/>
        <w:rPr>
          <w:rFonts w:ascii="Calibri Light" w:hAnsi="Calibri Light" w:cs="Calibri Light"/>
        </w:rPr>
      </w:pPr>
    </w:p>
    <w:p w14:paraId="3F8C6DD9" w14:textId="2EE8EB30" w:rsidR="007416AF" w:rsidRDefault="007416AF" w:rsidP="007416AF">
      <w:pPr>
        <w:jc w:val="center"/>
        <w:rPr>
          <w:b/>
        </w:rPr>
      </w:pPr>
      <w:r>
        <w:rPr>
          <w:b/>
        </w:rPr>
        <w:lastRenderedPageBreak/>
        <w:t>DAFTAR PUSTAKA</w:t>
      </w:r>
    </w:p>
    <w:p w14:paraId="38934AA8" w14:textId="77777777" w:rsidR="000611DD" w:rsidRDefault="000611DD" w:rsidP="007416AF">
      <w:pPr>
        <w:jc w:val="center"/>
        <w:rPr>
          <w:b/>
        </w:rPr>
      </w:pPr>
    </w:p>
    <w:p w14:paraId="7C8A769D"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A. Sulle Padang,</w:t>
      </w:r>
      <w:r>
        <w:rPr>
          <w:rFonts w:ascii="Calibri Light" w:hAnsi="Calibri Light" w:cs="Calibri Light"/>
          <w:lang w:val="id-ID"/>
        </w:rPr>
        <w:t xml:space="preserve"> </w:t>
      </w:r>
      <w:r w:rsidRPr="005B410A">
        <w:rPr>
          <w:rFonts w:ascii="Calibri Light" w:hAnsi="Calibri Light" w:cs="Calibri Light"/>
          <w:i/>
          <w:iCs/>
        </w:rPr>
        <w:t>Dari Biblika Ke Anime Diskursus Seputar Teologi, Kepemimpinan, Pendidikan, dan Isu Sosial</w:t>
      </w:r>
      <w:r w:rsidRPr="00D13496">
        <w:rPr>
          <w:rFonts w:ascii="Calibri Light" w:hAnsi="Calibri Light" w:cs="Calibri Light"/>
        </w:rPr>
        <w:t xml:space="preserve"> (LP2M IAKN TORAJA, 2021), 152.</w:t>
      </w:r>
    </w:p>
    <w:p w14:paraId="66F5598C"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Aska Aprilano Pattinaja and Johny Lesnussa</w:t>
      </w:r>
      <w:r w:rsidRPr="00324CCC">
        <w:rPr>
          <w:rFonts w:ascii="Calibri Light" w:hAnsi="Calibri Light" w:cs="Calibri Light"/>
          <w:i/>
          <w:iCs/>
        </w:rPr>
        <w:t>, “Gideon’s Leadership Cohesion and the Negative Side of His Power Based on Judges 8:22-35,</w:t>
      </w:r>
      <w:r w:rsidRPr="00D13496">
        <w:rPr>
          <w:rFonts w:ascii="Calibri Light" w:hAnsi="Calibri Light" w:cs="Calibri Light"/>
        </w:rPr>
        <w:t>”</w:t>
      </w:r>
      <w:r>
        <w:rPr>
          <w:rFonts w:ascii="Calibri Light" w:hAnsi="Calibri Light" w:cs="Calibri Light"/>
          <w:lang w:val="id-ID"/>
        </w:rPr>
        <w:t xml:space="preserve"> </w:t>
      </w:r>
      <w:r w:rsidRPr="00D13496">
        <w:rPr>
          <w:rFonts w:ascii="Calibri Light" w:hAnsi="Calibri Light" w:cs="Calibri Light"/>
        </w:rPr>
        <w:t>(Jurnal Teologi dan Pendidikan Agama Kristen</w:t>
      </w:r>
      <w:r>
        <w:rPr>
          <w:rFonts w:ascii="Calibri Light" w:hAnsi="Calibri Light" w:cs="Calibri Light"/>
          <w:lang w:val="id-ID"/>
        </w:rPr>
        <w:t xml:space="preserve"> </w:t>
      </w:r>
      <w:r w:rsidRPr="00D13496">
        <w:rPr>
          <w:rFonts w:ascii="Calibri Light" w:hAnsi="Calibri Light" w:cs="Calibri Light"/>
        </w:rPr>
        <w:t>20, no. 1, 2024), 42–54.</w:t>
      </w:r>
    </w:p>
    <w:p w14:paraId="6D793B14"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Daniel Nuhamara</w:t>
      </w:r>
      <w:r>
        <w:rPr>
          <w:rFonts w:ascii="Calibri Light" w:hAnsi="Calibri Light" w:cs="Calibri Light"/>
          <w:lang w:val="id-ID"/>
        </w:rPr>
        <w:t>,</w:t>
      </w:r>
      <w:r w:rsidRPr="00D13496">
        <w:rPr>
          <w:rFonts w:ascii="Calibri Light" w:hAnsi="Calibri Light" w:cs="Calibri Light"/>
        </w:rPr>
        <w:t xml:space="preserve"> </w:t>
      </w:r>
      <w:r w:rsidRPr="005B410A">
        <w:rPr>
          <w:rFonts w:ascii="Calibri Light" w:hAnsi="Calibri Light" w:cs="Calibri Light"/>
          <w:i/>
          <w:iCs/>
        </w:rPr>
        <w:t>“Pengutamaan Dimensi Karakter Dalam Pendidikan Agama Kristen,”</w:t>
      </w:r>
      <w:r w:rsidRPr="00D13496">
        <w:rPr>
          <w:rFonts w:ascii="Calibri Light" w:hAnsi="Calibri Light" w:cs="Calibri Light"/>
        </w:rPr>
        <w:t xml:space="preserve"> (Jurnal Jaffray</w:t>
      </w:r>
      <w:r>
        <w:rPr>
          <w:rFonts w:ascii="Calibri Light" w:hAnsi="Calibri Light" w:cs="Calibri Light"/>
          <w:lang w:val="id-ID"/>
        </w:rPr>
        <w:t xml:space="preserve"> </w:t>
      </w:r>
      <w:r w:rsidRPr="00D13496">
        <w:rPr>
          <w:rFonts w:ascii="Calibri Light" w:hAnsi="Calibri Light" w:cs="Calibri Light"/>
        </w:rPr>
        <w:t>V. 16, no. 1, 2018), 93.</w:t>
      </w:r>
    </w:p>
    <w:p w14:paraId="5EDC6BB2"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Desi Ratnasari and Marthin S Lumingkewas</w:t>
      </w:r>
      <w:r>
        <w:rPr>
          <w:rFonts w:ascii="Calibri Light" w:hAnsi="Calibri Light" w:cs="Calibri Light"/>
          <w:lang w:val="id-ID"/>
        </w:rPr>
        <w:t>,</w:t>
      </w:r>
      <w:r w:rsidRPr="00D13496">
        <w:rPr>
          <w:rFonts w:ascii="Calibri Light" w:hAnsi="Calibri Light" w:cs="Calibri Light"/>
        </w:rPr>
        <w:t xml:space="preserve"> </w:t>
      </w:r>
      <w:r w:rsidRPr="005B410A">
        <w:rPr>
          <w:rFonts w:ascii="Calibri Light" w:hAnsi="Calibri Light" w:cs="Calibri Light"/>
          <w:i/>
          <w:iCs/>
        </w:rPr>
        <w:t>“Kawin Campur,”</w:t>
      </w:r>
      <w:r>
        <w:rPr>
          <w:rFonts w:ascii="Calibri Light" w:hAnsi="Calibri Light" w:cs="Calibri Light"/>
          <w:lang w:val="id-ID"/>
        </w:rPr>
        <w:t xml:space="preserve"> </w:t>
      </w:r>
      <w:r w:rsidRPr="00D13496">
        <w:rPr>
          <w:rFonts w:ascii="Calibri Light" w:hAnsi="Calibri Light" w:cs="Calibri Light"/>
        </w:rPr>
        <w:t>(STT Tawangmangu, Jawa Tengah, Diandra Kreatif, 2018), 1–6.</w:t>
      </w:r>
    </w:p>
    <w:p w14:paraId="491C6833"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Ezra Tari</w:t>
      </w:r>
      <w:r>
        <w:rPr>
          <w:rFonts w:ascii="Calibri Light" w:hAnsi="Calibri Light" w:cs="Calibri Light"/>
          <w:lang w:val="id-ID"/>
        </w:rPr>
        <w:t xml:space="preserve">, </w:t>
      </w:r>
      <w:r w:rsidRPr="005B410A">
        <w:rPr>
          <w:rFonts w:ascii="Calibri Light" w:hAnsi="Calibri Light" w:cs="Calibri Light"/>
          <w:i/>
          <w:iCs/>
        </w:rPr>
        <w:t>Bagaimana Kita Bisa Melawan Sinkretisme Di Dalam Misi Kita?</w:t>
      </w:r>
      <w:r>
        <w:rPr>
          <w:rFonts w:ascii="Calibri Light" w:hAnsi="Calibri Light" w:cs="Calibri Light"/>
          <w:lang w:val="id-ID"/>
        </w:rPr>
        <w:t xml:space="preserve"> </w:t>
      </w:r>
      <w:r w:rsidRPr="00D13496">
        <w:rPr>
          <w:rFonts w:ascii="Calibri Light" w:hAnsi="Calibri Light" w:cs="Calibri Light"/>
        </w:rPr>
        <w:t>(Sekolah Tinggi Teologi Jaffray Makasar, 2012), 1-15.</w:t>
      </w:r>
    </w:p>
    <w:p w14:paraId="61D652E1"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 xml:space="preserve">Fati Aro Zega, </w:t>
      </w:r>
      <w:r w:rsidRPr="005B410A">
        <w:rPr>
          <w:rFonts w:ascii="Calibri Light" w:hAnsi="Calibri Light" w:cs="Calibri Light"/>
          <w:i/>
          <w:iCs/>
        </w:rPr>
        <w:t>“Vista Siklus Apostasi Kuasa Doa Dalam Kitab Hakim-Hakim Untuk Intensi,”</w:t>
      </w:r>
      <w:r w:rsidRPr="00D13496">
        <w:rPr>
          <w:rFonts w:ascii="Calibri Light" w:hAnsi="Calibri Light" w:cs="Calibri Light"/>
        </w:rPr>
        <w:t xml:space="preserve"> (Ritornera - Jurnal Teologi Pentakosta Indonesia</w:t>
      </w:r>
      <w:r>
        <w:rPr>
          <w:rFonts w:ascii="Calibri Light" w:hAnsi="Calibri Light" w:cs="Calibri Light"/>
          <w:lang w:val="id-ID"/>
        </w:rPr>
        <w:t xml:space="preserve"> </w:t>
      </w:r>
      <w:r w:rsidRPr="00D13496">
        <w:rPr>
          <w:rFonts w:ascii="Calibri Light" w:hAnsi="Calibri Light" w:cs="Calibri Light"/>
        </w:rPr>
        <w:t>no. 1, 2021), 88–116.</w:t>
      </w:r>
    </w:p>
    <w:p w14:paraId="76366038"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 xml:space="preserve">Freddy Simanjuntak, Ronald Sianipar, and Agustinus Sihombing, </w:t>
      </w:r>
      <w:r w:rsidRPr="005B410A">
        <w:rPr>
          <w:rFonts w:ascii="Calibri Light" w:hAnsi="Calibri Light" w:cs="Calibri Light"/>
          <w:i/>
          <w:iCs/>
        </w:rPr>
        <w:t>“Menelusuri Sejarah Nomaden Bangsa Israel,</w:t>
      </w:r>
      <w:r w:rsidRPr="00D13496">
        <w:rPr>
          <w:rFonts w:ascii="Calibri Light" w:hAnsi="Calibri Light" w:cs="Calibri Light"/>
        </w:rPr>
        <w:t>” (Teologi dan Pendidikan Agama Kristen</w:t>
      </w:r>
      <w:r>
        <w:rPr>
          <w:rFonts w:ascii="Calibri Light" w:hAnsi="Calibri Light" w:cs="Calibri Light"/>
          <w:lang w:val="id-ID"/>
        </w:rPr>
        <w:t>m</w:t>
      </w:r>
      <w:r w:rsidRPr="00D13496">
        <w:rPr>
          <w:rFonts w:ascii="Calibri Light" w:hAnsi="Calibri Light" w:cs="Calibri Light"/>
        </w:rPr>
        <w:t>Vol. IV no. 2, 2019), 3–4.</w:t>
      </w:r>
    </w:p>
    <w:p w14:paraId="1F16466C"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Gandi Wibowo</w:t>
      </w:r>
      <w:r>
        <w:rPr>
          <w:rFonts w:ascii="Calibri Light" w:hAnsi="Calibri Light" w:cs="Calibri Light"/>
          <w:lang w:val="id-ID"/>
        </w:rPr>
        <w:t xml:space="preserve">, </w:t>
      </w:r>
      <w:r w:rsidRPr="005B410A">
        <w:rPr>
          <w:rFonts w:ascii="Calibri Light" w:hAnsi="Calibri Light" w:cs="Calibri Light"/>
          <w:i/>
          <w:iCs/>
        </w:rPr>
        <w:t xml:space="preserve">Asimilasi Dan Akulturasi Penyembahan Baal Di Bangsa Israel: Pendekatan Sosio Teologis </w:t>
      </w:r>
      <w:r w:rsidRPr="00324CCC">
        <w:rPr>
          <w:rFonts w:ascii="Calibri Light" w:hAnsi="Calibri Light" w:cs="Calibri Light"/>
          <w:i/>
          <w:iCs/>
        </w:rPr>
        <w:t>Menurut Teori Multi Stage Assimilation Milton M. Gordon</w:t>
      </w:r>
      <w:r w:rsidRPr="00D13496">
        <w:rPr>
          <w:rFonts w:ascii="Calibri Light" w:hAnsi="Calibri Light" w:cs="Calibri Light"/>
        </w:rPr>
        <w:t>, (Sekolah Tinggi Teologi Baptis Kalvari, 2021 No. 1), 18–30.</w:t>
      </w:r>
    </w:p>
    <w:p w14:paraId="34985D4D"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Gerhard E Sipayung</w:t>
      </w:r>
      <w:r>
        <w:rPr>
          <w:rFonts w:ascii="Calibri Light" w:hAnsi="Calibri Light" w:cs="Calibri Light"/>
          <w:lang w:val="id-ID"/>
        </w:rPr>
        <w:t>,</w:t>
      </w:r>
      <w:r w:rsidRPr="00D13496">
        <w:rPr>
          <w:rFonts w:ascii="Calibri Light" w:hAnsi="Calibri Light" w:cs="Calibri Light"/>
        </w:rPr>
        <w:t xml:space="preserve"> </w:t>
      </w:r>
      <w:r w:rsidRPr="005B410A">
        <w:rPr>
          <w:rFonts w:ascii="Calibri Light" w:hAnsi="Calibri Light" w:cs="Calibri Light"/>
          <w:i/>
          <w:iCs/>
        </w:rPr>
        <w:t>"Aspek Spiritual Dan Aspek Politik Kepemimpinan Samuel Sebagai Model Pemimpin Dalam Membangun Sebuah Tatanan Baru Pada Pilkada Dan Pilpres, 2024,”</w:t>
      </w:r>
      <w:r>
        <w:rPr>
          <w:rFonts w:ascii="Calibri Light" w:hAnsi="Calibri Light" w:cs="Calibri Light"/>
          <w:lang w:val="id-ID"/>
        </w:rPr>
        <w:t xml:space="preserve"> </w:t>
      </w:r>
      <w:r w:rsidRPr="00D13496">
        <w:rPr>
          <w:rFonts w:ascii="Calibri Light" w:hAnsi="Calibri Light" w:cs="Calibri Light"/>
        </w:rPr>
        <w:t>(STT Baptis Medan, Jurnal Teologi dan Pendidikan Kristian</w:t>
      </w:r>
      <w:r>
        <w:rPr>
          <w:rFonts w:ascii="Calibri Light" w:hAnsi="Calibri Light" w:cs="Calibri Light"/>
          <w:lang w:val="id-ID"/>
        </w:rPr>
        <w:t xml:space="preserve"> </w:t>
      </w:r>
      <w:r w:rsidRPr="00D13496">
        <w:rPr>
          <w:rFonts w:ascii="Calibri Light" w:hAnsi="Calibri Light" w:cs="Calibri Light"/>
        </w:rPr>
        <w:t>2, no. 1, 2023), 1–16.</w:t>
      </w:r>
    </w:p>
    <w:p w14:paraId="54401210"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Hasahatan Hutahaean</w:t>
      </w:r>
      <w:r>
        <w:rPr>
          <w:rFonts w:ascii="Calibri Light" w:hAnsi="Calibri Light" w:cs="Calibri Light"/>
          <w:lang w:val="id-ID"/>
        </w:rPr>
        <w:t xml:space="preserve">, </w:t>
      </w:r>
      <w:r w:rsidRPr="00D13496">
        <w:rPr>
          <w:rFonts w:ascii="Calibri Light" w:hAnsi="Calibri Light" w:cs="Calibri Light"/>
        </w:rPr>
        <w:t xml:space="preserve">Teologi Politik Gereja: </w:t>
      </w:r>
      <w:r w:rsidRPr="005B410A">
        <w:rPr>
          <w:rFonts w:ascii="Calibri Light" w:hAnsi="Calibri Light" w:cs="Calibri Light"/>
          <w:i/>
          <w:iCs/>
        </w:rPr>
        <w:t>Menemukan dan Memancarkan Tritugas Gereja dalam Pilkada dan Pilpres</w:t>
      </w:r>
      <w:r w:rsidRPr="005B410A">
        <w:rPr>
          <w:rFonts w:ascii="Calibri Light" w:hAnsi="Calibri Light" w:cs="Calibri Light"/>
          <w:i/>
          <w:iCs/>
          <w:lang w:val="id-ID"/>
        </w:rPr>
        <w:t>,</w:t>
      </w:r>
      <w:r>
        <w:rPr>
          <w:rFonts w:ascii="Calibri Light" w:hAnsi="Calibri Light" w:cs="Calibri Light"/>
          <w:lang w:val="id-ID"/>
        </w:rPr>
        <w:t xml:space="preserve"> </w:t>
      </w:r>
      <w:r w:rsidRPr="00D13496">
        <w:rPr>
          <w:rFonts w:ascii="Calibri Light" w:hAnsi="Calibri Light" w:cs="Calibri Light"/>
        </w:rPr>
        <w:t>(Sekolah Tinggi Teologi Sumatera Utara, Jurnal Studi Agama-Agama V. 1, no. 1, 2021), 1–17.</w:t>
      </w:r>
    </w:p>
    <w:p w14:paraId="3901C768"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J. Sidlow Baxter</w:t>
      </w:r>
      <w:r>
        <w:rPr>
          <w:rFonts w:ascii="Calibri Light" w:hAnsi="Calibri Light" w:cs="Calibri Light"/>
          <w:lang w:val="id-ID"/>
        </w:rPr>
        <w:t xml:space="preserve">, </w:t>
      </w:r>
      <w:r w:rsidRPr="005B410A">
        <w:rPr>
          <w:rFonts w:ascii="Calibri Light" w:hAnsi="Calibri Light" w:cs="Calibri Light"/>
          <w:i/>
          <w:iCs/>
        </w:rPr>
        <w:t>MENGGALI ISI ALKITAB: Kejadian Sampai Dengan Ester</w:t>
      </w:r>
      <w:r w:rsidRPr="005B410A">
        <w:rPr>
          <w:rFonts w:ascii="Calibri Light" w:hAnsi="Calibri Light" w:cs="Calibri Light"/>
          <w:i/>
          <w:iCs/>
          <w:lang w:val="id-ID"/>
        </w:rPr>
        <w:t xml:space="preserve"> </w:t>
      </w:r>
      <w:r w:rsidRPr="005B410A">
        <w:rPr>
          <w:rFonts w:ascii="Calibri Light" w:hAnsi="Calibri Light" w:cs="Calibri Light"/>
          <w:i/>
          <w:iCs/>
        </w:rPr>
        <w:t>(Jakarta: Yayayasan Komunikasi Bina Kasih/OMF, 1974),</w:t>
      </w:r>
      <w:r w:rsidRPr="00D13496">
        <w:rPr>
          <w:rFonts w:ascii="Calibri Light" w:hAnsi="Calibri Light" w:cs="Calibri Light"/>
        </w:rPr>
        <w:t xml:space="preserve"> 266-282.</w:t>
      </w:r>
    </w:p>
    <w:p w14:paraId="144BA139"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Justice Zeni Zari Panggabean</w:t>
      </w:r>
      <w:r w:rsidRPr="005B410A">
        <w:rPr>
          <w:rFonts w:ascii="Calibri Light" w:hAnsi="Calibri Light" w:cs="Calibri Light"/>
          <w:i/>
          <w:iCs/>
          <w:lang w:val="id-ID"/>
        </w:rPr>
        <w:t xml:space="preserve">, </w:t>
      </w:r>
      <w:r w:rsidRPr="005B410A">
        <w:rPr>
          <w:rFonts w:ascii="Calibri Light" w:hAnsi="Calibri Light" w:cs="Calibri Light"/>
          <w:i/>
          <w:iCs/>
        </w:rPr>
        <w:t>“Pendekatan Praksis-Teologis dalam Fondasi Pendidikan Kristiani,”</w:t>
      </w:r>
      <w:r>
        <w:rPr>
          <w:rFonts w:ascii="Calibri Light" w:hAnsi="Calibri Light" w:cs="Calibri Light"/>
          <w:lang w:val="id-ID"/>
        </w:rPr>
        <w:t xml:space="preserve"> </w:t>
      </w:r>
      <w:r w:rsidRPr="00D13496">
        <w:rPr>
          <w:rFonts w:ascii="Calibri Light" w:hAnsi="Calibri Light" w:cs="Calibri Light"/>
        </w:rPr>
        <w:t>(Kurios</w:t>
      </w:r>
      <w:r>
        <w:rPr>
          <w:rFonts w:ascii="Calibri Light" w:hAnsi="Calibri Light" w:cs="Calibri Light"/>
          <w:lang w:val="id-ID"/>
        </w:rPr>
        <w:t xml:space="preserve"> </w:t>
      </w:r>
      <w:r w:rsidRPr="00D13496">
        <w:rPr>
          <w:rFonts w:ascii="Calibri Light" w:hAnsi="Calibri Light" w:cs="Calibri Light"/>
        </w:rPr>
        <w:t>V. 4, no. 2, 2018), 167.</w:t>
      </w:r>
    </w:p>
    <w:p w14:paraId="3474C347"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Nita Abia Salabay</w:t>
      </w:r>
      <w:r>
        <w:rPr>
          <w:rFonts w:ascii="Calibri Light" w:hAnsi="Calibri Light" w:cs="Calibri Light"/>
          <w:lang w:val="id-ID"/>
        </w:rPr>
        <w:t xml:space="preserve">, </w:t>
      </w:r>
      <w:r w:rsidRPr="005B410A">
        <w:rPr>
          <w:rFonts w:ascii="Calibri Light" w:hAnsi="Calibri Light" w:cs="Calibri Light"/>
          <w:i/>
          <w:iCs/>
        </w:rPr>
        <w:t>“Dasar Membangun Persekutuan Kristen Menurut Rasul Paulus,”</w:t>
      </w:r>
      <w:r w:rsidRPr="00D13496">
        <w:rPr>
          <w:rFonts w:ascii="Calibri Light" w:hAnsi="Calibri Light" w:cs="Calibri Light"/>
        </w:rPr>
        <w:t xml:space="preserve"> (Murai: Jurnal Papua Teologi Kontekstual</w:t>
      </w:r>
      <w:r>
        <w:rPr>
          <w:rFonts w:ascii="Calibri Light" w:hAnsi="Calibri Light" w:cs="Calibri Light"/>
          <w:lang w:val="id-ID"/>
        </w:rPr>
        <w:t xml:space="preserve"> </w:t>
      </w:r>
      <w:r w:rsidRPr="00D13496">
        <w:rPr>
          <w:rFonts w:ascii="Calibri Light" w:hAnsi="Calibri Light" w:cs="Calibri Light"/>
        </w:rPr>
        <w:t>3, no. 2, 2022), 55–71.</w:t>
      </w:r>
    </w:p>
    <w:p w14:paraId="7E743DC6"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Pontas Surya Fernandes</w:t>
      </w:r>
      <w:r>
        <w:rPr>
          <w:rFonts w:ascii="Calibri Light" w:hAnsi="Calibri Light" w:cs="Calibri Light"/>
          <w:lang w:val="id-ID"/>
        </w:rPr>
        <w:t xml:space="preserve">, </w:t>
      </w:r>
      <w:r w:rsidRPr="005B410A">
        <w:rPr>
          <w:rFonts w:ascii="Calibri Light" w:hAnsi="Calibri Light" w:cs="Calibri Light"/>
          <w:i/>
          <w:iCs/>
        </w:rPr>
        <w:t>PENGENALAN KITAB HAKIM-HAKIM</w:t>
      </w:r>
      <w:r>
        <w:rPr>
          <w:rFonts w:ascii="Calibri Light" w:hAnsi="Calibri Light" w:cs="Calibri Light"/>
          <w:lang w:val="id-ID"/>
        </w:rPr>
        <w:t xml:space="preserve"> </w:t>
      </w:r>
      <w:r w:rsidRPr="00D13496">
        <w:rPr>
          <w:rFonts w:ascii="Calibri Light" w:hAnsi="Calibri Light" w:cs="Calibri Light"/>
        </w:rPr>
        <w:t>(Jurnal Penabiblos</w:t>
      </w:r>
      <w:r>
        <w:rPr>
          <w:rFonts w:ascii="Calibri Light" w:hAnsi="Calibri Light" w:cs="Calibri Light"/>
          <w:lang w:val="id-ID"/>
        </w:rPr>
        <w:t xml:space="preserve"> </w:t>
      </w:r>
      <w:r w:rsidRPr="00D13496">
        <w:rPr>
          <w:rFonts w:ascii="Calibri Light" w:hAnsi="Calibri Light" w:cs="Calibri Light"/>
        </w:rPr>
        <w:t>2, 2015), 10-20.</w:t>
      </w:r>
    </w:p>
    <w:p w14:paraId="4C72E3F8"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R.F. Bhanu Viktorahadi Pr</w:t>
      </w:r>
      <w:r>
        <w:rPr>
          <w:rFonts w:ascii="Calibri Light" w:hAnsi="Calibri Light" w:cs="Calibri Light"/>
          <w:lang w:val="id-ID"/>
        </w:rPr>
        <w:t xml:space="preserve">, </w:t>
      </w:r>
      <w:r w:rsidRPr="005B410A">
        <w:rPr>
          <w:rFonts w:ascii="Calibri Light" w:hAnsi="Calibri Light" w:cs="Calibri Light"/>
          <w:i/>
          <w:iCs/>
        </w:rPr>
        <w:t xml:space="preserve">Buku Ajar Eksegese: Perjanjian Lama Sejarah </w:t>
      </w:r>
      <w:r w:rsidRPr="00D13496">
        <w:rPr>
          <w:rFonts w:ascii="Calibri Light" w:hAnsi="Calibri Light" w:cs="Calibri Light"/>
        </w:rPr>
        <w:t>(Prodi S2 Studi Agama-Agama UIN Sunan Gunung Djati Bandung, 2008), 62.</w:t>
      </w:r>
    </w:p>
    <w:p w14:paraId="6EA0717D"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Risart Pelamonia</w:t>
      </w:r>
      <w:r>
        <w:rPr>
          <w:rFonts w:ascii="Calibri Light" w:hAnsi="Calibri Light" w:cs="Calibri Light"/>
          <w:lang w:val="id-ID"/>
        </w:rPr>
        <w:t>,</w:t>
      </w:r>
      <w:r w:rsidRPr="00D13496">
        <w:rPr>
          <w:rFonts w:ascii="Calibri Light" w:hAnsi="Calibri Light" w:cs="Calibri Light"/>
        </w:rPr>
        <w:t xml:space="preserve"> </w:t>
      </w:r>
      <w:r w:rsidRPr="005B410A">
        <w:rPr>
          <w:rFonts w:ascii="Calibri Light" w:hAnsi="Calibri Light" w:cs="Calibri Light"/>
          <w:i/>
          <w:iCs/>
        </w:rPr>
        <w:t>“Sinkretisme”</w:t>
      </w:r>
      <w:r w:rsidRPr="00D13496">
        <w:rPr>
          <w:rFonts w:ascii="Calibri Light" w:hAnsi="Calibri Light" w:cs="Calibri Light"/>
        </w:rPr>
        <w:t xml:space="preserve"> (2020), 1–13.</w:t>
      </w:r>
    </w:p>
    <w:p w14:paraId="1C2EC4CB"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Yan Adecco Michael Sitanggang and Stimson Hutagalung</w:t>
      </w:r>
      <w:r>
        <w:rPr>
          <w:rFonts w:ascii="Calibri Light" w:hAnsi="Calibri Light" w:cs="Calibri Light"/>
          <w:lang w:val="id-ID"/>
        </w:rPr>
        <w:t xml:space="preserve">, </w:t>
      </w:r>
      <w:r w:rsidRPr="005B410A">
        <w:rPr>
          <w:rFonts w:ascii="Calibri Light" w:hAnsi="Calibri Light" w:cs="Calibri Light"/>
          <w:i/>
          <w:iCs/>
        </w:rPr>
        <w:t>“Analisis Pengaruh Doa Pribadi Terhadap Kesungguhan Ibadah Anggota Jemaat Gereja Masihi Advent Hari Ketujuh Tembagapura</w:t>
      </w:r>
      <w:r w:rsidRPr="00D13496">
        <w:rPr>
          <w:rFonts w:ascii="Calibri Light" w:hAnsi="Calibri Light" w:cs="Calibri Light"/>
        </w:rPr>
        <w:t>,”</w:t>
      </w:r>
      <w:r>
        <w:rPr>
          <w:rFonts w:ascii="Calibri Light" w:hAnsi="Calibri Light" w:cs="Calibri Light"/>
          <w:lang w:val="id-ID"/>
        </w:rPr>
        <w:t xml:space="preserve"> </w:t>
      </w:r>
      <w:r w:rsidRPr="00D13496">
        <w:rPr>
          <w:rFonts w:ascii="Calibri Light" w:hAnsi="Calibri Light" w:cs="Calibri Light"/>
        </w:rPr>
        <w:t>(Jurnal Teologi dan Pendidikan Kristen</w:t>
      </w:r>
      <w:r>
        <w:rPr>
          <w:rFonts w:ascii="Calibri Light" w:hAnsi="Calibri Light" w:cs="Calibri Light"/>
          <w:lang w:val="id-ID"/>
        </w:rPr>
        <w:t xml:space="preserve"> </w:t>
      </w:r>
      <w:r w:rsidRPr="00D13496">
        <w:rPr>
          <w:rFonts w:ascii="Calibri Light" w:hAnsi="Calibri Light" w:cs="Calibri Light"/>
        </w:rPr>
        <w:t>V. 4, no. April, 2024), 45–61.</w:t>
      </w:r>
    </w:p>
    <w:p w14:paraId="4940674D"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Yafet M Paembonan</w:t>
      </w:r>
      <w:r>
        <w:rPr>
          <w:rFonts w:ascii="Calibri Light" w:hAnsi="Calibri Light" w:cs="Calibri Light"/>
          <w:lang w:val="id-ID"/>
        </w:rPr>
        <w:t xml:space="preserve">, </w:t>
      </w:r>
      <w:r w:rsidRPr="005B410A">
        <w:rPr>
          <w:rFonts w:ascii="Calibri Light" w:hAnsi="Calibri Light" w:cs="Calibri Light"/>
          <w:i/>
          <w:iCs/>
        </w:rPr>
        <w:t>“Memahami Tantangan Teologi Pluralisme dan Teologi Pembebasan"</w:t>
      </w:r>
      <w:r w:rsidRPr="00D13496">
        <w:rPr>
          <w:rFonts w:ascii="Calibri Light" w:hAnsi="Calibri Light" w:cs="Calibri Light"/>
        </w:rPr>
        <w:t xml:space="preserve"> (Sekolah Tinggi Teologi Berita Hidup V. 2, no. 1, 2019), 48-59.</w:t>
      </w:r>
    </w:p>
    <w:p w14:paraId="46C7E0B8" w14:textId="77777777" w:rsidR="007E6D59" w:rsidRPr="00D1349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YD. Anus Laukapitang</w:t>
      </w:r>
      <w:r>
        <w:rPr>
          <w:rFonts w:ascii="Calibri Light" w:hAnsi="Calibri Light" w:cs="Calibri Light"/>
          <w:lang w:val="id-ID"/>
        </w:rPr>
        <w:t xml:space="preserve">, </w:t>
      </w:r>
      <w:r w:rsidRPr="005B410A">
        <w:rPr>
          <w:rFonts w:ascii="Calibri Light" w:hAnsi="Calibri Light" w:cs="Calibri Light"/>
          <w:i/>
          <w:iCs/>
        </w:rPr>
        <w:t>“Teologi Pembangunan Berbasis Pengembangan Masyarakat Shalom Pada Gereja Kemah Injil Indonesia Daerah Kupang Nusa Tenggara Timur,”</w:t>
      </w:r>
      <w:r w:rsidRPr="00D13496">
        <w:rPr>
          <w:rFonts w:ascii="Calibri Light" w:hAnsi="Calibri Light" w:cs="Calibri Light"/>
        </w:rPr>
        <w:t xml:space="preserve"> (Jurnal Jaffray</w:t>
      </w:r>
      <w:r>
        <w:rPr>
          <w:rFonts w:ascii="Calibri Light" w:hAnsi="Calibri Light" w:cs="Calibri Light"/>
          <w:lang w:val="id-ID"/>
        </w:rPr>
        <w:t xml:space="preserve"> </w:t>
      </w:r>
      <w:r w:rsidRPr="00D13496">
        <w:rPr>
          <w:rFonts w:ascii="Calibri Light" w:hAnsi="Calibri Light" w:cs="Calibri Light"/>
        </w:rPr>
        <w:t>V. 14, no. 2, 2016), 241.</w:t>
      </w:r>
    </w:p>
    <w:p w14:paraId="7D04D452"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D13496">
        <w:rPr>
          <w:rFonts w:ascii="Calibri Light" w:hAnsi="Calibri Light" w:cs="Calibri Light"/>
        </w:rPr>
        <w:t>Yesri E. Talan</w:t>
      </w:r>
      <w:r>
        <w:rPr>
          <w:rFonts w:ascii="Calibri Light" w:hAnsi="Calibri Light" w:cs="Calibri Light"/>
          <w:lang w:val="id-ID"/>
        </w:rPr>
        <w:t xml:space="preserve">, </w:t>
      </w:r>
      <w:r w:rsidRPr="005B410A">
        <w:rPr>
          <w:rFonts w:ascii="Calibri Light" w:hAnsi="Calibri Light" w:cs="Calibri Light"/>
          <w:i/>
          <w:iCs/>
        </w:rPr>
        <w:t>Mengkaji Bahaya Sinkretisme Dalam Konteks Gereja</w:t>
      </w:r>
      <w:r w:rsidRPr="005B410A">
        <w:rPr>
          <w:rFonts w:ascii="Calibri Light" w:hAnsi="Calibri Light" w:cs="Calibri Light"/>
          <w:i/>
          <w:iCs/>
          <w:lang w:val="id-ID"/>
        </w:rPr>
        <w:t>,</w:t>
      </w:r>
      <w:r>
        <w:rPr>
          <w:rFonts w:ascii="Calibri Light" w:hAnsi="Calibri Light" w:cs="Calibri Light"/>
          <w:lang w:val="id-ID"/>
        </w:rPr>
        <w:t xml:space="preserve"> </w:t>
      </w:r>
      <w:r w:rsidRPr="00D13496">
        <w:rPr>
          <w:rFonts w:ascii="Calibri Light" w:hAnsi="Calibri Light" w:cs="Calibri Light"/>
        </w:rPr>
        <w:t xml:space="preserve">(SESAWI: Jurnal Teologi </w:t>
      </w:r>
      <w:r w:rsidRPr="00D13496">
        <w:rPr>
          <w:rFonts w:ascii="Calibri Light" w:hAnsi="Calibri Light" w:cs="Calibri Light"/>
        </w:rPr>
        <w:lastRenderedPageBreak/>
        <w:t>dan Pendidikan Kristen</w:t>
      </w:r>
      <w:r>
        <w:rPr>
          <w:rFonts w:ascii="Calibri Light" w:hAnsi="Calibri Light" w:cs="Calibri Light"/>
          <w:lang w:val="id-ID"/>
        </w:rPr>
        <w:t xml:space="preserve">, </w:t>
      </w:r>
      <w:r w:rsidRPr="00D13496">
        <w:rPr>
          <w:rFonts w:ascii="Calibri Light" w:hAnsi="Calibri Light" w:cs="Calibri Light"/>
        </w:rPr>
        <w:t>2019 No. 1), 43–54.</w:t>
      </w:r>
      <w:r>
        <w:rPr>
          <w:rFonts w:ascii="Calibri Light" w:hAnsi="Calibri Light" w:cs="Calibri Light"/>
        </w:rPr>
        <w:fldChar w:fldCharType="begin" w:fldLock="1"/>
      </w:r>
      <w:r>
        <w:rPr>
          <w:rFonts w:ascii="Calibri Light" w:hAnsi="Calibri Light" w:cs="Calibri Light"/>
        </w:rPr>
        <w:instrText xml:space="preserve">ADDIN Mendeley Bibliography CSL_BIBLIOGRAPHY </w:instrText>
      </w:r>
      <w:r>
        <w:rPr>
          <w:rFonts w:ascii="Calibri Light" w:hAnsi="Calibri Light" w:cs="Calibri Light"/>
        </w:rPr>
        <w:fldChar w:fldCharType="separate"/>
      </w:r>
      <w:r w:rsidRPr="00185426">
        <w:rPr>
          <w:rFonts w:ascii="Calibri Light" w:hAnsi="Calibri Light" w:cs="Calibri Light"/>
        </w:rPr>
        <w:t xml:space="preserve">Anderson, BW. </w:t>
      </w:r>
      <w:r w:rsidRPr="00185426">
        <w:rPr>
          <w:rFonts w:ascii="Calibri Light" w:hAnsi="Calibri Light" w:cs="Calibri Light"/>
          <w:i/>
          <w:iCs/>
        </w:rPr>
        <w:t>Memahami Perjanjian Lama</w:t>
      </w:r>
      <w:r w:rsidRPr="00185426">
        <w:rPr>
          <w:rFonts w:ascii="Calibri Light" w:hAnsi="Calibri Light" w:cs="Calibri Light"/>
        </w:rPr>
        <w:t>. New York: Pearson, 2022.</w:t>
      </w:r>
    </w:p>
    <w:p w14:paraId="3D525A0E"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Anderson, Mark. “Implikasi Teologis Sinkretisme Dalam Perjanjian Lama.” </w:t>
      </w:r>
      <w:r w:rsidRPr="00185426">
        <w:rPr>
          <w:rFonts w:ascii="Calibri Light" w:hAnsi="Calibri Light" w:cs="Calibri Light"/>
          <w:i/>
          <w:iCs/>
        </w:rPr>
        <w:t>Jurnal Studi Alkitab</w:t>
      </w:r>
      <w:r w:rsidRPr="00185426">
        <w:rPr>
          <w:rFonts w:ascii="Calibri Light" w:hAnsi="Calibri Light" w:cs="Calibri Light"/>
        </w:rPr>
        <w:t xml:space="preserve"> 58, no. 2 (2021): 145–162.</w:t>
      </w:r>
    </w:p>
    <w:p w14:paraId="1B55A620"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Block, Daniel I. </w:t>
      </w:r>
      <w:r w:rsidRPr="00185426">
        <w:rPr>
          <w:rFonts w:ascii="Calibri Light" w:hAnsi="Calibri Light" w:cs="Calibri Light"/>
          <w:i/>
          <w:iCs/>
        </w:rPr>
        <w:t>Hakim-Hakim, Ruth: Sebuah Eksposisi Eksegetis Dan Teologis</w:t>
      </w:r>
      <w:r w:rsidRPr="00185426">
        <w:rPr>
          <w:rFonts w:ascii="Calibri Light" w:hAnsi="Calibri Light" w:cs="Calibri Light"/>
        </w:rPr>
        <w:t>. B&amp;H Publishing Group, 2020.</w:t>
      </w:r>
    </w:p>
    <w:p w14:paraId="3FD2E7B3"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Block, DI. </w:t>
      </w:r>
      <w:r w:rsidRPr="00185426">
        <w:rPr>
          <w:rFonts w:ascii="Calibri Light" w:hAnsi="Calibri Light" w:cs="Calibri Light"/>
          <w:i/>
          <w:iCs/>
        </w:rPr>
        <w:t>Hakim, Ruth</w:t>
      </w:r>
      <w:r w:rsidRPr="00185426">
        <w:rPr>
          <w:rFonts w:ascii="Calibri Light" w:hAnsi="Calibri Light" w:cs="Calibri Light"/>
        </w:rPr>
        <w:t>. Nashville: Broadman &amp; Holman Publishers, 1999.</w:t>
      </w:r>
    </w:p>
    <w:p w14:paraId="190FA236"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Brueggemann, W. </w:t>
      </w:r>
      <w:r w:rsidRPr="00185426">
        <w:rPr>
          <w:rFonts w:ascii="Calibri Light" w:hAnsi="Calibri Light" w:cs="Calibri Light"/>
          <w:i/>
          <w:iCs/>
        </w:rPr>
        <w:t>Teologi Perjanjian Lama: Kesaksian, Perselisihan, Advokasi</w:t>
      </w:r>
      <w:r w:rsidRPr="00185426">
        <w:rPr>
          <w:rFonts w:ascii="Calibri Light" w:hAnsi="Calibri Light" w:cs="Calibri Light"/>
        </w:rPr>
        <w:t>. Minneapolis: Fortress Press, 1997.</w:t>
      </w:r>
    </w:p>
    <w:p w14:paraId="07CE9F7A"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Brueggemann, Walter. </w:t>
      </w:r>
      <w:r w:rsidRPr="00185426">
        <w:rPr>
          <w:rFonts w:ascii="Calibri Light" w:hAnsi="Calibri Light" w:cs="Calibri Light"/>
          <w:i/>
          <w:iCs/>
        </w:rPr>
        <w:t>Hakim Dan Seruan Untuk Seorang Raja</w:t>
      </w:r>
      <w:r w:rsidRPr="00185426">
        <w:rPr>
          <w:rFonts w:ascii="Calibri Light" w:hAnsi="Calibri Light" w:cs="Calibri Light"/>
        </w:rPr>
        <w:t>. Fortress Press, 2019.</w:t>
      </w:r>
    </w:p>
    <w:p w14:paraId="1CC8C518"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Carson, DA. </w:t>
      </w:r>
      <w:r w:rsidRPr="00185426">
        <w:rPr>
          <w:rFonts w:ascii="Calibri Light" w:hAnsi="Calibri Light" w:cs="Calibri Light"/>
          <w:i/>
          <w:iCs/>
        </w:rPr>
        <w:t>Kristus Dan Budaya Yang Ditinjau Kembali</w:t>
      </w:r>
      <w:r w:rsidRPr="00185426">
        <w:rPr>
          <w:rFonts w:ascii="Calibri Light" w:hAnsi="Calibri Light" w:cs="Calibri Light"/>
        </w:rPr>
        <w:t>. Eerdmans, 2008.</w:t>
      </w:r>
    </w:p>
    <w:p w14:paraId="5D3DDEEB"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Creswell, John W. </w:t>
      </w:r>
      <w:r w:rsidRPr="00185426">
        <w:rPr>
          <w:rFonts w:ascii="Calibri Light" w:hAnsi="Calibri Light" w:cs="Calibri Light"/>
          <w:i/>
          <w:iCs/>
        </w:rPr>
        <w:t>Penyelidikan Kualitatif Dan Desain Penelitian: Memilih Di Antara Lima Pendekatan</w:t>
      </w:r>
      <w:r w:rsidRPr="00185426">
        <w:rPr>
          <w:rFonts w:ascii="Calibri Light" w:hAnsi="Calibri Light" w:cs="Calibri Light"/>
        </w:rPr>
        <w:t>. Sage Publications, 2018.</w:t>
      </w:r>
    </w:p>
    <w:p w14:paraId="299DB5DD"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Erickson, J. Millard. </w:t>
      </w:r>
      <w:r w:rsidRPr="00185426">
        <w:rPr>
          <w:rFonts w:ascii="Calibri Light" w:hAnsi="Calibri Light" w:cs="Calibri Light"/>
          <w:i/>
          <w:iCs/>
        </w:rPr>
        <w:t>Teologi Kristen</w:t>
      </w:r>
      <w:r w:rsidRPr="00185426">
        <w:rPr>
          <w:rFonts w:ascii="Calibri Light" w:hAnsi="Calibri Light" w:cs="Calibri Light"/>
        </w:rPr>
        <w:t>. Grand Rapids: Baker Academic, 2013.</w:t>
      </w:r>
    </w:p>
    <w:p w14:paraId="2256A69E"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Fati Aro Zega. “Vista Siklus Apostasi Kuasa Doa Dalam Kitab Hakim-Hakim Untuk Intensi.” </w:t>
      </w:r>
      <w:r w:rsidRPr="00185426">
        <w:rPr>
          <w:rFonts w:ascii="Calibri Light" w:hAnsi="Calibri Light" w:cs="Calibri Light"/>
          <w:i/>
          <w:iCs/>
        </w:rPr>
        <w:t>Ritornera - Jurnal Teologi Pentakosta Indonesia</w:t>
      </w:r>
      <w:r w:rsidRPr="00185426">
        <w:rPr>
          <w:rFonts w:ascii="Calibri Light" w:hAnsi="Calibri Light" w:cs="Calibri Light"/>
        </w:rPr>
        <w:t xml:space="preserve"> 1, no. 1 (2021): 88–116.</w:t>
      </w:r>
    </w:p>
    <w:p w14:paraId="7142D23D"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Gabriel Dhandi. </w:t>
      </w:r>
      <w:r w:rsidRPr="00185426">
        <w:rPr>
          <w:rFonts w:ascii="Calibri Light" w:hAnsi="Calibri Light" w:cs="Calibri Light"/>
          <w:i/>
          <w:iCs/>
        </w:rPr>
        <w:t>Tinjauan Masalah Sinkretisme Dalam Misi Perintisan Jemaat Baru</w:t>
      </w:r>
      <w:r w:rsidRPr="00185426">
        <w:rPr>
          <w:rFonts w:ascii="Calibri Light" w:hAnsi="Calibri Light" w:cs="Calibri Light"/>
        </w:rPr>
        <w:t>, 2020.</w:t>
      </w:r>
    </w:p>
    <w:p w14:paraId="2B885C02"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J, sidlow baxter. </w:t>
      </w:r>
      <w:r w:rsidRPr="00185426">
        <w:rPr>
          <w:rFonts w:ascii="Calibri Light" w:hAnsi="Calibri Light" w:cs="Calibri Light"/>
          <w:i/>
          <w:iCs/>
        </w:rPr>
        <w:t>MENGGALI ISI ALKITAB: Kejadian Sampai Dengan Ester</w:t>
      </w:r>
      <w:r w:rsidRPr="00185426">
        <w:rPr>
          <w:rFonts w:ascii="Calibri Light" w:hAnsi="Calibri Light" w:cs="Calibri Light"/>
        </w:rPr>
        <w:t>, 1974.</w:t>
      </w:r>
    </w:p>
    <w:p w14:paraId="293E774B"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Keil, CF, &amp; Delitzsch, F. </w:t>
      </w:r>
      <w:r w:rsidRPr="00185426">
        <w:rPr>
          <w:rFonts w:ascii="Calibri Light" w:hAnsi="Calibri Light" w:cs="Calibri Light"/>
          <w:i/>
          <w:iCs/>
        </w:rPr>
        <w:t>Komentar Tentang Perjanjian Lama</w:t>
      </w:r>
      <w:r w:rsidRPr="00185426">
        <w:rPr>
          <w:rFonts w:ascii="Calibri Light" w:hAnsi="Calibri Light" w:cs="Calibri Light"/>
        </w:rPr>
        <w:t>. Peabody: Penerbit Hendrickson, 1996.</w:t>
      </w:r>
    </w:p>
    <w:p w14:paraId="5C73456C"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Larkin, William J. </w:t>
      </w:r>
      <w:r w:rsidRPr="00185426">
        <w:rPr>
          <w:rFonts w:ascii="Calibri Light" w:hAnsi="Calibri Light" w:cs="Calibri Light"/>
          <w:i/>
          <w:iCs/>
        </w:rPr>
        <w:t>Sinkretisme Kuno Dan Iman Modern</w:t>
      </w:r>
      <w:r w:rsidRPr="00185426">
        <w:rPr>
          <w:rFonts w:ascii="Calibri Light" w:hAnsi="Calibri Light" w:cs="Calibri Light"/>
        </w:rPr>
        <w:t>. Baker Academic, 2018.</w:t>
      </w:r>
    </w:p>
    <w:p w14:paraId="4D3B1D85"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Larkin, WJ. </w:t>
      </w:r>
      <w:r w:rsidRPr="00185426">
        <w:rPr>
          <w:rFonts w:ascii="Calibri Light" w:hAnsi="Calibri Light" w:cs="Calibri Light"/>
          <w:i/>
          <w:iCs/>
        </w:rPr>
        <w:t>Budaya Dan Hermeneutika Alkitab</w:t>
      </w:r>
      <w:r w:rsidRPr="00185426">
        <w:rPr>
          <w:rFonts w:ascii="Calibri Light" w:hAnsi="Calibri Light" w:cs="Calibri Light"/>
        </w:rPr>
        <w:t>. Eugene: Wipf dan Stock Publishers, 2008.</w:t>
      </w:r>
    </w:p>
    <w:p w14:paraId="6FE8569F"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Laukapitang, Yunus Daniel Anus. “Teologi Pembangunan Berbasis Pengembangan Masyarakat Shalom Pada Gereja Kemah Injil Indonesia Daerah Kupang Nusa Tenggara Timur.” </w:t>
      </w:r>
      <w:r w:rsidRPr="00185426">
        <w:rPr>
          <w:rFonts w:ascii="Calibri Light" w:hAnsi="Calibri Light" w:cs="Calibri Light"/>
          <w:i/>
          <w:iCs/>
        </w:rPr>
        <w:t>Jurnal Jaffray</w:t>
      </w:r>
      <w:r w:rsidRPr="00185426">
        <w:rPr>
          <w:rFonts w:ascii="Calibri Light" w:hAnsi="Calibri Light" w:cs="Calibri Light"/>
        </w:rPr>
        <w:t xml:space="preserve"> 14, no. 2 (2016): 241.</w:t>
      </w:r>
    </w:p>
    <w:p w14:paraId="3F5013C3"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Nuhamara, Daniel. “Pengutamaan Dimensi Karakter Dalam Pendidikan Agama Kristen.” </w:t>
      </w:r>
      <w:r w:rsidRPr="00185426">
        <w:rPr>
          <w:rFonts w:ascii="Calibri Light" w:hAnsi="Calibri Light" w:cs="Calibri Light"/>
          <w:i/>
          <w:iCs/>
        </w:rPr>
        <w:t>Jurnal Jaffray</w:t>
      </w:r>
      <w:r w:rsidRPr="00185426">
        <w:rPr>
          <w:rFonts w:ascii="Calibri Light" w:hAnsi="Calibri Light" w:cs="Calibri Light"/>
        </w:rPr>
        <w:t xml:space="preserve"> 16, no. 1 (2018): 93.</w:t>
      </w:r>
    </w:p>
    <w:p w14:paraId="7E12FF5F"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Olson, Dennis T. </w:t>
      </w:r>
      <w:r w:rsidRPr="00185426">
        <w:rPr>
          <w:rFonts w:ascii="Calibri Light" w:hAnsi="Calibri Light" w:cs="Calibri Light"/>
          <w:i/>
          <w:iCs/>
        </w:rPr>
        <w:t>Kegagalan Israel: Memahami Hakim-Hakim Melalui Sudut Pandang Teologis</w:t>
      </w:r>
      <w:r w:rsidRPr="00185426">
        <w:rPr>
          <w:rFonts w:ascii="Calibri Light" w:hAnsi="Calibri Light" w:cs="Calibri Light"/>
        </w:rPr>
        <w:t>. Westminster John Knox Press, 2022.</w:t>
      </w:r>
    </w:p>
    <w:p w14:paraId="39DBD00E"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Paembonan, Yafet M. “Memahami Tantangan Teologi Pluralisme Dan Teologi Pembebasan | Paembonan | Jurnal Teologi Berita Hidup.” </w:t>
      </w:r>
      <w:r w:rsidRPr="00185426">
        <w:rPr>
          <w:rFonts w:ascii="Calibri Light" w:hAnsi="Calibri Light" w:cs="Calibri Light"/>
          <w:i/>
          <w:iCs/>
        </w:rPr>
        <w:t>Jurnal teologi berita hidup</w:t>
      </w:r>
      <w:r w:rsidRPr="00185426">
        <w:rPr>
          <w:rFonts w:ascii="Calibri Light" w:hAnsi="Calibri Light" w:cs="Calibri Light"/>
        </w:rPr>
        <w:t xml:space="preserve"> 2, no. 1 (2019): H. 48-59.</w:t>
      </w:r>
    </w:p>
    <w:p w14:paraId="40C97C55"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Panggabean, Justice Zeni Zari. “Pendekatan Praksis-Teologis Dalam Fondasi Pendidikan Kristiani.” </w:t>
      </w:r>
      <w:r w:rsidRPr="00185426">
        <w:rPr>
          <w:rFonts w:ascii="Calibri Light" w:hAnsi="Calibri Light" w:cs="Calibri Light"/>
          <w:i/>
          <w:iCs/>
        </w:rPr>
        <w:t>Kurios</w:t>
      </w:r>
      <w:r w:rsidRPr="00185426">
        <w:rPr>
          <w:rFonts w:ascii="Calibri Light" w:hAnsi="Calibri Light" w:cs="Calibri Light"/>
        </w:rPr>
        <w:t xml:space="preserve"> 4, no. 2 (2018): 167.</w:t>
      </w:r>
    </w:p>
    <w:p w14:paraId="0CB39B27"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Pattinaja, Aska Aprilano, and Johny Lesnussa. “Gideon’s Leadership Cohesion and the Negative Side of His Power Based on Judges 8:22-35.” </w:t>
      </w:r>
      <w:r w:rsidRPr="00185426">
        <w:rPr>
          <w:rFonts w:ascii="Calibri Light" w:hAnsi="Calibri Light" w:cs="Calibri Light"/>
          <w:i/>
          <w:iCs/>
        </w:rPr>
        <w:t>PASCA : Jurnal Teologi dan Pendidikan Agama Kristen</w:t>
      </w:r>
      <w:r w:rsidRPr="00185426">
        <w:rPr>
          <w:rFonts w:ascii="Calibri Light" w:hAnsi="Calibri Light" w:cs="Calibri Light"/>
        </w:rPr>
        <w:t xml:space="preserve"> 20, no. 1 (2024): 42–54.</w:t>
      </w:r>
    </w:p>
    <w:p w14:paraId="6153EB93"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Pelamonia, Risart. “Sinkretisme” (2020): 1–13.</w:t>
      </w:r>
    </w:p>
    <w:p w14:paraId="6B816062"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Politik, Teologi, Gereja Menemukan, and Tritugas Gereja. “MELO : Jurnal Studi Agama-Agama” 1, no. 1 (2021): 1–17.</w:t>
      </w:r>
    </w:p>
    <w:p w14:paraId="5D5B84B7"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Pontas Surya Fernandes, S. Th. “PENGENALAN KITAB HAKIM-HAKIM Oleh: Pontas Surya Fernandes, S. Th Abstraction” (n.d.).</w:t>
      </w:r>
    </w:p>
    <w:p w14:paraId="1AFF36BA"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Ratnasari, Desi, and Marthin S Lumingkewas. “Kawin Campur.” </w:t>
      </w:r>
      <w:r w:rsidRPr="00185426">
        <w:rPr>
          <w:rFonts w:ascii="Calibri Light" w:hAnsi="Calibri Light" w:cs="Calibri Light"/>
          <w:i/>
          <w:iCs/>
        </w:rPr>
        <w:t>Dandra Kreatif</w:t>
      </w:r>
      <w:r w:rsidRPr="00185426">
        <w:rPr>
          <w:rFonts w:ascii="Calibri Light" w:hAnsi="Calibri Light" w:cs="Calibri Light"/>
        </w:rPr>
        <w:t xml:space="preserve"> (2018): 1–6.</w:t>
      </w:r>
    </w:p>
    <w:p w14:paraId="4BE333AB"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Risart Pelamonia. </w:t>
      </w:r>
      <w:r w:rsidRPr="00185426">
        <w:rPr>
          <w:rFonts w:ascii="Calibri Light" w:hAnsi="Calibri Light" w:cs="Calibri Light"/>
          <w:i/>
          <w:iCs/>
        </w:rPr>
        <w:t>SINKRETISME</w:t>
      </w:r>
      <w:r w:rsidRPr="00185426">
        <w:rPr>
          <w:rFonts w:ascii="Calibri Light" w:hAnsi="Calibri Light" w:cs="Calibri Light"/>
        </w:rPr>
        <w:t>, 2020.</w:t>
      </w:r>
    </w:p>
    <w:p w14:paraId="66420681"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Salabay, Nita Abia. “Dasar Membangun Persekutuan Kristen Menurut Rasul Paulus.” </w:t>
      </w:r>
      <w:r w:rsidRPr="00185426">
        <w:rPr>
          <w:rFonts w:ascii="Calibri Light" w:hAnsi="Calibri Light" w:cs="Calibri Light"/>
          <w:i/>
          <w:iCs/>
        </w:rPr>
        <w:t>Murai : Jurnal Papua Teologi Kontekstual</w:t>
      </w:r>
      <w:r w:rsidRPr="00185426">
        <w:rPr>
          <w:rFonts w:ascii="Calibri Light" w:hAnsi="Calibri Light" w:cs="Calibri Light"/>
        </w:rPr>
        <w:t xml:space="preserve"> 3, no. 2 (2022): 55–71.</w:t>
      </w:r>
    </w:p>
    <w:p w14:paraId="0E006579"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Simanjuntak, Freddy, Ronald Sianipar, and Agustinus Sihombing. “Menelusuri Sejarah </w:t>
      </w:r>
      <w:r w:rsidRPr="00185426">
        <w:rPr>
          <w:rFonts w:ascii="Calibri Light" w:hAnsi="Calibri Light" w:cs="Calibri Light"/>
        </w:rPr>
        <w:lastRenderedPageBreak/>
        <w:t xml:space="preserve">Nomaden Bangsa Israel.” </w:t>
      </w:r>
      <w:r w:rsidRPr="00185426">
        <w:rPr>
          <w:rFonts w:ascii="Calibri Light" w:hAnsi="Calibri Light" w:cs="Calibri Light"/>
          <w:i/>
          <w:iCs/>
        </w:rPr>
        <w:t>Teologi dan Pendidikan Agama Kristen</w:t>
      </w:r>
      <w:r w:rsidRPr="00185426">
        <w:rPr>
          <w:rFonts w:ascii="Calibri Light" w:hAnsi="Calibri Light" w:cs="Calibri Light"/>
        </w:rPr>
        <w:t xml:space="preserve"> Vol. IV No, no. 2 (2019): 3–4.</w:t>
      </w:r>
    </w:p>
    <w:p w14:paraId="404187EF"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Sipayung, Gerhard E. “Ni Aspek Spiritual Dan Aspek Politik Kepemimpinan Samuel Sebagai Model Pemimpin Dalam Membangun Sebuah Tatanan Baru Pada Pilkada Dan Pilpres 2024.” </w:t>
      </w:r>
      <w:r w:rsidRPr="00185426">
        <w:rPr>
          <w:rFonts w:ascii="Calibri Light" w:hAnsi="Calibri Light" w:cs="Calibri Light"/>
          <w:i/>
          <w:iCs/>
        </w:rPr>
        <w:t>Paramathetes : Jurnal Teologi dan Pendidikan Kristia</w:t>
      </w:r>
      <w:r w:rsidRPr="00185426">
        <w:rPr>
          <w:rFonts w:ascii="Calibri Light" w:hAnsi="Calibri Light" w:cs="Calibri Light"/>
        </w:rPr>
        <w:t xml:space="preserve"> 2, no. 1 (2023): 1–16.</w:t>
      </w:r>
    </w:p>
    <w:p w14:paraId="2D089F69"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Sitanggang, Yan Adecco Michael, and Stimson Hutagalung. “Analisis Pengaruh Doa Pribadi Terhadap Kesungguhan Ibadah Anggota Jemaat Gereja Masihi Advent Hari Ketujuh Tembagapura.” </w:t>
      </w:r>
      <w:r w:rsidRPr="00185426">
        <w:rPr>
          <w:rFonts w:ascii="Calibri Light" w:hAnsi="Calibri Light" w:cs="Calibri Light"/>
          <w:i/>
          <w:iCs/>
        </w:rPr>
        <w:t>Jurnal Teologi dan Pendidikan Kristen</w:t>
      </w:r>
      <w:r w:rsidRPr="00185426">
        <w:rPr>
          <w:rFonts w:ascii="Calibri Light" w:hAnsi="Calibri Light" w:cs="Calibri Light"/>
        </w:rPr>
        <w:t xml:space="preserve"> 4, no. April (2024): 45–61.</w:t>
      </w:r>
    </w:p>
    <w:p w14:paraId="3ED852D7"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Talan, Yesri E. “Mengkaji Bahaya Sinkretisme Dalam Konteks Gereja.” </w:t>
      </w:r>
      <w:r w:rsidRPr="00185426">
        <w:rPr>
          <w:rFonts w:ascii="Calibri Light" w:hAnsi="Calibri Light" w:cs="Calibri Light"/>
          <w:i/>
          <w:iCs/>
        </w:rPr>
        <w:t>SESAWI: Jurnal Teologi dan Pendidikan Kristen</w:t>
      </w:r>
      <w:r w:rsidRPr="00185426">
        <w:rPr>
          <w:rFonts w:ascii="Calibri Light" w:hAnsi="Calibri Light" w:cs="Calibri Light"/>
        </w:rPr>
        <w:t xml:space="preserve"> 1, no. 1 (2019): 43–54.</w:t>
      </w:r>
    </w:p>
    <w:p w14:paraId="0BEED7D4"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Tari, Ezra. “Bagaimana Kita Bisa Melawan Sinkretisme Di Dalam Misi Kita?” </w:t>
      </w:r>
      <w:r w:rsidRPr="00185426">
        <w:rPr>
          <w:rFonts w:ascii="Calibri Light" w:hAnsi="Calibri Light" w:cs="Calibri Light"/>
          <w:i/>
          <w:iCs/>
        </w:rPr>
        <w:t>2012</w:t>
      </w:r>
      <w:r w:rsidRPr="00185426">
        <w:rPr>
          <w:rFonts w:ascii="Calibri Light" w:hAnsi="Calibri Light" w:cs="Calibri Light"/>
        </w:rPr>
        <w:t xml:space="preserve"> (2012): 2.</w:t>
      </w:r>
    </w:p>
    <w:p w14:paraId="64DA8BB2"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Teologi, Diskursus Seputar, and Isu Sosial. “Dari Biblika Ke Anime” (n.d.).</w:t>
      </w:r>
    </w:p>
    <w:p w14:paraId="2F2E27E6" w14:textId="77777777" w:rsidR="007E6D59" w:rsidRPr="00185426" w:rsidRDefault="007E6D59" w:rsidP="007E6D59">
      <w:pPr>
        <w:widowControl w:val="0"/>
        <w:autoSpaceDE w:val="0"/>
        <w:autoSpaceDN w:val="0"/>
        <w:adjustRightInd w:val="0"/>
        <w:ind w:left="480" w:hanging="480"/>
        <w:rPr>
          <w:rFonts w:ascii="Calibri Light" w:hAnsi="Calibri Light" w:cs="Calibri Light"/>
        </w:rPr>
      </w:pPr>
      <w:r w:rsidRPr="00185426">
        <w:rPr>
          <w:rFonts w:ascii="Calibri Light" w:hAnsi="Calibri Light" w:cs="Calibri Light"/>
        </w:rPr>
        <w:t xml:space="preserve">Wibowo, Gandi. “Asimilasi Dan Akulturasi Penyembahan Baal Di Bangsa Israel: Pendekatan Sosio Teologis Menurut Teori Multi Stage Assimilation Milton M. Gordon.” </w:t>
      </w:r>
      <w:r w:rsidRPr="00185426">
        <w:rPr>
          <w:rFonts w:ascii="Calibri Light" w:hAnsi="Calibri Light" w:cs="Calibri Light"/>
          <w:i/>
          <w:iCs/>
        </w:rPr>
        <w:t>Voice</w:t>
      </w:r>
      <w:r w:rsidRPr="00185426">
        <w:rPr>
          <w:rFonts w:ascii="Calibri Light" w:hAnsi="Calibri Light" w:cs="Calibri Light"/>
        </w:rPr>
        <w:t xml:space="preserve"> 1, no. 1 (2021): 18–30.</w:t>
      </w:r>
    </w:p>
    <w:p w14:paraId="18BD5C2D" w14:textId="77777777" w:rsidR="007E6D59" w:rsidRPr="001C2C8D" w:rsidRDefault="007E6D59" w:rsidP="007E6D59">
      <w:pPr>
        <w:widowControl w:val="0"/>
        <w:autoSpaceDE w:val="0"/>
        <w:autoSpaceDN w:val="0"/>
        <w:adjustRightInd w:val="0"/>
        <w:ind w:left="480" w:hanging="480"/>
        <w:rPr>
          <w:rFonts w:ascii="Calibri Light" w:hAnsi="Calibri Light" w:cs="Calibri Light"/>
        </w:rPr>
      </w:pPr>
      <w:r>
        <w:rPr>
          <w:rFonts w:ascii="Calibri Light" w:hAnsi="Calibri Light" w:cs="Calibri Light"/>
        </w:rPr>
        <w:fldChar w:fldCharType="end"/>
      </w:r>
    </w:p>
    <w:p w14:paraId="3385F7F9" w14:textId="77777777" w:rsidR="007E6D59" w:rsidRPr="001C2C8D" w:rsidRDefault="007E6D59" w:rsidP="007E6D59">
      <w:pPr>
        <w:widowControl w:val="0"/>
        <w:pBdr>
          <w:top w:val="nil"/>
          <w:left w:val="nil"/>
          <w:bottom w:val="nil"/>
          <w:right w:val="nil"/>
          <w:between w:val="nil"/>
        </w:pBdr>
        <w:rPr>
          <w:rFonts w:ascii="Calibri Light" w:eastAsia="Calibri" w:hAnsi="Calibri Light" w:cs="Calibri Light"/>
          <w:bCs/>
          <w:color w:val="000000"/>
          <w:lang w:val="id-ID"/>
        </w:rPr>
      </w:pPr>
    </w:p>
    <w:p w14:paraId="4482404F" w14:textId="77777777" w:rsidR="00555DB3" w:rsidRDefault="00555DB3" w:rsidP="007E6D59">
      <w:pPr>
        <w:ind w:firstLine="720"/>
        <w:jc w:val="both"/>
      </w:pPr>
    </w:p>
    <w:sectPr w:rsidR="00555DB3" w:rsidSect="007E6D59">
      <w:pgSz w:w="11906" w:h="16838"/>
      <w:pgMar w:top="1418" w:right="1133"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570B5B" w14:textId="77777777" w:rsidR="006117DD" w:rsidRDefault="006117DD">
      <w:r>
        <w:separator/>
      </w:r>
    </w:p>
  </w:endnote>
  <w:endnote w:type="continuationSeparator" w:id="0">
    <w:p w14:paraId="4BB2A376" w14:textId="77777777" w:rsidR="006117DD" w:rsidRDefault="00611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EB Garamond">
    <w:altName w:val="Calibri"/>
    <w:charset w:val="00"/>
    <w:family w:val="auto"/>
    <w:pitch w:val="variable"/>
    <w:sig w:usb0="00000001" w:usb1="02000413" w:usb2="0000000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orbe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DA810" w14:textId="2D1300B7" w:rsidR="00555DB3" w:rsidRDefault="00087212">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7E6D59">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4F867" w14:textId="77777777" w:rsidR="00555DB3" w:rsidRDefault="00087212">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7E6D59">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7EB38D" w14:textId="77777777" w:rsidR="00555DB3" w:rsidRDefault="00087212">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DECC28" w14:textId="77777777" w:rsidR="006117DD" w:rsidRDefault="006117DD">
      <w:r>
        <w:separator/>
      </w:r>
    </w:p>
  </w:footnote>
  <w:footnote w:type="continuationSeparator" w:id="0">
    <w:p w14:paraId="6F1B39E2" w14:textId="77777777" w:rsidR="006117DD" w:rsidRDefault="006117DD">
      <w:r>
        <w:continuationSeparator/>
      </w:r>
    </w:p>
  </w:footnote>
  <w:footnote w:id="1">
    <w:p w14:paraId="3586EC31"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{"citationItems":[{"id":"ITEM-1","itemData":{"author":[{"dropping-particle":"","family":"Risart Pelamonia","given":"","non-dropping-particle":"","parse-names":false,"suffix":""}],"id":"ITEM-1","issued":{"date-parts":[["2020"]]},"number-of-pages":"3","title":"SINKRETISME","type":"book"},"locator":"3","uris":["http://www.mendeley.com/documents/?uuid=11d2569a-943a-4272-bdb6-b726d202dbc1"]}],"mendeley":{"formattedCitation":"Risart Pelamonia, &lt;i&gt;SINKRETISME&lt;/i&gt;, 2020, 3.","plainTextFormattedCitation":"Risart Pelamonia, SINKRETISME, 2020, 3.","previouslyFormattedCitation":"Risart Pelamonia, &lt;i&gt;SINKRETISME&lt;/i&gt;, 2020, 3."},"properties":{"noteIndex":1},"schema":"https://github.com/citation-style-language/schema/raw/master/csl-citation.json"}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Risart Pelamonia, </w:t>
      </w:r>
      <w:r w:rsidRPr="000611DD">
        <w:rPr>
          <w:rFonts w:ascii="Times New Roman" w:hAnsi="Times New Roman" w:cs="Times New Roman"/>
          <w:i/>
        </w:rPr>
        <w:t>SINKRETISME</w:t>
      </w:r>
      <w:r w:rsidRPr="000611DD">
        <w:rPr>
          <w:rFonts w:ascii="Times New Roman" w:hAnsi="Times New Roman" w:cs="Times New Roman"/>
        </w:rPr>
        <w:t>, 2020, 3.</w:t>
      </w:r>
      <w:r w:rsidRPr="000611DD">
        <w:rPr>
          <w:rFonts w:ascii="Times New Roman" w:hAnsi="Times New Roman" w:cs="Times New Roman"/>
        </w:rPr>
        <w:fldChar w:fldCharType="end"/>
      </w:r>
    </w:p>
  </w:footnote>
  <w:footnote w:id="2">
    <w:p w14:paraId="141FDA63"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{"citationItems":[{"id":"ITEM-1","itemData":{"author":[{"dropping-particle":"","family":"Gabriel Dhandi","given":"","non-dropping-particle":"","parse-names":false,"suffix":""}],"id":"ITEM-1","issued":{"date-parts":[["2020"]]},"number-of-pages":"2","title":"Tinjauan Masalah Sinkretisme dalam Misi Perintisan Jemaat Baru","type":"book"},"locator":"2","uris":["http://www.mendeley.com/documents/?uuid=736df811-3ee4-4b0c-b178-67c0def02936"]}],"mendeley":{"formattedCitation":"Gabriel Dhandi, &lt;i&gt;Tinjauan Masalah Sinkretisme Dalam Misi Perintisan Jemaat Baru&lt;/i&gt;, 2020, 2.","plainTextFormattedCitation":"Gabriel Dhandi, Tinjauan Masalah Sinkretisme Dalam Misi Perintisan Jemaat Baru, 2020, 2.","previouslyFormattedCitation":"Gabriel Dhandi, &lt;i&gt;Tinjauan Masalah Sinkretisme Dalam Misi Perintisan Jemaat Baru&lt;/i&gt;, 2020, 2."},"properties":{"noteIndex":2},"schema":"https://github.com/citation-style-language/schema/raw/master/csl-citation.json"}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Gabriel Dhandi, </w:t>
      </w:r>
      <w:r w:rsidRPr="000611DD">
        <w:rPr>
          <w:rFonts w:ascii="Times New Roman" w:hAnsi="Times New Roman" w:cs="Times New Roman"/>
          <w:i/>
        </w:rPr>
        <w:t>Tinjauan Masalah Sinkretisme Dalam Misi Perintisan Jemaat Baru</w:t>
      </w:r>
      <w:r w:rsidRPr="000611DD">
        <w:rPr>
          <w:rFonts w:ascii="Times New Roman" w:hAnsi="Times New Roman" w:cs="Times New Roman"/>
        </w:rPr>
        <w:t>, 2020, 2.</w:t>
      </w:r>
      <w:r w:rsidRPr="000611DD">
        <w:rPr>
          <w:rFonts w:ascii="Times New Roman" w:hAnsi="Times New Roman" w:cs="Times New Roman"/>
        </w:rPr>
        <w:fldChar w:fldCharType="end"/>
      </w:r>
    </w:p>
  </w:footnote>
  <w:footnote w:id="3">
    <w:p w14:paraId="2509BF7D"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{"citationItems":[{"id":"ITEM-1","itemData":{"abstract":"… dalam kebudayaan dan injil serta kebenaran lain. Pengisian kekosongan adalah model … Dan membawa pesan injil yang sesungguhnya kedalam kebudayan kita. Sinkritisme dan …","author":[{"dropping-particle":"","family":"Tari","given":"Ezra","non-dropping-particle":"","parse-names":false,"suffix":""}],"container-title":"2012","id":"ITEM-1","issued":{"date-parts":[["2012"]]},"page":"2","title":"Bagaimana Kita Bisa Melawan Sinkretisme di Dalam Misi Kita?","type":"article-journal"},"uris":["http://www.mendeley.com/documents/?uuid=a1884b0b-fe47-484e-b8fb-8a884ee1ccf1","http://www.mendeley.com/documents/?uuid=e49c2f0f-2eb1-41b0-8eab-2ce5022ca0d0"]}],"mendeley":{"formattedCitation":"Ezra Tari, “Bagaimana Kita Bisa Melawan Sinkretisme Di Dalam Misi Kita?,” &lt;i&gt;2012&lt;/i&gt; (2012): 2.","manualFormatting":"Ezra Tari, Bagaimana Kita Bisa Melawan Sinkretisme Di Dalam Misi Kita? (Sekolah Tinggi Teologi Jaffray Makasar, 2012), 1-15.","plainTextFormattedCitation":"Ezra Tari, “Bagaimana Kita Bisa Melawan Sinkretisme Di Dalam Misi Kita?,” 2012 (2012): 2.","previouslyFormattedCitation":"Ezra Tari, “Bagaimana Kita Bisa Melawan Sinkretisme Di Dalam Misi Kita?,” &lt;i&gt;2012&lt;/i&gt; (2012): 2."},"properties":{"noteIndex":3},"schema":"https://github.com/citation-style-language/schema/raw/master/csl-citation.json"}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Ezra Tari, </w:t>
      </w:r>
      <w:r w:rsidRPr="000611DD">
        <w:rPr>
          <w:rFonts w:ascii="Times New Roman" w:hAnsi="Times New Roman" w:cs="Times New Roman"/>
          <w:i/>
          <w:iCs/>
        </w:rPr>
        <w:t>Bagaimana Kita Bisa Melawan Sinkretisme Di Dalam Misi Kita?</w:t>
      </w:r>
      <w:r w:rsidRPr="000611DD">
        <w:rPr>
          <w:rFonts w:ascii="Times New Roman" w:hAnsi="Times New Roman" w:cs="Times New Roman"/>
          <w:lang w:val="id-ID"/>
        </w:rPr>
        <w:t xml:space="preserve"> (Sekolah Tinggi Teologi Jaffray Makasar</w:t>
      </w:r>
      <w:r w:rsidRPr="000611DD">
        <w:rPr>
          <w:rFonts w:ascii="Times New Roman" w:hAnsi="Times New Roman" w:cs="Times New Roman"/>
        </w:rPr>
        <w:t>, 2012</w:t>
      </w:r>
      <w:r w:rsidRPr="000611DD">
        <w:rPr>
          <w:rFonts w:ascii="Times New Roman" w:hAnsi="Times New Roman" w:cs="Times New Roman"/>
          <w:lang w:val="id-ID"/>
        </w:rPr>
        <w:t>), 1-15.</w:t>
      </w:r>
      <w:r w:rsidRPr="000611DD">
        <w:rPr>
          <w:rFonts w:ascii="Times New Roman" w:hAnsi="Times New Roman" w:cs="Times New Roman"/>
        </w:rPr>
        <w:fldChar w:fldCharType="end"/>
      </w:r>
    </w:p>
  </w:footnote>
  <w:footnote w:id="4">
    <w:p w14:paraId="0203E8BE"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{"citationItems":[{"id":"ITEM-1","itemData":{"author":[{"dropping-particle":"","family":"Olson","given":"Dennis T","non-dropping-particle":"","parse-names":false,"suffix":""}],"id":"ITEM-1","issued":{"date-parts":[["2022"]]},"publisher":"Westminster John Knox Press","title":"Kegagalan Israel: Memahami Hakim-Hakim melalui Sudut Pandang Teologis","type":"book"},"uris":["http://www.mendeley.com/documents/?uuid=3222951a-24a0-41a3-9547-d54e4ed60ac5"]}],"mendeley":{"formattedCitation":"Dennis T Olson, &lt;i&gt;Kegagalan Israel: Memahami Hakim-Hakim Melalui Sudut Pandang Teologis&lt;/i&gt; (Westminster John Knox Press, 2022).","plainTextFormattedCitation":"Dennis T Olson, Kegagalan Israel: Memahami Hakim-Hakim Melalui Sudut Pandang Teologis (Westminster John Knox Press, 2022).","previouslyFormattedCitation":"Dennis T Olson, &lt;i&gt;Kegagalan Israel: Memahami Hakim-Hakim Melalui Sudut Pandang Teologis&lt;/i&gt; (Westminster John Knox Press, 2022)."},"properties":{"noteIndex":4},"schema":"https://github.com/citation-style-language/schema/raw/master/csl-citation.json"}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Dennis T Olson, </w:t>
      </w:r>
      <w:r w:rsidRPr="000611DD">
        <w:rPr>
          <w:rFonts w:ascii="Times New Roman" w:hAnsi="Times New Roman" w:cs="Times New Roman"/>
          <w:i/>
        </w:rPr>
        <w:t>Kegagalan Israel: Memahami Hakim-Hakim Melalui Sudut Pandang Teologis</w:t>
      </w:r>
      <w:r w:rsidRPr="000611DD">
        <w:rPr>
          <w:rFonts w:ascii="Times New Roman" w:hAnsi="Times New Roman" w:cs="Times New Roman"/>
        </w:rPr>
        <w:t xml:space="preserve"> (Westminster John Knox Press, 2022).</w:t>
      </w:r>
      <w:r w:rsidRPr="000611DD">
        <w:rPr>
          <w:rFonts w:ascii="Times New Roman" w:hAnsi="Times New Roman" w:cs="Times New Roman"/>
        </w:rPr>
        <w:fldChar w:fldCharType="end"/>
      </w:r>
    </w:p>
  </w:footnote>
  <w:footnote w:id="5">
    <w:p w14:paraId="6B047BB1"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{"citationItems":[{"id":"ITEM-1","itemData":{"author":[{"dropping-particle":"","family":"Anderson","given":"Mark","non-dropping-particle":"","parse-names":false,"suffix":""}],"container-title":"Jurnal Studi Alkitab","id":"ITEM-1","issue":"2","issued":{"date-parts":[["2021"]]},"page":"145-162","title":"Implikasi Teologis Sinkretisme dalam Perjanjian Lama","type":"article-journal","volume":"58"},"locator":"145-162","uris":["http://www.mendeley.com/documents/?uuid=228791a3-4021-49dd-83f3-4e2e2e2caadd"]}],"mendeley":{"formattedCitation":"Mark Anderson, “Implikasi Teologis Sinkretisme Dalam Perjanjian Lama,” &lt;i&gt;Jurnal Studi Alkitab&lt;/i&gt; 58, no. 2 (2021): 145–162.","plainTextFormattedCitation":"Mark Anderson, “Implikasi Teologis Sinkretisme Dalam Perjanjian Lama,” Jurnal Studi Alkitab 58, no. 2 (2021): 145–162.","previouslyFormattedCitation":"Mark Anderson, “Implikasi Teologis Sinkretisme Dalam Perjanjian Lama,” &lt;i&gt;Jurnal Studi Alkitab&lt;/i&gt; 58, no. 2 (2021): 145–162."},"properties":{"noteIndex":5},"schema":"https://github.com/citation-style-language/schema/raw/master/csl-citation.json"}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Mark Anderson, “Implikasi Teologis Sinkretisme Dalam Perjanjian Lama,” </w:t>
      </w:r>
      <w:r w:rsidRPr="000611DD">
        <w:rPr>
          <w:rFonts w:ascii="Times New Roman" w:hAnsi="Times New Roman" w:cs="Times New Roman"/>
          <w:i/>
        </w:rPr>
        <w:t>Jurnal Studi Alkitab</w:t>
      </w:r>
      <w:r w:rsidRPr="000611DD">
        <w:rPr>
          <w:rFonts w:ascii="Times New Roman" w:hAnsi="Times New Roman" w:cs="Times New Roman"/>
        </w:rPr>
        <w:t xml:space="preserve"> 58, no. 2 (2021): 145–162.</w:t>
      </w:r>
      <w:r w:rsidRPr="000611DD">
        <w:rPr>
          <w:rFonts w:ascii="Times New Roman" w:hAnsi="Times New Roman" w:cs="Times New Roman"/>
        </w:rPr>
        <w:fldChar w:fldCharType="end"/>
      </w:r>
    </w:p>
  </w:footnote>
  <w:footnote w:id="6">
    <w:p w14:paraId="260A17C3"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{"citationItems":[{"id":"ITEM-1","itemData":{"author":[{"dropping-particle":"","family":"Larkin","given":"William J","non-dropping-particle":"","parse-names":false,"suffix":""}],"id":"ITEM-1","issued":{"date-parts":[["2018"]]},"publisher":"Baker Academic","title":"Sinkretisme Kuno dan Iman Modern","type":"book"},"uris":["http://www.mendeley.com/documents/?uuid=bb60075d-c85a-4235-a603-7223fb624f1d"]}],"mendeley":{"formattedCitation":"William J Larkin, &lt;i&gt;Sinkretisme Kuno Dan Iman Modern&lt;/i&gt; (Baker Academic, 2018).","plainTextFormattedCitation":"William J Larkin, Sinkretisme Kuno Dan Iman Modern (Baker Academic, 2018).","previouslyFormattedCitation":"William J Larkin, &lt;i&gt;Sinkretisme Kuno Dan Iman Modern&lt;/i&gt; (Baker Academic, 2018)."},"properties":{"noteIndex":6},"schema":"https://github.com/citation-style-language/schema/raw/master/csl-citation.json"}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William J Larkin, </w:t>
      </w:r>
      <w:r w:rsidRPr="000611DD">
        <w:rPr>
          <w:rFonts w:ascii="Times New Roman" w:hAnsi="Times New Roman" w:cs="Times New Roman"/>
          <w:i/>
        </w:rPr>
        <w:t>Sinkretisme Kuno Dan Iman Modern</w:t>
      </w:r>
      <w:r w:rsidRPr="000611DD">
        <w:rPr>
          <w:rFonts w:ascii="Times New Roman" w:hAnsi="Times New Roman" w:cs="Times New Roman"/>
        </w:rPr>
        <w:t xml:space="preserve"> (Baker Academic, 2018).</w:t>
      </w:r>
      <w:r w:rsidRPr="000611DD">
        <w:rPr>
          <w:rFonts w:ascii="Times New Roman" w:hAnsi="Times New Roman" w:cs="Times New Roman"/>
        </w:rPr>
        <w:fldChar w:fldCharType="end"/>
      </w:r>
    </w:p>
  </w:footnote>
  <w:footnote w:id="7">
    <w:p w14:paraId="6C3E51F4"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{"citationItems":[{"id":"ITEM-1","itemData":{"author":[{"dropping-particle":"","family":"Brueggemann","given":"Walter","non-dropping-particle":"","parse-names":false,"suffix":""}],"id":"ITEM-1","issued":{"date-parts":[["2019"]]},"publisher":"Fortress Press","title":"Hakim dan Seruan untuk Seorang Raja","type":"book"},"uris":["http://www.mendeley.com/documents/?uuid=ce7d4146-c5ea-46df-8be4-cb6d3083fd45"]}],"mendeley":{"formattedCitation":"Walter Brueggemann, &lt;i&gt;Hakim Dan Seruan Untuk Seorang Raja&lt;/i&gt; (Fortress Press, 2019).","plainTextFormattedCitation":"Walter Brueggemann, Hakim Dan Seruan Untuk Seorang Raja (Fortress Press, 2019).","previouslyFormattedCitation":"Walter Brueggemann, &lt;i&gt;Hakim Dan Seruan Untuk Seorang Raja&lt;/i&gt; (Fortress Press, 2019)."},"properties":{"noteIndex":7},"schema":"https://github.com/citation-style-language/schema/raw/master/csl-citation.json"}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Walter Brueggemann, </w:t>
      </w:r>
      <w:r w:rsidRPr="000611DD">
        <w:rPr>
          <w:rFonts w:ascii="Times New Roman" w:hAnsi="Times New Roman" w:cs="Times New Roman"/>
          <w:i/>
        </w:rPr>
        <w:t>Hakim Dan Seruan Untuk Seorang Raja</w:t>
      </w:r>
      <w:r w:rsidRPr="000611DD">
        <w:rPr>
          <w:rFonts w:ascii="Times New Roman" w:hAnsi="Times New Roman" w:cs="Times New Roman"/>
        </w:rPr>
        <w:t xml:space="preserve"> (Fortress Press, 2019).</w:t>
      </w:r>
      <w:r w:rsidRPr="000611DD">
        <w:rPr>
          <w:rFonts w:ascii="Times New Roman" w:hAnsi="Times New Roman" w:cs="Times New Roman"/>
        </w:rPr>
        <w:fldChar w:fldCharType="end"/>
      </w:r>
    </w:p>
  </w:footnote>
  <w:footnote w:id="8">
    <w:p w14:paraId="2DDAEDBC"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{"citationItems":[{"id":"ITEM-1","itemData":{"author":[{"dropping-particle":"","family":"Block","given":"Daniel I","non-dropping-particle":"","parse-names":false,"suffix":""}],"id":"ITEM-1","issued":{"date-parts":[["2020"]]},"publisher":"B&amp;H Publishing Group","title":"Hakim-hakim, Ruth: Sebuah Eksposisi Eksegetis dan Teologis","type":"book"},"uris":["http://www.mendeley.com/documents/?uuid=70a197da-8571-4aac-ac16-77e04b819229"]}],"mendeley":{"formattedCitation":"Daniel I Block, &lt;i&gt;Hakim-Hakim, Ruth: Sebuah Eksposisi Eksegetis Dan Teologis&lt;/i&gt; (B&amp;H Publishing Group, 2020).","plainTextFormattedCitation":"Daniel I Block, Hakim-Hakim, Ruth: Sebuah Eksposisi Eksegetis Dan Teologis (B&amp;H Publishing Group, 2020).","previouslyFormattedCitation":"Daniel I Block, &lt;i&gt;Hakim-Hakim, Ruth: Sebuah Eksposisi Eksegetis Dan Teologis&lt;/i&gt; (B&amp;H Publishing Group, 2020)."},"properties":{"noteIndex":8},"schema":"https://github.com/citation-style-language/schema/raw/master/csl-citation.json"}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Daniel I Block, </w:t>
      </w:r>
      <w:r w:rsidRPr="000611DD">
        <w:rPr>
          <w:rFonts w:ascii="Times New Roman" w:hAnsi="Times New Roman" w:cs="Times New Roman"/>
          <w:i/>
        </w:rPr>
        <w:t>Hakim-Hakim, Ruth: Sebuah Eksposisi Eksegetis Dan Teologis</w:t>
      </w:r>
      <w:r w:rsidRPr="000611DD">
        <w:rPr>
          <w:rFonts w:ascii="Times New Roman" w:hAnsi="Times New Roman" w:cs="Times New Roman"/>
        </w:rPr>
        <w:t xml:space="preserve"> (B&amp;H Publishing Group, 2020).</w:t>
      </w:r>
      <w:r w:rsidRPr="000611DD">
        <w:rPr>
          <w:rFonts w:ascii="Times New Roman" w:hAnsi="Times New Roman" w:cs="Times New Roman"/>
        </w:rPr>
        <w:fldChar w:fldCharType="end"/>
      </w:r>
    </w:p>
  </w:footnote>
  <w:footnote w:id="9">
    <w:p w14:paraId="42DF14F2"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{"citationItems":[{"id":"ITEM-1","itemData":{"author":[{"dropping-particle":"","family":"Carson","given":"DA","non-dropping-particle":"","parse-names":false,"suffix":""}],"id":"ITEM-1","issued":{"date-parts":[["2008"]]},"publisher":"Eerdmans","title":"Kristus dan Budaya yang Ditinjau Kembali","type":"book"},"uris":["http://www.mendeley.com/documents/?uuid=1e51c71b-7ffe-4d1d-94b9-53f8001045e2"]}],"mendeley":{"formattedCitation":"DA Carson, &lt;i&gt;Kristus Dan Budaya Yang Ditinjau Kembali&lt;/i&gt; (Eerdmans, 2008).","plainTextFormattedCitation":"DA Carson, Kristus Dan Budaya Yang Ditinjau Kembali (Eerdmans, 2008).","previouslyFormattedCitation":"DA Carson, &lt;i&gt;Kristus Dan Budaya Yang Ditinjau Kembali&lt;/i&gt; (Eerdmans, 2008)."},"properties":{"noteIndex":9},"schema":"https://github.com/citation-style-language/schema/raw/master/csl-citation.json"}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DA Carson, </w:t>
      </w:r>
      <w:r w:rsidRPr="000611DD">
        <w:rPr>
          <w:rFonts w:ascii="Times New Roman" w:hAnsi="Times New Roman" w:cs="Times New Roman"/>
          <w:i/>
        </w:rPr>
        <w:t>Kristus Dan Budaya Yang Ditinjau Kembali</w:t>
      </w:r>
      <w:r w:rsidRPr="000611DD">
        <w:rPr>
          <w:rFonts w:ascii="Times New Roman" w:hAnsi="Times New Roman" w:cs="Times New Roman"/>
        </w:rPr>
        <w:t xml:space="preserve"> (Eerdmans, 2008).</w:t>
      </w:r>
      <w:r w:rsidRPr="000611DD">
        <w:rPr>
          <w:rFonts w:ascii="Times New Roman" w:hAnsi="Times New Roman" w:cs="Times New Roman"/>
        </w:rPr>
        <w:fldChar w:fldCharType="end"/>
      </w:r>
    </w:p>
  </w:footnote>
  <w:footnote w:id="10">
    <w:p w14:paraId="033364FB"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{"citationItems":[{"id":"ITEM-1","itemData":{"author":[{"dropping-particle":"","family":"Creswell","given":"John W","non-dropping-particle":"","parse-names":false,"suffix":""}],"id":"ITEM-1","issued":{"date-parts":[["2018"]]},"publisher":"Sage Publications","title":"Penyelidikan Kualitatif dan Desain Penelitian: Memilih di Antara Lima Pendekatan","type":"book"},"uris":["http://www.mendeley.com/documents/?uuid=4575db90-f98e-41ac-9e70-e04f4c294a57"]}],"mendeley":{"formattedCitation":"John W Creswell, &lt;i&gt;Penyelidikan Kualitatif Dan Desain Penelitian: Memilih Di Antara Lima Pendekatan&lt;/i&gt; (Sage Publications, 2018).","plainTextFormattedCitation":"John W Creswell, Penyelidikan Kualitatif Dan Desain Penelitian: Memilih Di Antara Lima Pendekatan (Sage Publications, 2018).","previouslyFormattedCitation":"John W Creswell, &lt;i&gt;Penyelidikan Kualitatif Dan Desain Penelitian: Memilih Di Antara Lima Pendekatan&lt;/i&gt; (Sage Publications, 2018)."},"properties":{"noteIndex":10},"schema":"https://github.com/citation-style-language/schema/raw/master/csl-citation.json"}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John W Creswell, </w:t>
      </w:r>
      <w:r w:rsidRPr="000611DD">
        <w:rPr>
          <w:rFonts w:ascii="Times New Roman" w:hAnsi="Times New Roman" w:cs="Times New Roman"/>
          <w:i/>
        </w:rPr>
        <w:t>Penyelidikan Kualitatif Dan Desain Penelitian: Memilih Di Antara Lima Pendekatan</w:t>
      </w:r>
      <w:r w:rsidRPr="000611DD">
        <w:rPr>
          <w:rFonts w:ascii="Times New Roman" w:hAnsi="Times New Roman" w:cs="Times New Roman"/>
        </w:rPr>
        <w:t xml:space="preserve"> (Sage Publications, 2018).</w:t>
      </w:r>
      <w:r w:rsidRPr="000611DD">
        <w:rPr>
          <w:rFonts w:ascii="Times New Roman" w:hAnsi="Times New Roman" w:cs="Times New Roman"/>
        </w:rPr>
        <w:fldChar w:fldCharType="end"/>
      </w:r>
    </w:p>
  </w:footnote>
  <w:footnote w:id="11">
    <w:p w14:paraId="65B59539"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{"citationItems":[{"id":"ITEM-1","itemData":{"author":[{"dropping-particle":"","family":"Erickson","given":"J. Millard","non-dropping-particle":"","parse-names":false,"suffix":""}],"id":"ITEM-1","issued":{"date-parts":[["2013"]]},"number-of-pages":"278-280","publisher":"Baker Academic","publisher-place":"Grand Rapids","title":"Teologi Kristen","type":"book"},"uris":["http://www.mendeley.com/documents/?uuid=2a29717c-880f-4f12-9e4d-7db7fc83a1f2"]}],"mendeley":{"formattedCitation":"J. Millard Erickson, &lt;i&gt;Teologi Kristen&lt;/i&gt; (Grand Rapids: Baker Academic, 2013).","plainTextFormattedCitation":"J. Millard Erickson, Teologi Kristen (Grand Rapids: Baker Academic, 2013).","previouslyFormattedCitation":"J. Millard Erickson, &lt;i&gt;Teologi Kristen&lt;/i&gt; (Grand Rapids: Baker Academic, 2013)."},"properties":{"noteIndex":11},"schema":"https://github.com/citation-style-language/schema/raw/master/csl-citation.json"}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J. Millard Erickson, </w:t>
      </w:r>
      <w:r w:rsidRPr="000611DD">
        <w:rPr>
          <w:rFonts w:ascii="Times New Roman" w:hAnsi="Times New Roman" w:cs="Times New Roman"/>
          <w:i/>
        </w:rPr>
        <w:t>Teologi Kristen</w:t>
      </w:r>
      <w:r w:rsidRPr="000611DD">
        <w:rPr>
          <w:rFonts w:ascii="Times New Roman" w:hAnsi="Times New Roman" w:cs="Times New Roman"/>
        </w:rPr>
        <w:t xml:space="preserve"> (Grand Rapids: Baker Academic, 2013).</w:t>
      </w:r>
      <w:r w:rsidRPr="000611DD">
        <w:rPr>
          <w:rFonts w:ascii="Times New Roman" w:hAnsi="Times New Roman" w:cs="Times New Roman"/>
        </w:rPr>
        <w:fldChar w:fldCharType="end"/>
      </w:r>
    </w:p>
  </w:footnote>
  <w:footnote w:id="12">
    <w:p w14:paraId="022A93B7"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{"citationItems":[{"id":"ITEM-1","itemData":{"author":[{"dropping-particle":"","family":"Block","given":"Daniel I","non-dropping-particle":"","parse-names":false,"suffix":""}],"id":"ITEM-1","issued":{"date-parts":[["2020"]]},"publisher":"B&amp;H Publishing Group","title":"Hakim-hakim, Ruth: Sebuah Eksposisi Eksegetis dan Teologis","type":"book"},"uris":["http://www.mendeley.com/documents/?uuid=70a197da-8571-4aac-ac16-77e04b819229"]}],"mendeley":{"formattedCitation":"Block, &lt;i&gt;Hakim-Hakim, Ruth: Sebuah Eksposisi Eksegetis Dan Teologis&lt;/i&gt;.","plainTextFormattedCitation":"Block, Hakim-Hakim, Ruth: Sebuah Eksposisi Eksegetis Dan Teologis.","previouslyFormattedCitation":"Block, &lt;i&gt;Hakim-Hakim, Ruth: Sebuah Eksposisi Eksegetis Dan Teologis&lt;/i&gt;."},"properties":{"noteIndex":12},"schema":"https://github.com/citation-style-language/schema/raw/master/csl-citation.json"}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Block, </w:t>
      </w:r>
      <w:r w:rsidRPr="000611DD">
        <w:rPr>
          <w:rFonts w:ascii="Times New Roman" w:hAnsi="Times New Roman" w:cs="Times New Roman"/>
          <w:i/>
        </w:rPr>
        <w:t>Hakim-Hakim, Ruth: Sebuah Eksposisi Eksegetis Dan Teologis</w:t>
      </w:r>
      <w:r w:rsidRPr="000611DD">
        <w:rPr>
          <w:rFonts w:ascii="Times New Roman" w:hAnsi="Times New Roman" w:cs="Times New Roman"/>
        </w:rPr>
        <w:t>.</w:t>
      </w:r>
      <w:r w:rsidRPr="000611DD">
        <w:rPr>
          <w:rFonts w:ascii="Times New Roman" w:hAnsi="Times New Roman" w:cs="Times New Roman"/>
        </w:rPr>
        <w:fldChar w:fldCharType="end"/>
      </w:r>
    </w:p>
  </w:footnote>
  <w:footnote w:id="13">
    <w:p w14:paraId="36717C18" w14:textId="77777777" w:rsidR="007E6D59" w:rsidRPr="004B0B2E" w:rsidRDefault="007E6D59" w:rsidP="007E6D59">
      <w:pPr>
        <w:pStyle w:val="FootnoteText"/>
        <w:ind w:firstLine="567"/>
        <w:rPr>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{"citationItems":[{"id":"ITEM-1","itemData":{"author":[{"dropping-particle":"","family":"Carson","given":"DA","non-dropping-particle":"","parse-names":false,"suffix":""}],"id":"ITEM-1","issued":{"date-parts":[["2008"]]},"publisher":"Eerdmans","title":"Kristus dan Budaya yang Ditinjau Kembali","type":"book"},"uris":["http://www.mendeley.com/documents/?uuid=1e51c71b-7ffe-4d1d-94b9-53f8001045e2"]}],"mendeley":{"formattedCitation":"Carson, &lt;i&gt;Kristus Dan Budaya Yang Ditinjau Kembali&lt;/i&gt;.","plainTextFormattedCitation":"Carson, Kristus Dan Budaya Yang Ditinjau Kembali.","previouslyFormattedCitation":"Carson, &lt;i&gt;Kristus Dan Budaya Yang Ditinjau Kembali&lt;/i&gt;."},"properties":{"noteIndex":13},"schema":"https://github.com/citation-style-language/schema/raw/master/csl-citation.json"}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Carson, </w:t>
      </w:r>
      <w:r w:rsidRPr="000611DD">
        <w:rPr>
          <w:rFonts w:ascii="Times New Roman" w:hAnsi="Times New Roman" w:cs="Times New Roman"/>
          <w:i/>
        </w:rPr>
        <w:t>Kristus Dan Budaya Yang Ditinjau Kembali</w:t>
      </w:r>
      <w:r w:rsidRPr="000611DD">
        <w:rPr>
          <w:rFonts w:ascii="Times New Roman" w:hAnsi="Times New Roman" w:cs="Times New Roman"/>
        </w:rPr>
        <w:t>.</w:t>
      </w:r>
      <w:r w:rsidRPr="000611DD">
        <w:rPr>
          <w:rFonts w:ascii="Times New Roman" w:hAnsi="Times New Roman" w:cs="Times New Roman"/>
        </w:rPr>
        <w:fldChar w:fldCharType="end"/>
      </w:r>
    </w:p>
  </w:footnote>
  <w:footnote w:id="14">
    <w:p w14:paraId="3AB2696E"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{"citationItems":[{"id":"ITEM-1","itemData":{"author":[{"dropping-particle":"","family":"Anderson","given":"BW","non-dropping-particle":"","parse-names":false,"suffix":""}],"id":"ITEM-1","issued":{"date-parts":[["2022"]]},"publisher":"Pearson","publisher-place":"New York","title":"Memahami Perjanjian Lama","type":"book"},"uris":["http://www.mendeley.com/documents/?uuid=6e40c817-eb34-4cbd-be41-915a5d456a14"]}],"mendeley":{"formattedCitation":"BW Anderson, &lt;i&gt;Memahami Perjanjian Lama&lt;/i&gt; (New York: Pearson, 2022).","plainTextFormattedCitation":"BW Anderson, Memahami Perjanjian Lama (New York: Pearson, 2022).","previouslyFormattedCitation":"BW Anderson, &lt;i&gt;Memahami Perjanjian Lama&lt;/i&gt; (New York: Pearson, 2022)."},"properties":{"noteIndex":14},"schema":"https://github.com/citation-style-language/schema/raw/master/csl-citation.json"}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BW Anderson, </w:t>
      </w:r>
      <w:r w:rsidRPr="000611DD">
        <w:rPr>
          <w:rFonts w:ascii="Times New Roman" w:hAnsi="Times New Roman" w:cs="Times New Roman"/>
          <w:i/>
        </w:rPr>
        <w:t>Memahami Perjanjian Lama</w:t>
      </w:r>
      <w:r w:rsidRPr="000611DD">
        <w:rPr>
          <w:rFonts w:ascii="Times New Roman" w:hAnsi="Times New Roman" w:cs="Times New Roman"/>
        </w:rPr>
        <w:t xml:space="preserve"> (New York: Pearson, 2022).</w:t>
      </w:r>
      <w:r w:rsidRPr="000611DD">
        <w:rPr>
          <w:rFonts w:ascii="Times New Roman" w:hAnsi="Times New Roman" w:cs="Times New Roman"/>
        </w:rPr>
        <w:fldChar w:fldCharType="end"/>
      </w:r>
    </w:p>
  </w:footnote>
  <w:footnote w:id="15">
    <w:p w14:paraId="69838117"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{"citationItems":[{"id":"ITEM-1","itemData":{"author":[{"dropping-particle":"","family":"Brueggemann","given":"W","non-dropping-particle":"","parse-names":false,"suffix":""}],"id":"ITEM-1","issued":{"date-parts":[["1997"]]},"publisher":"Fortress Press","publisher-place":"Minneapolis","title":"Teologi Perjanjian Lama: Kesaksian, Perselisihan, Advokasi","type":"book"},"uris":["http://www.mendeley.com/documents/?uuid=eb5c7555-7c4b-4a01-a620-adb147122e87"]}],"mendeley":{"formattedCitation":"W Brueggemann, &lt;i&gt;Teologi Perjanjian Lama: Kesaksian, Perselisihan, Advokasi&lt;/i&gt; (Minneapolis: Fortress Press, 1997).","plainTextFormattedCitation":"W Brueggemann, Teologi Perjanjian Lama: Kesaksian, Perselisihan, Advokasi (Minneapolis: Fortress Press, 1997).","previouslyFormattedCitation":"W Brueggemann, &lt;i&gt;Teologi Perjanjian Lama: Kesaksian, Perselisihan, Advokasi&lt;/i&gt; (Minneapolis: Fortress Press, 1997)."},"properties":{"noteIndex":15},"schema":"https://github.com/citation-style-language/schema/raw/master/csl-citation.json"}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W Brueggemann, </w:t>
      </w:r>
      <w:r w:rsidRPr="000611DD">
        <w:rPr>
          <w:rFonts w:ascii="Times New Roman" w:hAnsi="Times New Roman" w:cs="Times New Roman"/>
          <w:i/>
        </w:rPr>
        <w:t>Teologi Perjanjian Lama: Kesaksian, Perselisihan, Advokasi</w:t>
      </w:r>
      <w:r w:rsidRPr="000611DD">
        <w:rPr>
          <w:rFonts w:ascii="Times New Roman" w:hAnsi="Times New Roman" w:cs="Times New Roman"/>
        </w:rPr>
        <w:t xml:space="preserve"> (Minneapolis: Fortress Press, 1997).</w:t>
      </w:r>
      <w:r w:rsidRPr="000611DD">
        <w:rPr>
          <w:rFonts w:ascii="Times New Roman" w:hAnsi="Times New Roman" w:cs="Times New Roman"/>
        </w:rPr>
        <w:fldChar w:fldCharType="end"/>
      </w:r>
    </w:p>
  </w:footnote>
  <w:footnote w:id="16">
    <w:p w14:paraId="74FC5147"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{"citationItems":[{"id":"ITEM-1","itemData":{"author":[{"dropping-particle":"","family":"Keil, CF, &amp; Delitzsch","given":"F.","non-dropping-particle":"","parse-names":false,"suffix":""}],"id":"ITEM-1","issued":{"date-parts":[["1996"]]},"publisher":"Penerbit Hendrickson","publisher-place":"Peabody","title":"Komentar tentang Perjanjian Lama","type":"book"},"uris":["http://www.mendeley.com/documents/?uuid=4e645dd0-526f-45ea-8d03-d2b88dbf79f9"]}],"mendeley":{"formattedCitation":"F. Keil, CF, &amp; Delitzsch, &lt;i&gt;Komentar Tentang Perjanjian Lama&lt;/i&gt; (Peabody: Penerbit Hendrickson, 1996).","plainTextFormattedCitation":"F. Keil, CF, &amp; Delitzsch, Komentar Tentang Perjanjian Lama (Peabody: Penerbit Hendrickson, 1996).","previouslyFormattedCitation":"F. Keil, CF, &amp; Delitzsch, &lt;i&gt;Komentar Tentang Perjanjian Lama&lt;/i&gt; (Peabody: Penerbit Hendrickson, 1996)."},"properties":{"noteIndex":16},"schema":"https://github.com/citation-style-language/schema/raw/master/csl-citation.json"}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F. Keil, CF, &amp; Delitzsch, </w:t>
      </w:r>
      <w:r w:rsidRPr="000611DD">
        <w:rPr>
          <w:rFonts w:ascii="Times New Roman" w:hAnsi="Times New Roman" w:cs="Times New Roman"/>
          <w:i/>
        </w:rPr>
        <w:t>Komentar Tentang Perjanjian Lama</w:t>
      </w:r>
      <w:r w:rsidRPr="000611DD">
        <w:rPr>
          <w:rFonts w:ascii="Times New Roman" w:hAnsi="Times New Roman" w:cs="Times New Roman"/>
        </w:rPr>
        <w:t xml:space="preserve"> (Peabody: Penerbit Hendrickson, 1996).</w:t>
      </w:r>
      <w:r w:rsidRPr="000611DD">
        <w:rPr>
          <w:rFonts w:ascii="Times New Roman" w:hAnsi="Times New Roman" w:cs="Times New Roman"/>
        </w:rPr>
        <w:fldChar w:fldCharType="end"/>
      </w:r>
    </w:p>
  </w:footnote>
  <w:footnote w:id="17">
    <w:p w14:paraId="0EC70FA6"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{"citationItems":[{"id":"ITEM-1","itemData":{"author":[{"dropping-particle":"","family":"Larkin","given":"WJ","non-dropping-particle":"","parse-names":false,"suffix":""}],"id":"ITEM-1","issued":{"date-parts":[["2008"]]},"publisher":"Wipf dan Stock Publishers","publisher-place":"Eugene","title":"Budaya dan Hermeneutika Alkitab","type":"book"},"uris":["http://www.mendeley.com/documents/?uuid=3310b94d-98b5-4232-b390-6bae60e006e5"]}],"mendeley":{"formattedCitation":"WJ Larkin, &lt;i&gt;Budaya Dan Hermeneutika Alkitab&lt;/i&gt; (Eugene: Wipf dan Stock Publishers, 2008).","plainTextFormattedCitation":"WJ Larkin, Budaya Dan Hermeneutika Alkitab (Eugene: Wipf dan Stock Publishers, 2008).","previouslyFormattedCitation":"WJ Larkin, &lt;i&gt;Budaya Dan Hermeneutika Alkitab&lt;/i&gt; (Eugene: Wipf dan Stock Publishers, 2008)."},"properties":{"noteIndex":17},"schema":"https://github.com/citation-style-language/schema/raw/master/csl-citation.json"}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WJ Larkin, </w:t>
      </w:r>
      <w:r w:rsidRPr="000611DD">
        <w:rPr>
          <w:rFonts w:ascii="Times New Roman" w:hAnsi="Times New Roman" w:cs="Times New Roman"/>
          <w:i/>
        </w:rPr>
        <w:t>Budaya Dan Hermeneutika Alkitab</w:t>
      </w:r>
      <w:r w:rsidRPr="000611DD">
        <w:rPr>
          <w:rFonts w:ascii="Times New Roman" w:hAnsi="Times New Roman" w:cs="Times New Roman"/>
        </w:rPr>
        <w:t xml:space="preserve"> (Eugene: Wipf dan Stock Publishers, 2008).</w:t>
      </w:r>
      <w:r w:rsidRPr="000611DD">
        <w:rPr>
          <w:rFonts w:ascii="Times New Roman" w:hAnsi="Times New Roman" w:cs="Times New Roman"/>
        </w:rPr>
        <w:fldChar w:fldCharType="end"/>
      </w:r>
    </w:p>
  </w:footnote>
  <w:footnote w:id="18">
    <w:p w14:paraId="05B01AB7"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{"citationItems":[{"id":"ITEM-1","itemData":{"author":[{"dropping-particle":"","family":"Block","given":"DI","non-dropping-particle":"","parse-names":false,"suffix":""}],"id":"ITEM-1","issued":{"date-parts":[["1999"]]},"publisher":"Broadman &amp; Holman Publishers","publisher-place":"Nashville","title":"Hakim, Ruth","type":"book"},"uris":["http://www.mendeley.com/documents/?uuid=964664c7-062d-44f6-b067-010e81719328"]}],"mendeley":{"formattedCitation":"DI Block, &lt;i&gt;Hakim, Ruth&lt;/i&gt; (Nashville: Broadman &amp; Holman Publishers, 1999).","plainTextFormattedCitation":"DI Block, Hakim, Ruth (Nashville: Broadman &amp; Holman Publishers, 1999)."},"properties":{"noteIndex":18},"schema":"https://github.com/citation-style-language/schema/raw/master/csl-citation.json"}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DI Block, </w:t>
      </w:r>
      <w:r w:rsidRPr="000611DD">
        <w:rPr>
          <w:rFonts w:ascii="Times New Roman" w:hAnsi="Times New Roman" w:cs="Times New Roman"/>
          <w:i/>
        </w:rPr>
        <w:t>Hakim, Ruth</w:t>
      </w:r>
      <w:r w:rsidRPr="000611DD">
        <w:rPr>
          <w:rFonts w:ascii="Times New Roman" w:hAnsi="Times New Roman" w:cs="Times New Roman"/>
        </w:rPr>
        <w:t xml:space="preserve"> (Nashville: Broadman &amp; Holman Publishers, 1999).</w:t>
      </w:r>
      <w:r w:rsidRPr="000611DD">
        <w:rPr>
          <w:rFonts w:ascii="Times New Roman" w:hAnsi="Times New Roman" w:cs="Times New Roman"/>
        </w:rPr>
        <w:fldChar w:fldCharType="end"/>
      </w:r>
    </w:p>
  </w:footnote>
  <w:footnote w:id="19">
    <w:p w14:paraId="4FFD95ED"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{"citationItems":[{"id":"ITEM-1","itemData":{"author":[{"dropping-particle":"","family":"J","given":"sidlow baxter","non-dropping-particle":"","parse-names":false,"suffix":""}],"id":"ITEM-1","issued":{"date-parts":[["1974"]]},"number-of-pages":"266-283","title":"MENGGALI ISI ALKITAB: kejadian sampai dengan ester","type":"book"},"uris":["http://www.mendeley.com/documents/?uuid=38d3f2e1-803a-45c5-83f7-30bc5d26f89a","http://www.mendeley.com/documents/?uuid=6eb820e7-dff9-4189-bfb7-ec92f2673561"]}],"mendeley":{"formattedCitation":"sidlow baxter J, &lt;i&gt;MENGGALI ISI ALKITAB: Kejadian Sampai Dengan Ester&lt;/i&gt;, 1974.","manualFormatting":"J. Sidlow Baxter, MENGGALI ISI ALKITAB: Kejadian Sampai Dengan Ester (Jakarta: Yayayasan Komunikasi Bina Kasih/OMF, 1974), 266-282.","plainTextFormattedCitation":"sidlow baxter J, MENGGALI ISI ALKITAB: Kejadian Sampai Dengan Ester, 1974.","previouslyFormattedCitation":"sidlow baxter J, &lt;i&gt;MENGGALI ISI ALKITAB: Kejadian Sampai Dengan Ester&lt;/i&gt;, 1974."},"properties":{"noteIndex":19},"schema":"https://github.com/citation-style-language/schema/raw/master/csl-citation.json"}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i/>
          <w:iCs/>
          <w:lang w:val="id-ID"/>
        </w:rPr>
        <w:t>J. Sidlow Baxter</w:t>
      </w:r>
      <w:r w:rsidRPr="000611DD">
        <w:rPr>
          <w:rFonts w:ascii="Times New Roman" w:hAnsi="Times New Roman" w:cs="Times New Roman"/>
          <w:i/>
          <w:iCs/>
        </w:rPr>
        <w:t>, MENGGALI ISI ALKITAB: Kejadian Sampai Dengan Ester</w:t>
      </w:r>
      <w:r w:rsidRPr="000611DD">
        <w:rPr>
          <w:rFonts w:ascii="Times New Roman" w:hAnsi="Times New Roman" w:cs="Times New Roman"/>
          <w:lang w:val="id-ID"/>
        </w:rPr>
        <w:t xml:space="preserve"> (Jakarta: Yayayasan Komunikasi Bina Kasih/OMF</w:t>
      </w:r>
      <w:r w:rsidRPr="000611DD">
        <w:rPr>
          <w:rFonts w:ascii="Times New Roman" w:hAnsi="Times New Roman" w:cs="Times New Roman"/>
        </w:rPr>
        <w:t>, 1974</w:t>
      </w:r>
      <w:r w:rsidRPr="000611DD">
        <w:rPr>
          <w:rFonts w:ascii="Times New Roman" w:hAnsi="Times New Roman" w:cs="Times New Roman"/>
          <w:lang w:val="id-ID"/>
        </w:rPr>
        <w:t>), 266-282</w:t>
      </w:r>
      <w:r w:rsidRPr="000611DD">
        <w:rPr>
          <w:rFonts w:ascii="Times New Roman" w:hAnsi="Times New Roman" w:cs="Times New Roman"/>
        </w:rPr>
        <w:t>.</w:t>
      </w:r>
      <w:r w:rsidRPr="000611DD">
        <w:rPr>
          <w:rFonts w:ascii="Times New Roman" w:hAnsi="Times New Roman" w:cs="Times New Roman"/>
        </w:rPr>
        <w:fldChar w:fldCharType="end"/>
      </w:r>
    </w:p>
  </w:footnote>
  <w:footnote w:id="20">
    <w:p w14:paraId="4E6D8ED2"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bookmarkStart w:id="1" w:name="_Hlk181214460"/>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{"citationItems":[{"id":"ITEM-1","itemData":{"author":[{"dropping-particle":"","family":"Pontas Surya Fernandes","given":"S. Th","non-dropping-particle":"","parse-names":false,"suffix":""}],"id":"ITEM-1","issued":{"date-parts":[["0"]]},"title":"PENGENALAN KITAB HAKIM-HAKIM Oleh: Pontas Surya Fernandes, S. Th Abstraction","type":"article-journal"},"uris":["http://www.mendeley.com/documents/?uuid=4d2aff4f-62f1-4157-9c68-11edb2a7aabf","http://www.mendeley.com/documents/?uuid=bd4fa779-e523-4a50-b01d-70068a9f7593"]}],"mendeley":{"formattedCitation":"S. Th Pontas Surya Fernandes, “PENGENALAN KITAB HAKIM-HAKIM Oleh: Pontas Surya Fernandes, S. Th Abstraction” (n.d.).","manualFormatting":"Pontas Surya Fernandes, PENGENALAN KITAB HAKIM-HAKIM( ","plainTextFormattedCitation":"S. Th Pontas Surya Fernandes, “PENGENALAN KITAB HAKIM-HAKIM Oleh: Pontas Surya Fernandes, S. Th Abstraction” (n.d.).","previouslyFormattedCitation":"S. Th Pontas Surya Fernandes, “PENGENALAN KITAB HAKIM-HAKIM Oleh: Pontas Surya Fernandes, S. Th Abstraction” (n.d.)."},"properties":{"noteIndex":20},"schema":"https://github.com/citation-style-language/schema/raw/master/csl-citation.json"}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Pontas Surya Fernandes, </w:t>
      </w:r>
      <w:r w:rsidRPr="000611DD">
        <w:rPr>
          <w:rFonts w:ascii="Times New Roman" w:hAnsi="Times New Roman" w:cs="Times New Roman"/>
          <w:i/>
          <w:iCs/>
        </w:rPr>
        <w:t>PENGENALAN KITAB HAKIM-HAKIM</w:t>
      </w:r>
      <w:r w:rsidRPr="000611DD">
        <w:rPr>
          <w:rFonts w:ascii="Times New Roman" w:hAnsi="Times New Roman" w:cs="Times New Roman"/>
          <w:lang w:val="id-ID"/>
        </w:rPr>
        <w:t>(</w:t>
      </w:r>
      <w:r w:rsidRPr="000611DD">
        <w:rPr>
          <w:rFonts w:ascii="Times New Roman" w:hAnsi="Times New Roman" w:cs="Times New Roman"/>
        </w:rPr>
        <w:t xml:space="preserve"> </w:t>
      </w:r>
      <w:r w:rsidRPr="000611DD">
        <w:rPr>
          <w:rFonts w:ascii="Times New Roman" w:hAnsi="Times New Roman" w:cs="Times New Roman"/>
        </w:rPr>
        <w:fldChar w:fldCharType="end"/>
      </w:r>
      <w:r w:rsidRPr="000611DD">
        <w:rPr>
          <w:rFonts w:ascii="Times New Roman" w:hAnsi="Times New Roman" w:cs="Times New Roman"/>
          <w:lang w:val="id-ID"/>
        </w:rPr>
        <w:t>Jurnal Penabiblos 2, 2015), 10-20.</w:t>
      </w:r>
      <w:bookmarkEnd w:id="1"/>
    </w:p>
  </w:footnote>
  <w:footnote w:id="21">
    <w:p w14:paraId="5C0CF371"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{"citationItems":[{"id":"ITEM-1","itemData":{"DOI":"10.54636/teologi.v1i1.10","ISSN":"2774-4752","abstract":"Keistimewaan Israel sebagai bangsa pilihan Tuhan tidaklah membuat hati bangsa ini terpaut dan taat kepada Allah. Israel di masa Perjanjian Lama ternyata sulit melepaskan diri dari keterikatan penyembahan Baal. Hingga akhir masa keruntuhan Kerajaan Israel Utara dan Selatan disertai dengan masa pembuangan Babel membuat praktek penyembahan ilah asing ini perlahan surut secara drastis. Pemahaman mengenai fenomena ini di dalam konteks teologis normatif biasanya melihat penyembahan Baal sebagai dosa yang muncul begitu saja tanpa melihat proses asimilasi dan akulturasi keyakinan Israel. Tetapi pendekatan dari sisi sosioteologisakan membuat pemahaman mengenai fenomena penyembahan Baal di Israel Kuno menjadi lebih jelas. Baal sebagai dewa kesuburan orang Kanaan sudah dikenal luas hingga ke Mesir Kuno terutama di bagian utara. Adopsi Baal sebagai dewa kesuburan memiliki aspek politis bagi Mesir Kuno untuk membangun aliansi dengan bangsa sekitar, selain karena aspek spiritual dalam politeisme yang mereka bangun. Perbudakan Israel di Mesir mempengaruhi pola pikir Israel dan kecenderungan perilaku mereka untuk kompromi terhadap penyembahan ilah asing. Kuatnya budaya asing masuk ke dalam Israel karena proses asimilasi bertahap dari pernikahan hingga puncaknya menjadi dewa nasional orang Israel di zaman Ahab.     The excellence of Israel as God's chosen nation does not make the hearts of this nation attached to and obey God. Israel in Old Testament times found it difficult to break away from the idolatry of Baal worship. Until the end of the Kingdoms of Northern and Southern Israel, accompanied by the Babylonian exile, this foreign god-worshiping practice gradually declined drastically. Understanding this phenomenon in a normative theological context usually sees Baal worship as a sin that just arises without seeing the process of assimilation and acculturation of Israeli beliefs. But a socio-theological approach will make the understanding of the phenomenon of Baal worship in Ancient Israel clearer. Baal as the god of fertility of the Canaanites was widely known to Ancient Egypt, especially in the north. The adoption of Baal as a fertility god had a political aspect for Ancient Egyptians to build alliances with surrounding nations, apart from the spiritual aspect of the polytheism they built. Israel's slavery in Egypt influenced the mindset of Israelis and their behavioral tendency to compromise the worship of foreign gods. The strength of foreign culture entered Isr…","author":[{"dropping-particle":"","family":"Wibowo","given":"Gandi","non-dropping-particle":"","parse-names":false,"suffix":""}],"container-title":"Voice","id":"ITEM-1","issue":"1","issued":{"date-parts":[["2021"]]},"page":"18-30","title":"Asimilasi dan Akulturasi Penyembahan Baal di Bangsa Israel: Pendekatan Sosio Teologis menurut Teori Multi Stage Assimilation Milton M. Gordon","type":"article-journal","volume":"1"},"uris":["http://www.mendeley.com/documents/?uuid=2401a5cb-ea0a-4e94-bf60-214afda8f878","http://www.mendeley.com/documents/?uuid=9a472035-9f6e-47ad-a77c-65603abe9398"]}],"mendeley":{"formattedCitation":"Gandi Wibowo, “Asimilasi Dan Akulturasi Penyembahan Baal Di Bangsa Israel: Pendekatan Sosio Teologis Menurut Teori Multi Stage Assimilation Milton M. Gordon,” &lt;i&gt;Voice&lt;/i&gt; 1, no. 1 (2021): 18–30.","manualFormatting":"Gandi Wibowo, Asimilasi Dan Akulturasi Penyembahan Baal Di Bangsa Israel: Pendekatan Sosio Teologis Menurut Teori Multi Stage Assimilation Milton M. Gordon, (Sekolah Tinggi Teologi Baptis Kalvari, 2021 No. 1) 18–30.","plainTextFormattedCitation":"Gandi Wibowo, “Asimilasi Dan Akulturasi Penyembahan Baal Di Bangsa Israel: Pendekatan Sosio Teologis Menurut Teori Multi Stage Assimilation Milton M. Gordon,” Voice 1, no. 1 (2021): 18–30.","previouslyFormattedCitation":"Gandi Wibowo, “Asimilasi Dan Akulturasi Penyembahan Baal Di Bangsa Israel: Pendekatan Sosio Teologis Menurut Teori Multi Stage Assimilation Milton M. Gordon,” &lt;i&gt;Voice&lt;/i&gt; 1, no. 1 (2021): 18–30."},"properties":{"noteIndex":21},"schema":"https://github.com/citation-style-language/schema/raw/master/csl-citation.json"}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Gandi Wibowo,</w:t>
      </w:r>
      <w:r w:rsidRPr="000611DD">
        <w:rPr>
          <w:rFonts w:ascii="Times New Roman" w:hAnsi="Times New Roman" w:cs="Times New Roman"/>
          <w:i/>
          <w:iCs/>
        </w:rPr>
        <w:t xml:space="preserve"> Asimilasi Dan Akulturasi Penyembahan Baal Di Bangsa Israel: Pendekatan Sosio Teologis Menurut Teori Multi Stage Assimilation</w:t>
      </w:r>
      <w:r w:rsidRPr="000611DD">
        <w:rPr>
          <w:rFonts w:ascii="Times New Roman" w:hAnsi="Times New Roman" w:cs="Times New Roman"/>
        </w:rPr>
        <w:t xml:space="preserve"> </w:t>
      </w:r>
      <w:r w:rsidRPr="000611DD">
        <w:rPr>
          <w:rFonts w:ascii="Times New Roman" w:hAnsi="Times New Roman" w:cs="Times New Roman"/>
          <w:i/>
          <w:iCs/>
        </w:rPr>
        <w:t>Milton M. Gordon</w:t>
      </w:r>
      <w:r w:rsidRPr="000611DD">
        <w:rPr>
          <w:rFonts w:ascii="Times New Roman" w:hAnsi="Times New Roman" w:cs="Times New Roman"/>
        </w:rPr>
        <w:t>,</w:t>
      </w:r>
      <w:r w:rsidRPr="000611DD">
        <w:rPr>
          <w:rFonts w:ascii="Times New Roman" w:hAnsi="Times New Roman" w:cs="Times New Roman"/>
          <w:lang w:val="id-ID"/>
        </w:rPr>
        <w:t xml:space="preserve"> (Sekolah Tinggi Teologi Baptis Kalvari, 2021 No. 1) </w:t>
      </w:r>
      <w:r w:rsidRPr="000611DD">
        <w:rPr>
          <w:rFonts w:ascii="Times New Roman" w:hAnsi="Times New Roman" w:cs="Times New Roman"/>
        </w:rPr>
        <w:t>18–30.</w:t>
      </w:r>
      <w:r w:rsidRPr="000611DD">
        <w:rPr>
          <w:rFonts w:ascii="Times New Roman" w:hAnsi="Times New Roman" w:cs="Times New Roman"/>
        </w:rPr>
        <w:fldChar w:fldCharType="end"/>
      </w:r>
    </w:p>
  </w:footnote>
  <w:footnote w:id="22">
    <w:p w14:paraId="77E41821" w14:textId="77777777" w:rsidR="007E6D59" w:rsidRPr="000611DD" w:rsidRDefault="007E6D59" w:rsidP="007E6D59">
      <w:pPr>
        <w:pStyle w:val="FootnoteText"/>
        <w:ind w:firstLine="567"/>
        <w:rPr>
          <w:rFonts w:ascii="Times New Roman" w:hAnsi="Times New Roman" w:cs="Times New Roman"/>
          <w:lang w:val="id-ID"/>
        </w:rPr>
      </w:pPr>
      <w:bookmarkStart w:id="2" w:name="_Hlk181214535"/>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{"citationItems":[{"id":"ITEM-1","itemData":{"DOI":"10.46494/psc.v20i1.333","ISSN":"2338-0489","abstract":"This study is the antithesis of many studies on Gideon that praise and position him as a great leader. It is ironic that Gideon turned out to have a bad legacy to Israel as a result of the cohesion between leadership and the negative side of power and this is rarely exposed by researchers. The purpose of this study is to examine the factors of Gideon's failure and make it an important lesson for leaders to have the right character so that they can reach the end of good leadership (finishing well). Based on the hermeneutic method with a literature study approach, this article finds several negative factors of Gideon, namely: first, unstable emotions triggered controversial decisions as a slaughterer; second, leaving a legacy that led the Israelites to fall into the worship of ephods as idols; and third, having a high lust for power so that he named his son Abimelech, who later became king through intrigue and murder. The results of this study are very useful as an important lesson to every believer, that even though leaders are chosen by God, but as humans they still have weaknesses, so they should not be worshiped excessively.","author":[{"dropping-particle":"","family":"Pattinaja","given":"Aska Aprilano","non-dropping-particle":"","parse-names":false,"suffix":""},{"dropping-particle":"","family":"Lesnussa","given":"Johny","non-dropping-particle":"","parse-names":false,"suffix":""}],"container-title":"PASCA : Jurnal Teologi dan Pendidikan Agama Kristen","id":"ITEM-1","issue":"1","issued":{"date-parts":[["2024"]]},"page":"42-54","title":"Gideon's Leadership Cohesion and the Negative Side of His Power Based on Judges 8:22-35","type":"article-journal","volume":"20"},"uris":["http://www.mendeley.com/documents/?uuid=541fdc4c-6911-473f-a9e1-21611b327b7d","http://www.mendeley.com/documents/?uuid=826bd9c9-80db-4fae-a08d-eec91fd6393f"]}],"mendeley":{"formattedCitation":"Aska Aprilano Pattinaja and Johny Lesnussa, “Gideon’s Leadership Cohesion and the Negative Side of His Power Based on Judges 8:22-35,” &lt;i&gt;PASCA : Jurnal Teologi dan Pendidikan Agama Kristen&lt;/i&gt; 20, no. 1 (2024): 42–54.","manualFormatting":"Aska Aprilano Pattinaja and Johny Lesnussa, “Gideon’s Leadership Cohesion and the Negative Side of His Power Based on Judges 8:22-35,” (Jurnal Teologi dan Pendidikan Agama Kristen 20, no. 1, 2024) 42–54.","plainTextFormattedCitation":"Aska Aprilano Pattinaja and Johny Lesnussa, “Gideon’s Leadership Cohesion and the Negative Side of His Power Based on Judges 8:22-35,” PASCA : Jurnal Teologi dan Pendidikan Agama Kristen 20, no. 1 (2024): 42–54.","previouslyFormattedCitation":"Aska Aprilano Pattinaja and Johny Lesnussa, “Gideon’s Leadership Cohesion and the Negative Side of His Power Based on Judges 8:22-35,” &lt;i&gt;PASCA : Jurnal Teologi dan Pendidikan Agama Kristen&lt;/i&gt; 20, no. 1 (2024): 42–54."},"properties":{"noteIndex":23},"schema":"https://github.com/citation-style-language/schema/raw/master/csl-citation.json"}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Aska Aprilano Pattinaja and Johny Lesnussa, </w:t>
      </w:r>
      <w:r w:rsidRPr="000611DD">
        <w:rPr>
          <w:rFonts w:ascii="Times New Roman" w:hAnsi="Times New Roman" w:cs="Times New Roman"/>
          <w:i/>
          <w:iCs/>
        </w:rPr>
        <w:t>“Gideon’s Leadership Cohesion and the Negative Side of His Power Based on Judges 8:22-35,</w:t>
      </w:r>
      <w:r w:rsidRPr="000611DD">
        <w:rPr>
          <w:rFonts w:ascii="Times New Roman" w:hAnsi="Times New Roman" w:cs="Times New Roman"/>
        </w:rPr>
        <w:t xml:space="preserve">” </w:t>
      </w:r>
      <w:r w:rsidRPr="000611DD">
        <w:rPr>
          <w:rFonts w:ascii="Times New Roman" w:hAnsi="Times New Roman" w:cs="Times New Roman"/>
          <w:lang w:val="id-ID"/>
        </w:rPr>
        <w:t>(</w:t>
      </w:r>
      <w:r w:rsidRPr="000611DD">
        <w:rPr>
          <w:rFonts w:ascii="Times New Roman" w:hAnsi="Times New Roman" w:cs="Times New Roman"/>
        </w:rPr>
        <w:t>Jurnal Teologi dan Pendidikan Agama Kristen 20, no. 1</w:t>
      </w:r>
      <w:r w:rsidRPr="000611DD">
        <w:rPr>
          <w:rFonts w:ascii="Times New Roman" w:hAnsi="Times New Roman" w:cs="Times New Roman"/>
          <w:lang w:val="id-ID"/>
        </w:rPr>
        <w:t xml:space="preserve">, </w:t>
      </w:r>
      <w:r w:rsidRPr="000611DD">
        <w:rPr>
          <w:rFonts w:ascii="Times New Roman" w:hAnsi="Times New Roman" w:cs="Times New Roman"/>
        </w:rPr>
        <w:t>2024) 42–54.</w:t>
      </w:r>
      <w:r w:rsidRPr="000611DD">
        <w:rPr>
          <w:rFonts w:ascii="Times New Roman" w:hAnsi="Times New Roman" w:cs="Times New Roman"/>
        </w:rPr>
        <w:fldChar w:fldCharType="end"/>
      </w:r>
      <w:bookmarkEnd w:id="2"/>
    </w:p>
  </w:footnote>
  <w:footnote w:id="23">
    <w:p w14:paraId="047EA147"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Simanjuntak","given":"Freddy","non-dropping-particle":"","parse-names":false,"suffix":""},{"dropping-particle":"","family":"Sianipar","given":"Ronald","non-dropping-particle":"","parse-names":false,"suffix":""},{"dropping-particle":"","family":"Sihombing","given":"Agustinus","non-dropping-particle":"","parse-names":false,"suffix":""}],"container-title":"Teologi dan Pendidikan Agama Kristen","id":"ITEM-1","issue":"2","issued":{"date-parts":[["2019"]]},"page":"3-4","title":"Menelusuri Sejarah Nomaden Bangsa Israel","type":"article-journal","volume":"Vol. IV No"},"uris":["http://www.mendeley.com/documents/?uuid=c987ea61-297d-4d00-a013-879ceef5227b","http://www.mendeley.com/documents/?uuid=cf382a05-ba2e-4c76-8e45-1d65f7510c4b"]}],"mendeley":{"formattedCitation":"Freddy Simanjuntak, Ronald Sianipar, and Agustinus Sihombing, “Menelusuri Sejarah Nomaden Bangsa Israel,” &lt;i&gt;Teologi dan Pendidikan Agama Kristen&lt;/i&gt; Vol. IV No, no. 2 (2019): 3–4.","manualFormatting":"Freddy Simanjuntak, Ronald Sianipar, and Agustinus Sihombing, “Menelusuri Sejarah Nomaden Bangsa Israel,” (Teologi dan Pendidikan Agama Kristen Vol. IV no. 2, 2019) 3–4.","plainTextFormattedCitation":"Freddy Simanjuntak, Ronald Sianipar, and Agustinus Sihombing, “Menelusuri Sejarah Nomaden Bangsa Israel,” Teologi dan Pendidikan Agama Kristen Vol. IV No, no. 2 (2019): 3–4.","previouslyFormattedCitation":"Freddy Simanjuntak, Ronald Sianipar, and Agustinus Sihombing, “Menelusuri Sejarah Nomaden Bangsa Israel,” &lt;i&gt;Teologi dan Pendidikan Agama Kristen&lt;/i&gt; Vol. IV No, no. 2 (2019): 3–4."},"properties":{"noteIndex":24},"schema":"https://github.com/citation-style-language/schema/raw/master/csl-citation.json"}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Freddy Simanjuntak, Ronald Sianipar, and Agustinus Sihombing, </w:t>
      </w:r>
      <w:r w:rsidRPr="000611DD">
        <w:rPr>
          <w:rFonts w:ascii="Times New Roman" w:hAnsi="Times New Roman" w:cs="Times New Roman"/>
          <w:i/>
          <w:iCs/>
        </w:rPr>
        <w:t>“Menelusuri Sejarah Nomaden Bangsa Israel,”</w:t>
      </w:r>
      <w:r w:rsidRPr="000611DD">
        <w:rPr>
          <w:rFonts w:ascii="Times New Roman" w:hAnsi="Times New Roman" w:cs="Times New Roman"/>
        </w:rPr>
        <w:t xml:space="preserve"> </w:t>
      </w:r>
      <w:r w:rsidRPr="000611DD">
        <w:rPr>
          <w:rFonts w:ascii="Times New Roman" w:hAnsi="Times New Roman" w:cs="Times New Roman"/>
          <w:lang w:val="id-ID"/>
        </w:rPr>
        <w:t>(</w:t>
      </w:r>
      <w:r w:rsidRPr="000611DD">
        <w:rPr>
          <w:rFonts w:ascii="Times New Roman" w:hAnsi="Times New Roman" w:cs="Times New Roman"/>
        </w:rPr>
        <w:t>Teologi dan Pendidikan Agama Kristen Vol. IV</w:t>
      </w:r>
      <w:r w:rsidRPr="000611DD">
        <w:rPr>
          <w:rFonts w:ascii="Times New Roman" w:hAnsi="Times New Roman" w:cs="Times New Roman"/>
          <w:lang w:val="id-ID"/>
        </w:rPr>
        <w:t xml:space="preserve"> </w:t>
      </w:r>
      <w:r w:rsidRPr="000611DD">
        <w:rPr>
          <w:rFonts w:ascii="Times New Roman" w:hAnsi="Times New Roman" w:cs="Times New Roman"/>
        </w:rPr>
        <w:t>no. 2</w:t>
      </w:r>
      <w:r w:rsidRPr="000611DD">
        <w:rPr>
          <w:rFonts w:ascii="Times New Roman" w:hAnsi="Times New Roman" w:cs="Times New Roman"/>
          <w:lang w:val="id-ID"/>
        </w:rPr>
        <w:t xml:space="preserve">, </w:t>
      </w:r>
      <w:r w:rsidRPr="000611DD">
        <w:rPr>
          <w:rFonts w:ascii="Times New Roman" w:hAnsi="Times New Roman" w:cs="Times New Roman"/>
        </w:rPr>
        <w:t>2019) 3–4.</w:t>
      </w:r>
      <w:r w:rsidRPr="000611DD">
        <w:rPr>
          <w:rFonts w:ascii="Times New Roman" w:hAnsi="Times New Roman" w:cs="Times New Roman"/>
        </w:rPr>
        <w:fldChar w:fldCharType="end"/>
      </w:r>
    </w:p>
  </w:footnote>
  <w:footnote w:id="24">
    <w:p w14:paraId="08FDDADE"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{"citationItems":[{"id":"ITEM-1","itemData":{"author":[{"dropping-particle":"","family":"Sipayung","given":"Gerhard E","non-dropping-particle":"","parse-names":false,"suffix":""}],"container-title":"Paramathetes : Jurnal Teologi dan Pendidikan Kristia","id":"ITEM-1","issue":"1","issued":{"date-parts":[["2023"]]},"page":"1-16","title":"ni Aspek Spiritual dan Aspek Politik Kepemimpinan Samuel sebagai Model Pemimpin dalam Membangun Sebuah Tatanan Baru pada Pilkada dan Pilpres 2024","type":"article-journal","volume":"2"},"uris":["http://www.mendeley.com/documents/?uuid=83c3bc88-a6bb-4b3f-a1bb-ed0722c4813b","http://www.mendeley.com/documents/?uuid=e61912db-9491-4b1a-bfd2-2800bdcedc6a"]}],"mendeley":{"formattedCitation":"Gerhard E Sipayung, “Ni Aspek Spiritual Dan Aspek Politik Kepemimpinan Samuel Sebagai Model Pemimpin Dalam Membangun Sebuah Tatanan Baru Pada Pilkada Dan Pilpres 2024,” &lt;i&gt;Paramathetes : Jurnal Teologi dan Pendidikan Kristia&lt;/i&gt; 2, no. 1 (2023): 1–16.","manualFormatting":"Gerhard E Sipayung, \"Aspek Spiritual Dan Aspek Politik Kepemimpinan Samuel Sebagai Model Pemimpin Dalam Membangun Sebuah Tatanan Baru Pada Pilkada Dan Pilpres, 2024,” (STT Baptis Medan,  Jurnal Teologi dan Pendidikan Kristian 2, no. 1, 2023) 1–16. ","plainTextFormattedCitation":"Gerhard E Sipayung, “Ni Aspek Spiritual Dan Aspek Politik Kepemimpinan Samuel Sebagai Model Pemimpin Dalam Membangun Sebuah Tatanan Baru Pada Pilkada Dan Pilpres 2024,” Paramathetes : Jurnal Teologi dan Pendidikan Kristia 2, no. 1 (2023): 1–16.","previouslyFormattedCitation":"Gerhard E Sipayung, “Ni Aspek Spiritual Dan Aspek Politik Kepemimpinan Samuel Sebagai Model Pemimpin Dalam Membangun Sebuah Tatanan Baru Pada Pilkada Dan Pilpres 2024,” &lt;i&gt;Paramathetes : Jurnal Teologi dan Pendidikan Kristia&lt;/i&gt; 2, no. 1 (2023): 1–16."},"properties":{"noteIndex":26},"schema":"https://github.com/citation-style-language/schema/raw/master/csl-citation.json"}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i/>
          <w:iCs/>
        </w:rPr>
        <w:t xml:space="preserve">Gerhard E Sipayung, </w:t>
      </w:r>
      <w:r w:rsidRPr="000611DD">
        <w:rPr>
          <w:rFonts w:ascii="Times New Roman" w:hAnsi="Times New Roman" w:cs="Times New Roman"/>
          <w:i/>
          <w:iCs/>
          <w:lang w:val="id-ID"/>
        </w:rPr>
        <w:t>"</w:t>
      </w:r>
      <w:r w:rsidRPr="000611DD">
        <w:rPr>
          <w:rFonts w:ascii="Times New Roman" w:hAnsi="Times New Roman" w:cs="Times New Roman"/>
          <w:i/>
          <w:iCs/>
        </w:rPr>
        <w:t>Aspek Spiritual Dan Aspek Politik Kepemimpinan Samuel Sebagai Model Pemimpin Dalam Membangun Sebuah Tatanan Baru Pada Pilkada Dan Pilpres</w:t>
      </w:r>
      <w:r w:rsidRPr="000611DD">
        <w:rPr>
          <w:rFonts w:ascii="Times New Roman" w:hAnsi="Times New Roman" w:cs="Times New Roman"/>
          <w:i/>
          <w:iCs/>
          <w:lang w:val="id-ID"/>
        </w:rPr>
        <w:t xml:space="preserve">, </w:t>
      </w:r>
      <w:r w:rsidRPr="000611DD">
        <w:rPr>
          <w:rFonts w:ascii="Times New Roman" w:hAnsi="Times New Roman" w:cs="Times New Roman"/>
          <w:i/>
          <w:iCs/>
        </w:rPr>
        <w:t>2024,</w:t>
      </w:r>
      <w:r w:rsidRPr="000611DD">
        <w:rPr>
          <w:rFonts w:ascii="Times New Roman" w:hAnsi="Times New Roman" w:cs="Times New Roman"/>
        </w:rPr>
        <w:t xml:space="preserve">” </w:t>
      </w:r>
      <w:r w:rsidRPr="000611DD">
        <w:rPr>
          <w:rFonts w:ascii="Times New Roman" w:hAnsi="Times New Roman" w:cs="Times New Roman"/>
          <w:lang w:val="id-ID"/>
        </w:rPr>
        <w:t xml:space="preserve">(STT Baptis Medan, </w:t>
      </w:r>
      <w:r w:rsidRPr="000611DD">
        <w:rPr>
          <w:rFonts w:ascii="Times New Roman" w:hAnsi="Times New Roman" w:cs="Times New Roman"/>
        </w:rPr>
        <w:t xml:space="preserve"> Jurnal Teologi dan Pendidikan Kristi</w:t>
      </w:r>
      <w:r w:rsidRPr="000611DD">
        <w:rPr>
          <w:rFonts w:ascii="Times New Roman" w:hAnsi="Times New Roman" w:cs="Times New Roman"/>
          <w:lang w:val="id-ID"/>
        </w:rPr>
        <w:t>an</w:t>
      </w:r>
      <w:r w:rsidRPr="000611DD">
        <w:rPr>
          <w:rFonts w:ascii="Times New Roman" w:hAnsi="Times New Roman" w:cs="Times New Roman"/>
        </w:rPr>
        <w:t xml:space="preserve"> 2, no. 1</w:t>
      </w:r>
      <w:r w:rsidRPr="000611DD">
        <w:rPr>
          <w:rFonts w:ascii="Times New Roman" w:hAnsi="Times New Roman" w:cs="Times New Roman"/>
          <w:lang w:val="id-ID"/>
        </w:rPr>
        <w:t xml:space="preserve">, </w:t>
      </w:r>
      <w:r w:rsidRPr="000611DD">
        <w:rPr>
          <w:rFonts w:ascii="Times New Roman" w:hAnsi="Times New Roman" w:cs="Times New Roman"/>
        </w:rPr>
        <w:t>2023)</w:t>
      </w:r>
      <w:r w:rsidRPr="000611DD">
        <w:rPr>
          <w:rFonts w:ascii="Times New Roman" w:hAnsi="Times New Roman" w:cs="Times New Roman"/>
          <w:lang w:val="id-ID"/>
        </w:rPr>
        <w:t xml:space="preserve"> </w:t>
      </w:r>
      <w:r w:rsidRPr="000611DD">
        <w:rPr>
          <w:rFonts w:ascii="Times New Roman" w:hAnsi="Times New Roman" w:cs="Times New Roman"/>
        </w:rPr>
        <w:t>1–16</w:t>
      </w:r>
      <w:r w:rsidRPr="000611DD">
        <w:rPr>
          <w:rFonts w:ascii="Times New Roman" w:hAnsi="Times New Roman" w:cs="Times New Roman"/>
          <w:lang w:val="id-ID"/>
        </w:rPr>
        <w:t>.</w:t>
      </w:r>
      <w:r w:rsidRPr="000611DD">
        <w:rPr>
          <w:rFonts w:ascii="Times New Roman" w:hAnsi="Times New Roman" w:cs="Times New Roman"/>
        </w:rPr>
        <w:t xml:space="preserve"> </w:t>
      </w:r>
      <w:r w:rsidRPr="000611DD">
        <w:rPr>
          <w:rFonts w:ascii="Times New Roman" w:hAnsi="Times New Roman" w:cs="Times New Roman"/>
        </w:rPr>
        <w:fldChar w:fldCharType="end"/>
      </w:r>
    </w:p>
  </w:footnote>
  <w:footnote w:id="25">
    <w:p w14:paraId="0DC2215C"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{"citationItems":[{"id":"ITEM-1","itemData":{"author":[{"dropping-particle":"","family":"Ratnasari","given":"Desi","non-dropping-particle":"","parse-names":false,"suffix":""},{"dropping-particle":"","family":"Lumingkewas","given":"Marthin S","non-dropping-particle":"","parse-names":false,"suffix":""}],"container-title":"Dandra Kreatif","id":"ITEM-1","issued":{"date-parts":[["2018"]]},"page":"1-6","title":"Kawin campur","type":"article-journal"},"uris":["http://www.mendeley.com/documents/?uuid=e6aa1a12-e7a1-48fc-8004-bda492b591e9","http://www.mendeley.com/documents/?uuid=e27b2aef-3f6b-4c3e-838c-184004ec3396"]}],"mendeley":{"formattedCitation":"Desi Ratnasari and Marthin S Lumingkewas, “Kawin Campur,” &lt;i&gt;Dandra Kreatif&lt;/i&gt; (2018): 1–6.","manualFormatting":"Desi Ratnasari and Marthin S Lumingkewas, “Kawin Campur,” (STT Tawangmangu, Jawa Tengah, Diandra Kreatif, 2018) 1–6.","plainTextFormattedCitation":"Desi Ratnasari and Marthin S Lumingkewas, “Kawin Campur,” Dandra Kreatif (2018): 1–6.","previouslyFormattedCitation":"Desi Ratnasari and Marthin S Lumingkewas, “Kawin Campur,” &lt;i&gt;Dandra Kreatif&lt;/i&gt; (2018): 1–6."},"properties":{"noteIndex":27},"schema":"https://github.com/citation-style-language/schema/raw/master/csl-citation.json"}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Desi Ratnasari and Marthin S Lumingkewas, </w:t>
      </w:r>
      <w:r w:rsidRPr="000611DD">
        <w:rPr>
          <w:rFonts w:ascii="Times New Roman" w:hAnsi="Times New Roman" w:cs="Times New Roman"/>
          <w:i/>
          <w:iCs/>
        </w:rPr>
        <w:t xml:space="preserve">“Kawin Campur,” </w:t>
      </w:r>
      <w:r w:rsidRPr="000611DD">
        <w:rPr>
          <w:rFonts w:ascii="Times New Roman" w:hAnsi="Times New Roman" w:cs="Times New Roman"/>
          <w:lang w:val="id-ID"/>
        </w:rPr>
        <w:t xml:space="preserve">(STT Tawangmangu, Jawa Tengah, </w:t>
      </w:r>
      <w:r w:rsidRPr="000611DD">
        <w:rPr>
          <w:rFonts w:ascii="Times New Roman" w:hAnsi="Times New Roman" w:cs="Times New Roman"/>
        </w:rPr>
        <w:t>D</w:t>
      </w:r>
      <w:r w:rsidRPr="000611DD">
        <w:rPr>
          <w:rFonts w:ascii="Times New Roman" w:hAnsi="Times New Roman" w:cs="Times New Roman"/>
          <w:lang w:val="id-ID"/>
        </w:rPr>
        <w:t>ia</w:t>
      </w:r>
      <w:r w:rsidRPr="000611DD">
        <w:rPr>
          <w:rFonts w:ascii="Times New Roman" w:hAnsi="Times New Roman" w:cs="Times New Roman"/>
        </w:rPr>
        <w:t>ndra Kreatif</w:t>
      </w:r>
      <w:r w:rsidRPr="000611DD">
        <w:rPr>
          <w:rFonts w:ascii="Times New Roman" w:hAnsi="Times New Roman" w:cs="Times New Roman"/>
          <w:lang w:val="id-ID"/>
        </w:rPr>
        <w:t xml:space="preserve">, </w:t>
      </w:r>
      <w:r w:rsidRPr="000611DD">
        <w:rPr>
          <w:rFonts w:ascii="Times New Roman" w:hAnsi="Times New Roman" w:cs="Times New Roman"/>
        </w:rPr>
        <w:t>2018) 1–6.</w:t>
      </w:r>
      <w:r w:rsidRPr="000611DD">
        <w:rPr>
          <w:rFonts w:ascii="Times New Roman" w:hAnsi="Times New Roman" w:cs="Times New Roman"/>
        </w:rPr>
        <w:fldChar w:fldCharType="end"/>
      </w:r>
    </w:p>
  </w:footnote>
  <w:footnote w:id="26">
    <w:p w14:paraId="6B868E6D" w14:textId="77777777" w:rsidR="007E6D59" w:rsidRPr="000611DD" w:rsidRDefault="007E6D59" w:rsidP="007E6D59">
      <w:pPr>
        <w:pStyle w:val="FootnoteText"/>
        <w:ind w:firstLine="567"/>
        <w:rPr>
          <w:rFonts w:ascii="Times New Roman" w:hAnsi="Times New Roman" w:cs="Times New Roman"/>
          <w:lang w:val="id-ID"/>
        </w:rPr>
      </w:pPr>
      <w:bookmarkStart w:id="3" w:name="_Hlk181214624"/>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{"citationItems":[{"id":"ITEM-1","itemData":{"author":[{"dropping-particle":"","family":"Salabay","given":"Nita Abia","non-dropping-particle":"","parse-names":false,"suffix":""}],"container-title":"Murai : Jurnal Papua Teologi Kontekstual","id":"ITEM-1","issue":"2","issued":{"date-parts":[["2022"]]},"page":"55-71","title":"Dasar Membangun Persekutuan Kristen Menurut Rasul Paulus","type":"article-journal","volume":"3"},"uris":["http://www.mendeley.com/documents/?uuid=03e44d02-0c52-4f76-9eda-f86ce72db384","http://www.mendeley.com/documents/?uuid=ed3339df-3900-4852-b33e-b77cf1cc984e"]}],"mendeley":{"formattedCitation":"Nita Abia Salabay, “Dasar Membangun Persekutuan Kristen Menurut Rasul Paulus,” &lt;i&gt;Murai : Jurnal Papua Teologi Kontekstual&lt;/i&gt; 3, no. 2 (2022): 55–71.","manualFormatting":"Nita Abia Salabay, “Dasar Membangun Persekutuan Kristen Menurut Rasul Paulus,” (Murai : Jurnal Papua Teologi Kontekstual 3, no. 2, 2022) 55–71.","plainTextFormattedCitation":"Nita Abia Salabay, “Dasar Membangun Persekutuan Kristen Menurut Rasul Paulus,” Murai : Jurnal Papua Teologi Kontekstual 3, no. 2 (2022): 55–71.","previouslyFormattedCitation":"Nita Abia Salabay, “Dasar Membangun Persekutuan Kristen Menurut Rasul Paulus,” &lt;i&gt;Murai : Jurnal Papua Teologi Kontekstual&lt;/i&gt; 3, no. 2 (2022): 55–71."},"properties":{"noteIndex":28},"schema":"https://github.com/citation-style-language/schema/raw/master/csl-citation.json"}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Nita Abia Salabay, </w:t>
      </w:r>
      <w:r w:rsidRPr="000611DD">
        <w:rPr>
          <w:rFonts w:ascii="Times New Roman" w:hAnsi="Times New Roman" w:cs="Times New Roman"/>
          <w:i/>
          <w:iCs/>
        </w:rPr>
        <w:t>“Dasar Membangun Persekutuan Kristen Menurut Rasul Paulus,”</w:t>
      </w:r>
      <w:r w:rsidRPr="000611DD">
        <w:rPr>
          <w:rFonts w:ascii="Times New Roman" w:hAnsi="Times New Roman" w:cs="Times New Roman"/>
        </w:rPr>
        <w:t xml:space="preserve"> </w:t>
      </w:r>
      <w:r w:rsidRPr="000611DD">
        <w:rPr>
          <w:rFonts w:ascii="Times New Roman" w:hAnsi="Times New Roman" w:cs="Times New Roman"/>
          <w:lang w:val="id-ID"/>
        </w:rPr>
        <w:t>(</w:t>
      </w:r>
      <w:r w:rsidRPr="000611DD">
        <w:rPr>
          <w:rFonts w:ascii="Times New Roman" w:hAnsi="Times New Roman" w:cs="Times New Roman"/>
        </w:rPr>
        <w:t>Murai : Jurnal Papua Teologi Kontekstual 3, no. 2</w:t>
      </w:r>
      <w:r w:rsidRPr="000611DD">
        <w:rPr>
          <w:rFonts w:ascii="Times New Roman" w:hAnsi="Times New Roman" w:cs="Times New Roman"/>
          <w:lang w:val="id-ID"/>
        </w:rPr>
        <w:t xml:space="preserve">, </w:t>
      </w:r>
      <w:r w:rsidRPr="000611DD">
        <w:rPr>
          <w:rFonts w:ascii="Times New Roman" w:hAnsi="Times New Roman" w:cs="Times New Roman"/>
        </w:rPr>
        <w:t>2022)</w:t>
      </w:r>
      <w:r w:rsidRPr="000611DD">
        <w:rPr>
          <w:rFonts w:ascii="Times New Roman" w:hAnsi="Times New Roman" w:cs="Times New Roman"/>
          <w:lang w:val="id-ID"/>
        </w:rPr>
        <w:t xml:space="preserve"> </w:t>
      </w:r>
      <w:r w:rsidRPr="000611DD">
        <w:rPr>
          <w:rFonts w:ascii="Times New Roman" w:hAnsi="Times New Roman" w:cs="Times New Roman"/>
        </w:rPr>
        <w:t>55–71.</w:t>
      </w:r>
      <w:r w:rsidRPr="000611DD">
        <w:rPr>
          <w:rFonts w:ascii="Times New Roman" w:hAnsi="Times New Roman" w:cs="Times New Roman"/>
        </w:rPr>
        <w:fldChar w:fldCharType="end"/>
      </w:r>
      <w:bookmarkEnd w:id="3"/>
    </w:p>
  </w:footnote>
  <w:footnote w:id="27">
    <w:p w14:paraId="2412DACB"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lang w:val="id-ID"/>
        </w:rPr>
        <w:t xml:space="preserve">Hasahatan Hutahaean,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Politik","given":"Teologi","non-dropping-particle":"","parse-names":false,"suffix":""},{"dropping-particle":"","family":"Menemukan","given":"Gereja","non-dropping-particle":"","parse-names":false,"suffix":""},{"dropping-particle":"","family":"Gereja","given":"Tritugas","non-dropping-particle":"","parse-names":false,"suffix":""}],"id":"ITEM-1","issue":"1","issued":{"date-parts":[["2021"]]},"page":"1-17","title":"MELO : Jurnal Studi Agama-Agama","type":"article-journal","volume":"1"},"uris":["http://www.mendeley.com/documents/?uuid=c2b2a60e-48f9-4bc0-a9f8-8ddcc9ede235","http://www.mendeley.com/documents/?uuid=ce8ba6f9-58aa-431d-bfee-9a7c6ba8eecd"]}],"mendeley":{"formattedCitation":"Teologi Politik, Gereja Menemukan, and Tritugas Gereja, “MELO : Jurnal Studi Agama-Agama” 1, no. 1 (2021): 1–17.","manualFormatting":"Teologi Politik Gereja: Menemukan dan Memancarkan Tritugas Gereja dalam Pilkada dan Pilpres, (Sekolah Tinggi Teologi Sumatera Utara, Jurnal Studi Agama-Agama V. 1, no. 1, 2021) 1–17.","plainTextFormattedCitation":"Teologi Politik, Gereja Menemukan, and Tritugas Gereja, “MELO : Jurnal Studi Agama-Agama” 1, no. 1 (2021): 1–17.","previouslyFormattedCitation":"Teologi Politik, Gereja Menemukan, and Tritugas Gereja, “MELO : Jurnal Studi Agama-Agama” 1, no. 1 (2021): 1–17."},"properties":{"noteIndex":29},"schema":"https://github.com/citation-style-language/schema/raw/master/csl-citation.json"}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i/>
          <w:iCs/>
        </w:rPr>
        <w:t>Teologi Politik</w:t>
      </w:r>
      <w:r w:rsidRPr="000611DD">
        <w:rPr>
          <w:rFonts w:ascii="Times New Roman" w:hAnsi="Times New Roman" w:cs="Times New Roman"/>
          <w:i/>
          <w:iCs/>
          <w:lang w:val="id-ID"/>
        </w:rPr>
        <w:t xml:space="preserve"> </w:t>
      </w:r>
      <w:r w:rsidRPr="000611DD">
        <w:rPr>
          <w:rFonts w:ascii="Times New Roman" w:hAnsi="Times New Roman" w:cs="Times New Roman"/>
          <w:i/>
          <w:iCs/>
        </w:rPr>
        <w:t>Gereja</w:t>
      </w:r>
      <w:r w:rsidRPr="000611DD">
        <w:rPr>
          <w:rFonts w:ascii="Times New Roman" w:hAnsi="Times New Roman" w:cs="Times New Roman"/>
          <w:i/>
          <w:iCs/>
          <w:lang w:val="id-ID"/>
        </w:rPr>
        <w:t xml:space="preserve">: </w:t>
      </w:r>
      <w:r w:rsidRPr="000611DD">
        <w:rPr>
          <w:rFonts w:ascii="Times New Roman" w:hAnsi="Times New Roman" w:cs="Times New Roman"/>
          <w:i/>
          <w:iCs/>
        </w:rPr>
        <w:t>Menemukan</w:t>
      </w:r>
      <w:r w:rsidRPr="000611DD">
        <w:rPr>
          <w:rFonts w:ascii="Times New Roman" w:hAnsi="Times New Roman" w:cs="Times New Roman"/>
          <w:i/>
          <w:iCs/>
          <w:lang w:val="id-ID"/>
        </w:rPr>
        <w:t xml:space="preserve"> dan Memancarkan </w:t>
      </w:r>
      <w:r w:rsidRPr="000611DD">
        <w:rPr>
          <w:rFonts w:ascii="Times New Roman" w:hAnsi="Times New Roman" w:cs="Times New Roman"/>
          <w:i/>
          <w:iCs/>
        </w:rPr>
        <w:t>Tritugas Gereja</w:t>
      </w:r>
      <w:r w:rsidRPr="000611DD">
        <w:rPr>
          <w:rFonts w:ascii="Times New Roman" w:hAnsi="Times New Roman" w:cs="Times New Roman"/>
          <w:i/>
          <w:iCs/>
          <w:lang w:val="id-ID"/>
        </w:rPr>
        <w:t xml:space="preserve"> dalam Pilkada dan Pilpres,</w:t>
      </w:r>
      <w:r w:rsidRPr="000611DD">
        <w:rPr>
          <w:rFonts w:ascii="Times New Roman" w:hAnsi="Times New Roman" w:cs="Times New Roman"/>
          <w:lang w:val="id-ID"/>
        </w:rPr>
        <w:t xml:space="preserve"> (Sekolah Tinggi Teologi Sumatera Utara, </w:t>
      </w:r>
      <w:r w:rsidRPr="000611DD">
        <w:rPr>
          <w:rFonts w:ascii="Times New Roman" w:hAnsi="Times New Roman" w:cs="Times New Roman"/>
        </w:rPr>
        <w:t>Jurnal Studi Agama-Agama</w:t>
      </w:r>
      <w:r w:rsidRPr="000611DD">
        <w:rPr>
          <w:rFonts w:ascii="Times New Roman" w:hAnsi="Times New Roman" w:cs="Times New Roman"/>
          <w:lang w:val="id-ID"/>
        </w:rPr>
        <w:t xml:space="preserve"> V. </w:t>
      </w:r>
      <w:r w:rsidRPr="000611DD">
        <w:rPr>
          <w:rFonts w:ascii="Times New Roman" w:hAnsi="Times New Roman" w:cs="Times New Roman"/>
        </w:rPr>
        <w:t>1, no. 1</w:t>
      </w:r>
      <w:r w:rsidRPr="000611DD">
        <w:rPr>
          <w:rFonts w:ascii="Times New Roman" w:hAnsi="Times New Roman" w:cs="Times New Roman"/>
          <w:lang w:val="id-ID"/>
        </w:rPr>
        <w:t>, 2</w:t>
      </w:r>
      <w:r w:rsidRPr="000611DD">
        <w:rPr>
          <w:rFonts w:ascii="Times New Roman" w:hAnsi="Times New Roman" w:cs="Times New Roman"/>
        </w:rPr>
        <w:t>021)</w:t>
      </w:r>
      <w:r w:rsidRPr="000611DD">
        <w:rPr>
          <w:rFonts w:ascii="Times New Roman" w:hAnsi="Times New Roman" w:cs="Times New Roman"/>
          <w:lang w:val="id-ID"/>
        </w:rPr>
        <w:t xml:space="preserve"> </w:t>
      </w:r>
      <w:r w:rsidRPr="000611DD">
        <w:rPr>
          <w:rFonts w:ascii="Times New Roman" w:hAnsi="Times New Roman" w:cs="Times New Roman"/>
        </w:rPr>
        <w:t>1–17.</w:t>
      </w:r>
      <w:r w:rsidRPr="000611DD">
        <w:rPr>
          <w:rFonts w:ascii="Times New Roman" w:hAnsi="Times New Roman" w:cs="Times New Roman"/>
        </w:rPr>
        <w:fldChar w:fldCharType="end"/>
      </w:r>
    </w:p>
  </w:footnote>
  <w:footnote w:id="28">
    <w:p w14:paraId="02606681"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{"citationItems":[{"id":"ITEM-1","itemData":{"author":[{"dropping-particle":"","family":"Paembonan","given":"Yafet M","non-dropping-particle":"","parse-names":false,"suffix":""}],"container-title":"Jurnal teologi berita hidup","id":"ITEM-1","issue":"1","issued":{"date-parts":[["2019"]]},"page":"H. 48-59","title":"Memahami Tantangan Teologi Pluralisme dan Teologi Pembebasan | Paembonan | Jurnal Teologi Berita Hidup","type":"article-journal","volume":"2"},"uris":["http://www.mendeley.com/documents/?uuid=45a3feef-19c5-4755-b8d5-58b1ee8754bf","http://www.mendeley.com/documents/?uuid=43f5bea7-2710-4d21-a5df-ff6dc559c8fd"]}],"mendeley":{"formattedCitation":"Yafet M Paembonan, “Memahami Tantangan Teologi Pluralisme Dan Teologi Pembebasan | Paembonan | Jurnal Teologi Berita Hidup,” &lt;i&gt;Jurnal teologi berita hidup&lt;/i&gt; 2, no. 1 (2019): H. 48-59.","manualFormatting":"Yafet M Paembonan, “Memahami Tantangan Teologi Pluralisme dan Teologi Pembebasan\" ( Sekolah Tinggi Teologi Berita Hidup,V. 2, no. 1, 2019) 48-59.","plainTextFormattedCitation":"Yafet M Paembonan, “Memahami Tantangan Teologi Pluralisme Dan Teologi Pembebasan | Paembonan | Jurnal Teologi Berita Hidup,” Jurnal teologi berita hidup 2, no. 1 (2019): H. 48-59.","previouslyFormattedCitation":"Yafet M Paembonan, “Memahami Tantangan Teologi Pluralisme Dan Teologi Pembebasan | Paembonan | Jurnal Teologi Berita Hidup,” &lt;i&gt;Jurnal teologi berita hidup&lt;/i&gt; 2, no. 1 (2019): H. 48-59."},"properties":{"noteIndex":30},"schema":"https://github.com/citation-style-language/schema/raw/master/csl-citation.json"}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Yafet M Paembonan,</w:t>
      </w:r>
      <w:r w:rsidRPr="000611DD">
        <w:rPr>
          <w:rFonts w:ascii="Times New Roman" w:hAnsi="Times New Roman" w:cs="Times New Roman"/>
          <w:i/>
          <w:iCs/>
        </w:rPr>
        <w:t xml:space="preserve"> “Memahami Tantangan Teologi Pluralisme </w:t>
      </w:r>
      <w:r w:rsidRPr="000611DD">
        <w:rPr>
          <w:rFonts w:ascii="Times New Roman" w:hAnsi="Times New Roman" w:cs="Times New Roman"/>
          <w:i/>
          <w:iCs/>
          <w:lang w:val="id-ID"/>
        </w:rPr>
        <w:t>d</w:t>
      </w:r>
      <w:r w:rsidRPr="000611DD">
        <w:rPr>
          <w:rFonts w:ascii="Times New Roman" w:hAnsi="Times New Roman" w:cs="Times New Roman"/>
          <w:i/>
          <w:iCs/>
        </w:rPr>
        <w:t>an Teologi Pembebasan</w:t>
      </w:r>
      <w:r w:rsidRPr="000611DD">
        <w:rPr>
          <w:rFonts w:ascii="Times New Roman" w:hAnsi="Times New Roman" w:cs="Times New Roman"/>
          <w:i/>
          <w:iCs/>
          <w:lang w:val="id-ID"/>
        </w:rPr>
        <w:t>"</w:t>
      </w:r>
      <w:r w:rsidRPr="000611DD">
        <w:rPr>
          <w:rFonts w:ascii="Times New Roman" w:hAnsi="Times New Roman" w:cs="Times New Roman"/>
          <w:lang w:val="id-ID"/>
        </w:rPr>
        <w:t xml:space="preserve"> ( Sekolah Tinggi Teo</w:t>
      </w:r>
      <w:r w:rsidRPr="000611DD">
        <w:rPr>
          <w:rFonts w:ascii="Times New Roman" w:hAnsi="Times New Roman" w:cs="Times New Roman"/>
        </w:rPr>
        <w:t>logi Berita Hidup,</w:t>
      </w:r>
      <w:r w:rsidRPr="000611DD">
        <w:rPr>
          <w:rFonts w:ascii="Times New Roman" w:hAnsi="Times New Roman" w:cs="Times New Roman"/>
          <w:lang w:val="id-ID"/>
        </w:rPr>
        <w:t>V.</w:t>
      </w:r>
      <w:r w:rsidRPr="000611DD">
        <w:rPr>
          <w:rFonts w:ascii="Times New Roman" w:hAnsi="Times New Roman" w:cs="Times New Roman"/>
        </w:rPr>
        <w:t xml:space="preserve"> 2, no. 1</w:t>
      </w:r>
      <w:r w:rsidRPr="000611DD">
        <w:rPr>
          <w:rFonts w:ascii="Times New Roman" w:hAnsi="Times New Roman" w:cs="Times New Roman"/>
          <w:lang w:val="id-ID"/>
        </w:rPr>
        <w:t xml:space="preserve">, </w:t>
      </w:r>
      <w:r w:rsidRPr="000611DD">
        <w:rPr>
          <w:rFonts w:ascii="Times New Roman" w:hAnsi="Times New Roman" w:cs="Times New Roman"/>
        </w:rPr>
        <w:t>2019)</w:t>
      </w:r>
      <w:r w:rsidRPr="000611DD">
        <w:rPr>
          <w:rFonts w:ascii="Times New Roman" w:hAnsi="Times New Roman" w:cs="Times New Roman"/>
          <w:lang w:val="id-ID"/>
        </w:rPr>
        <w:t xml:space="preserve"> </w:t>
      </w:r>
      <w:r w:rsidRPr="000611DD">
        <w:rPr>
          <w:rFonts w:ascii="Times New Roman" w:hAnsi="Times New Roman" w:cs="Times New Roman"/>
        </w:rPr>
        <w:t>48-59.</w:t>
      </w:r>
      <w:r w:rsidRPr="000611DD">
        <w:rPr>
          <w:rFonts w:ascii="Times New Roman" w:hAnsi="Times New Roman" w:cs="Times New Roman"/>
        </w:rPr>
        <w:fldChar w:fldCharType="end"/>
      </w:r>
    </w:p>
  </w:footnote>
  <w:footnote w:id="29">
    <w:p w14:paraId="474924A6"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uthor":[{"dropping-particle":"","family":"Pelamonia","given":"Risart","non-dropping-particle":"","parse-names":false,"suffix":""}],"id":"ITEM-1","issued":{"date-parts":[["2020"]]},"page":"1-13","title":"Sinkretisme","type":"article-journal"},"uris":["http://www.mendeley.com/documents/?uuid=ef772600-5a9f-47ba-8983-b43d86c8b0e3","http://www.mendeley.com/documents/?uuid=e651617f-465c-4354-a8a5-9c2d982cec72"]}],"mendeley":{"formattedCitation":"Risart Pelamonia, “Sinkretisme” (2020): 1–13.","manualFormatting":"Risart Pelamonia, “Sinkretisme” (2020) 1–13.","plainTextFormattedCitation":"Risart Pelamonia, “Sinkretisme” (2020): 1–13.","previouslyFormattedCitation":"Risart Pelamonia, “Sinkretisme” (2020): 1–13."},"properties":{"noteIndex":31},"schema":"https://github.com/citation-style-language/schema/raw/master/csl-citation.json"}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Risart Pelamonia, </w:t>
      </w:r>
      <w:r w:rsidRPr="000611DD">
        <w:rPr>
          <w:rFonts w:ascii="Times New Roman" w:hAnsi="Times New Roman" w:cs="Times New Roman"/>
          <w:i/>
          <w:iCs/>
        </w:rPr>
        <w:t>“Sinkretisme”</w:t>
      </w:r>
      <w:r w:rsidRPr="000611DD">
        <w:rPr>
          <w:rFonts w:ascii="Times New Roman" w:hAnsi="Times New Roman" w:cs="Times New Roman"/>
        </w:rPr>
        <w:t xml:space="preserve"> (2020) 1–13.</w:t>
      </w:r>
      <w:r w:rsidRPr="000611DD">
        <w:rPr>
          <w:rFonts w:ascii="Times New Roman" w:hAnsi="Times New Roman" w:cs="Times New Roman"/>
        </w:rPr>
        <w:fldChar w:fldCharType="end"/>
      </w:r>
    </w:p>
  </w:footnote>
  <w:footnote w:id="30">
    <w:p w14:paraId="5C0FE094"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lang w:val="id-ID"/>
        </w:rPr>
        <w:t xml:space="preserve">A. Sulle Padang, </w:t>
      </w:r>
      <w:r w:rsidRPr="000611DD">
        <w:rPr>
          <w:rFonts w:ascii="Times New Roman" w:hAnsi="Times New Roman" w:cs="Times New Roman"/>
          <w:i/>
          <w:iCs/>
          <w:lang w:val="id-ID"/>
        </w:rPr>
        <w:t xml:space="preserve">Dari Biblika Ke Anime </w:t>
      </w:r>
      <w:r w:rsidRPr="000611DD">
        <w:rPr>
          <w:rFonts w:ascii="Times New Roman" w:hAnsi="Times New Roman" w:cs="Times New Roman"/>
          <w:i/>
          <w:iCs/>
        </w:rPr>
        <w:fldChar w:fldCharType="begin" w:fldLock="1"/>
      </w:r>
      <w:r w:rsidRPr="000611DD">
        <w:rPr>
          <w:rFonts w:ascii="Times New Roman" w:hAnsi="Times New Roman" w:cs="Times New Roman"/>
          <w:i/>
          <w:iCs/>
        </w:rPr>
        <w:instrText>ADDIN CSL_CITATION {"citationItems":[{"id":"ITEM-1","itemData":{"author":[{"dropping-particle":"","family":"Teologi","given":"Diskursus Seputar","non-dropping-particle":"","parse-names":false,"suffix":""},{"dropping-particle":"","family":"Sosial","given":"Isu","non-dropping-particle":"","parse-names":false,"suffix":""}],"id":"ITEM-1","issued":{"date-parts":[["0"]]},"title":"Dari Biblika Ke Anime","type":"article-journal"},"uris":["http://www.mendeley.com/documents/?uuid=cfd88aed-5a05-4a00-a061-21426a3aa226","http://www.mendeley.com/documents/?uuid=ae6536a9-e25a-4c03-88ad-358fe938857c"]}],"mendeley":{"formattedCitation":"Diskursus Seputar Teologi and Isu Sosial, “Dari Biblika Ke Anime” (n.d.).","manualFormatting":"Diskursus Seputar Teologi, Kepemimpinan, Pendidikan, dan Isu Sosial, (LP2M IAKN TORAJA, 2021) 152. ","plainTextFormattedCitation":"Diskursus Seputar Teologi and Isu Sosial, “Dari Biblika Ke Anime” (n.d.).","previouslyFormattedCitation":"Diskursus Seputar Teologi and Isu Sosial, “Dari Biblika Ke Anime” (n.d.)."},"properties":{"noteIndex":32},"schema":"https://github.com/citation-style-language/schema/raw/master/csl-citation.json"}</w:instrText>
      </w:r>
      <w:r w:rsidRPr="000611DD">
        <w:rPr>
          <w:rFonts w:ascii="Times New Roman" w:hAnsi="Times New Roman" w:cs="Times New Roman"/>
          <w:i/>
          <w:iCs/>
        </w:rPr>
        <w:fldChar w:fldCharType="separate"/>
      </w:r>
      <w:r w:rsidRPr="000611DD">
        <w:rPr>
          <w:rFonts w:ascii="Times New Roman" w:hAnsi="Times New Roman" w:cs="Times New Roman"/>
          <w:i/>
          <w:iCs/>
        </w:rPr>
        <w:t>Diskursus Seputar Teologi</w:t>
      </w:r>
      <w:r w:rsidRPr="000611DD">
        <w:rPr>
          <w:rFonts w:ascii="Times New Roman" w:hAnsi="Times New Roman" w:cs="Times New Roman"/>
          <w:i/>
          <w:iCs/>
          <w:lang w:val="id-ID"/>
        </w:rPr>
        <w:t>, Kepemimpinan, Pendidikan, dan I</w:t>
      </w:r>
      <w:r w:rsidRPr="000611DD">
        <w:rPr>
          <w:rFonts w:ascii="Times New Roman" w:hAnsi="Times New Roman" w:cs="Times New Roman"/>
          <w:i/>
          <w:iCs/>
        </w:rPr>
        <w:t>su Sosial</w:t>
      </w:r>
      <w:r w:rsidRPr="000611DD">
        <w:rPr>
          <w:rFonts w:ascii="Times New Roman" w:hAnsi="Times New Roman" w:cs="Times New Roman"/>
          <w:i/>
          <w:iCs/>
          <w:lang w:val="id-ID"/>
        </w:rPr>
        <w:t>,</w:t>
      </w:r>
      <w:r w:rsidRPr="000611DD">
        <w:rPr>
          <w:rFonts w:ascii="Times New Roman" w:hAnsi="Times New Roman" w:cs="Times New Roman"/>
          <w:lang w:val="id-ID"/>
        </w:rPr>
        <w:t xml:space="preserve"> (LP2M IAKN TORAJA, 2021) 152</w:t>
      </w:r>
      <w:r w:rsidRPr="000611DD">
        <w:rPr>
          <w:rFonts w:ascii="Times New Roman" w:hAnsi="Times New Roman" w:cs="Times New Roman"/>
          <w:i/>
          <w:iCs/>
          <w:lang w:val="id-ID"/>
        </w:rPr>
        <w:t>.</w:t>
      </w:r>
      <w:r w:rsidRPr="000611DD">
        <w:rPr>
          <w:rFonts w:ascii="Times New Roman" w:hAnsi="Times New Roman" w:cs="Times New Roman"/>
          <w:lang w:val="id-ID"/>
        </w:rPr>
        <w:t xml:space="preserve"> </w:t>
      </w:r>
      <w:r w:rsidRPr="000611DD">
        <w:rPr>
          <w:rFonts w:ascii="Times New Roman" w:hAnsi="Times New Roman" w:cs="Times New Roman"/>
        </w:rPr>
        <w:fldChar w:fldCharType="end"/>
      </w:r>
    </w:p>
  </w:footnote>
  <w:footnote w:id="31">
    <w:p w14:paraId="68276A4D"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{"citationItems":[{"id":"ITEM-1","itemData":{"DOI":"10.30995/kur.v4i2.81","ISSN":"2615-739X","abstract":"This article has some purposes; they are: first, a description of the about theoretical study of a theological practice approach; secondly, explained an implication theological practice approach to the Christian religion education foundation; and thirdly, described a religion studies foundation of Christians in theological practice approach. The method used in this article is an analysis-descriptive of literature available related to the problem that discussed. This research concluded that a practical approach theological in education foundation the Christian religion came into existence from the application of the truth in the life of that can be used with confidence as cornerstones biblical, and search for clues definitive from general principles offered by theology.AbstrakTulisan ini memiliki beberapa tujuan, yaitu: pertama, mendeskripsikan kajian teoretis pendekatan praksis teologis; kedua, menjelaskan implikasi praksis-teologis fondasi pendidikan Agama Kristen. Metode yang digunakan adalah analisis deskriptif terhadap kajian pustaka yang berkaitan dengan tema fondasi Pendidikan Agama Kristen. Penelitian ini memiliki kesimpulan bahwa pendekatan praktis teologis dalam fondasi pendidikan agama Kristen terwujud dari penerapan kebenaran ke dalam kehidupan yang bisa digunakan dengan percaya diri sebagai fondasi Alkitabiah, dan mencari petunjuk definitif dari prinsip-prinsip umum yang ditawarkan oleh teologi.","author":[{"dropping-particle":"","family":"Panggabean","given":"Justice Zeni Zari","non-dropping-particle":"","parse-names":false,"suffix":""}],"container-title":"Kurios","id":"ITEM-1","issue":"2","issued":{"date-parts":[["2018"]]},"page":"167","title":"Pendekatan Praksis-Teologis dalam Fondasi Pendidikan Kristiani","type":"article-journal","volume":"4"},"uris":["http://www.mendeley.com/documents/?uuid=c066d04f-b9ab-416b-9641-7aa64bff540d","http://www.mendeley.com/documents/?uuid=cdd49566-1a88-4e05-950c-e325bc2e9b90"]}],"mendeley":{"formattedCitation":"Justice Zeni Zari Panggabean, “Pendekatan Praksis-Teologis Dalam Fondasi Pendidikan Kristiani,” &lt;i&gt;Kurios&lt;/i&gt; 4, no. 2 (2018): 167.","manualFormatting":"Justice Zeni Zari Panggabean, “Pendekatan Praksis-Teologis dalam Fondasi Pendidikan Kristiani,” (Kurios V. 4, no. 2, 2018) 167.","plainTextFormattedCitation":"Justice Zeni Zari Panggabean, “Pendekatan Praksis-Teologis Dalam Fondasi Pendidikan Kristiani,” Kurios 4, no. 2 (2018): 167.","previouslyFormattedCitation":"Justice Zeni Zari Panggabean, “Pendekatan Praksis-Teologis Dalam Fondasi Pendidikan Kristiani,” &lt;i&gt;Kurios&lt;/i&gt; 4, no. 2 (2018): 167."},"properties":{"noteIndex":33},"schema":"https://github.com/citation-style-language/schema/raw/master/csl-citation.json"}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Justice Zeni Zari Panggabean,</w:t>
      </w:r>
      <w:r w:rsidRPr="000611DD">
        <w:rPr>
          <w:rFonts w:ascii="Times New Roman" w:hAnsi="Times New Roman" w:cs="Times New Roman"/>
          <w:i/>
          <w:iCs/>
        </w:rPr>
        <w:t xml:space="preserve"> “Pendekatan Praksis-Teologis </w:t>
      </w:r>
      <w:r w:rsidRPr="000611DD">
        <w:rPr>
          <w:rFonts w:ascii="Times New Roman" w:hAnsi="Times New Roman" w:cs="Times New Roman"/>
          <w:i/>
          <w:iCs/>
          <w:lang w:val="id-ID"/>
        </w:rPr>
        <w:t>d</w:t>
      </w:r>
      <w:r w:rsidRPr="000611DD">
        <w:rPr>
          <w:rFonts w:ascii="Times New Roman" w:hAnsi="Times New Roman" w:cs="Times New Roman"/>
          <w:i/>
          <w:iCs/>
        </w:rPr>
        <w:t>alam Fondasi Pendidikan Kristiani,”</w:t>
      </w:r>
      <w:r w:rsidRPr="000611DD">
        <w:rPr>
          <w:rFonts w:ascii="Times New Roman" w:hAnsi="Times New Roman" w:cs="Times New Roman"/>
          <w:lang w:val="id-ID"/>
        </w:rPr>
        <w:t xml:space="preserve"> (</w:t>
      </w:r>
      <w:r w:rsidRPr="000611DD">
        <w:rPr>
          <w:rFonts w:ascii="Times New Roman" w:hAnsi="Times New Roman" w:cs="Times New Roman"/>
        </w:rPr>
        <w:t>Kurios</w:t>
      </w:r>
      <w:r w:rsidRPr="000611DD">
        <w:rPr>
          <w:rFonts w:ascii="Times New Roman" w:hAnsi="Times New Roman" w:cs="Times New Roman"/>
          <w:lang w:val="id-ID"/>
        </w:rPr>
        <w:t xml:space="preserve"> V.</w:t>
      </w:r>
      <w:r w:rsidRPr="000611DD">
        <w:rPr>
          <w:rFonts w:ascii="Times New Roman" w:hAnsi="Times New Roman" w:cs="Times New Roman"/>
        </w:rPr>
        <w:t xml:space="preserve"> 4, no. 2</w:t>
      </w:r>
      <w:r w:rsidRPr="000611DD">
        <w:rPr>
          <w:rFonts w:ascii="Times New Roman" w:hAnsi="Times New Roman" w:cs="Times New Roman"/>
          <w:lang w:val="id-ID"/>
        </w:rPr>
        <w:t xml:space="preserve">, </w:t>
      </w:r>
      <w:r w:rsidRPr="000611DD">
        <w:rPr>
          <w:rFonts w:ascii="Times New Roman" w:hAnsi="Times New Roman" w:cs="Times New Roman"/>
        </w:rPr>
        <w:t>2018)</w:t>
      </w:r>
      <w:r w:rsidRPr="000611DD">
        <w:rPr>
          <w:rFonts w:ascii="Times New Roman" w:hAnsi="Times New Roman" w:cs="Times New Roman"/>
          <w:lang w:val="id-ID"/>
        </w:rPr>
        <w:t xml:space="preserve"> </w:t>
      </w:r>
      <w:r w:rsidRPr="000611DD">
        <w:rPr>
          <w:rFonts w:ascii="Times New Roman" w:hAnsi="Times New Roman" w:cs="Times New Roman"/>
        </w:rPr>
        <w:t>167.</w:t>
      </w:r>
      <w:r w:rsidRPr="000611DD">
        <w:rPr>
          <w:rFonts w:ascii="Times New Roman" w:hAnsi="Times New Roman" w:cs="Times New Roman"/>
        </w:rPr>
        <w:fldChar w:fldCharType="end"/>
      </w:r>
    </w:p>
  </w:footnote>
  <w:footnote w:id="32">
    <w:p w14:paraId="4B25F253"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{"citationItems":[{"id":"ITEM-1","itemData":{"DOI":"10.25278/jj71.v16i1.278","ISSN":"1829-9474","abstract":"Indonesia sedang menjalani suatu gerakan nasional “pembangunan karakter” untuk mengatasi berbagai masalah yang menghambat kesejahteraan masyarakatnya. Semua komponen bangsa dan masyarakat diharapkan memberi kontribusinya. Pendidikan Agama Kristen (PAK) sebagai salah satu tugas gereja yang strategis dapat memberi kontribusinya yang penting bilamana dalam semua program PAK bagi semua kategori usia dan berbagai konteks (keluarga, gereja dan sekolah) dapat mengutamakan dimensi karakter. Penulis membangun argumentasi betapa dekatnya pendidikan karakter dengan PAK, bahkan merupakan bagian integral sebagaimana karakter Kristiani adalah bagian integral dari iman Kristiani. Untuk itu penulis memperjelas konsep-konsep terkait seperti prinsip, nilai, kebajikan, makna hidup, serta karakter dalam upaya membangun argumentasi di atas. Secara spesifik juga konten dari karakter Kristiani dicarikan contoh-contoh Alkitabiahnya. Indonesia is undergoing a national movement of character building to overcome various problems which hinder the welfare of its society. Every component of the nation and society is expected to give its contribution. Christian Education as one of the strategic tasks or missions of the churches is able to give its significant contribution when its educational programs endeavor to pay more attention to character dimension in its curriculum design for every age category and in all educational contexts. I also argue that character education is closely related to Christian Education even an integral part of it, as Christian character is an integral part of Christian faith. For that purpose I try to clarify some essential concepts such as principles, values, virtues, meaning of life, and Christian character as found in the Bible in order to build on the above argument. Finally, the specific content from the Christian characteristics are found in Biblical examples.","author":[{"dropping-particle":"","family":"Nuhamara","given":"Daniel","non-dropping-particle":"","parse-names":false,"suffix":""}],"container-title":"Jurnal Jaffray","id":"ITEM-1","issue":"1","issued":{"date-parts":[["2018"]]},"page":"93","title":"Pengutamaan Dimensi Karakter Dalam Pendidikan Agama Kristen","type":"article-journal","volume":"16"},"uris":["http://www.mendeley.com/documents/?uuid=1aa65d8a-a208-4318-8cff-3a9669171fbb","http://www.mendeley.com/documents/?uuid=ec391c79-1241-4016-a3f8-383ed5c5eda3"]}],"mendeley":{"formattedCitation":"Daniel Nuhamara, “Pengutamaan Dimensi Karakter Dalam Pendidikan Agama Kristen,” &lt;i&gt;Jurnal Jaffray&lt;/i&gt; 16, no. 1 (2018): 93.","manualFormatting":"Daniel Nuhamara, “Pengutamaan Dimensi Karakter Dalam Pendidikan Agama Kristen,”(Jurnal Jaffray V. 16, no. 1, 2018) 93.","plainTextFormattedCitation":"Daniel Nuhamara, “Pengutamaan Dimensi Karakter Dalam Pendidikan Agama Kristen,” Jurnal Jaffray 16, no. 1 (2018): 93.","previouslyFormattedCitation":"Daniel Nuhamara, “Pengutamaan Dimensi Karakter Dalam Pendidikan Agama Kristen,” &lt;i&gt;Jurnal Jaffray&lt;/i&gt; 16, no. 1 (2018): 93."},"properties":{"noteIndex":34},"schema":"https://github.com/citation-style-language/schema/raw/master/csl-citation.json"}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Daniel Nuhamara, </w:t>
      </w:r>
      <w:r w:rsidRPr="000611DD">
        <w:rPr>
          <w:rFonts w:ascii="Times New Roman" w:hAnsi="Times New Roman" w:cs="Times New Roman"/>
          <w:i/>
          <w:iCs/>
        </w:rPr>
        <w:t>“Pengutamaan Dimensi Karakter Dalam Pendidikan Agama Kristen</w:t>
      </w:r>
      <w:r w:rsidRPr="000611DD">
        <w:rPr>
          <w:rFonts w:ascii="Times New Roman" w:hAnsi="Times New Roman" w:cs="Times New Roman"/>
        </w:rPr>
        <w:t>,”</w:t>
      </w:r>
      <w:r w:rsidRPr="000611DD">
        <w:rPr>
          <w:rFonts w:ascii="Times New Roman" w:hAnsi="Times New Roman" w:cs="Times New Roman"/>
          <w:lang w:val="id-ID"/>
        </w:rPr>
        <w:t>(</w:t>
      </w:r>
      <w:r w:rsidRPr="000611DD">
        <w:rPr>
          <w:rFonts w:ascii="Times New Roman" w:hAnsi="Times New Roman" w:cs="Times New Roman"/>
        </w:rPr>
        <w:t xml:space="preserve">Jurnal Jaffray </w:t>
      </w:r>
      <w:r w:rsidRPr="000611DD">
        <w:rPr>
          <w:rFonts w:ascii="Times New Roman" w:hAnsi="Times New Roman" w:cs="Times New Roman"/>
          <w:lang w:val="id-ID"/>
        </w:rPr>
        <w:t xml:space="preserve">V. </w:t>
      </w:r>
      <w:r w:rsidRPr="000611DD">
        <w:rPr>
          <w:rFonts w:ascii="Times New Roman" w:hAnsi="Times New Roman" w:cs="Times New Roman"/>
        </w:rPr>
        <w:t>16, no. 1</w:t>
      </w:r>
      <w:r w:rsidRPr="000611DD">
        <w:rPr>
          <w:rFonts w:ascii="Times New Roman" w:hAnsi="Times New Roman" w:cs="Times New Roman"/>
          <w:lang w:val="id-ID"/>
        </w:rPr>
        <w:t xml:space="preserve">, </w:t>
      </w:r>
      <w:r w:rsidRPr="000611DD">
        <w:rPr>
          <w:rFonts w:ascii="Times New Roman" w:hAnsi="Times New Roman" w:cs="Times New Roman"/>
        </w:rPr>
        <w:t>2018) 93.</w:t>
      </w:r>
      <w:r w:rsidRPr="000611DD">
        <w:rPr>
          <w:rFonts w:ascii="Times New Roman" w:hAnsi="Times New Roman" w:cs="Times New Roman"/>
        </w:rPr>
        <w:fldChar w:fldCharType="end"/>
      </w:r>
    </w:p>
  </w:footnote>
  <w:footnote w:id="33">
    <w:p w14:paraId="09CE38A4"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{"citationItems":[{"id":"ITEM-1","itemData":{"DOI":"10.25278/jj71.v14i2.212","ISSN":"1829-9474","abstract":"Trasformasi dunia dengan kuasa Kristus yang bangkit. Tahun 2011-2016 dengan Advokasi trasformasi membangun masyarakat damai melalui kuasa Kristus yang bangkit. Dalam konteks Indonesia secara umum dan masyarakat Nusa Tenggara Timur, secara khusus jemaat Gereja Kemah Injil Indonesia Daerah Kupang-NTT yang umumnya berada di pedesaan secara standard nasional belum mengalami kesejahteraan secara umum dibandingkan dengan daerah yang lain. Adapun tujuan dari penulisan ini adalah untuk menjelaskan prinsip-prinsip pembangunan masyarakat damai secara umum maupun Alkitab serta pendekatan konsep pengembangan masyarakat sehingga pada akhirnya bagaimana prinsip-prinsip teologi dan umum yang berhubungan dengan pengembangan masyarakat dapat diaplikasikan dalam berbagai program pembangunan gereja bagi jemaat sehingga dapat terjadi perubahan dalam kehidupan masyarakat menuju masyarakat shalom itu. Hasil penelitian menunjukkan bahwa pemahaman yang benar mengenai teologi pembangunan melalui pendekatan pengembangan masyarakat shalom memberi dampak secara langsung bagi kemandirian umat GKII Daerah Kupang bila bersatu hati, pikiran dan tindakan dalam membangun perencanaan strategis bersama untuk memaksilkan potensi alam, sumber daya sosial, rohani dan manusia untuk menghadirkan masyarakat shalom pada Gereja Kemah Injil Indonesia Daerah Kupang – NTT. The transformation of the world through the power of the risen Christ. For the years 2011-2016, a transformation campaign to raise up a community of peace through the power of the risen Christ. In the Indonesian context in general and society in East Nusa Tenggara, specifically in the congregation of the Gereja Kemah Injil Indonesia in the area of Kupang-NTT, that according to national standard is in a rural area, has not yet experienced prosperity when compared to other areas. The purpose of this writing is to explain the general and biblical principles of building a community of peace, along with the approach of the concept of community development so that, in the end, the general and theological principles that are related to community development can be applied in various programs of church planting for the congregation so that it will produce change in the lives of the community that will move towards the aforementioned community of peace. The results of this research show that a right understanding about community development theology through the approach of developing a community of peace, has an immediate impact on the ind…","author":[{"dropping-particle":"","family":"Laukapitang","given":"Yunus Daniel Anus","non-dropping-particle":"","parse-names":false,"suffix":""}],"container-title":"Jurnal Jaffray","id":"ITEM-1","issue":"2","issued":{"date-parts":[["2016"]]},"page":"241","title":"Teologi Pembangunan Berbasis Pengembangan Masyarakat Shalom Pada Gereja Kemah Injil Indonesia Daerah Kupang Nusa Tenggara Timur","type":"article-journal","volume":"14"},"uris":["http://www.mendeley.com/documents/?uuid=e3ea9a61-7719-49f6-bcdf-75845c71bb28","http://www.mendeley.com/documents/?uuid=e9183c94-1bd8-43b8-a8c8-29893aaa3f5a"]}],"mendeley":{"formattedCitation":"Yunus Daniel Anus Laukapitang, “Teologi Pembangunan Berbasis Pengembangan Masyarakat Shalom Pada Gereja Kemah Injil Indonesia Daerah Kupang Nusa Tenggara Timur,” &lt;i&gt;Jurnal Jaffray&lt;/i&gt; 14, no. 2 (2016): 241.","manualFormatting":"YD. Anus Laukapitang, “Teologi Pembangunan Berbasis Pengembangan Masyarakat Shalom Pada Gereja Kemah Injil Indonesia Daerah Kupang Nusa Tenggara Timur,” (Jurnal Jaffray V. 14, no. 2, 2016) 241.","plainTextFormattedCitation":"Yunus Daniel Anus Laukapitang, “Teologi Pembangunan Berbasis Pengembangan Masyarakat Shalom Pada Gereja Kemah Injil Indonesia Daerah Kupang Nusa Tenggara Timur,” Jurnal Jaffray 14, no. 2 (2016): 241.","previouslyFormattedCitation":"Yunus Daniel Anus Laukapitang, “Teologi Pembangunan Berbasis Pengembangan Masyarakat Shalom Pada Gereja Kemah Injil Indonesia Daerah Kupang Nusa Tenggara Timur,” &lt;i&gt;Jurnal Jaffray&lt;/i&gt; 14, no. 2 (2016): 241."},"properties":{"noteIndex":35},"schema":"https://github.com/citation-style-language/schema/raw/master/csl-citation.json"}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Y</w:t>
      </w:r>
      <w:r w:rsidRPr="000611DD">
        <w:rPr>
          <w:rFonts w:ascii="Times New Roman" w:hAnsi="Times New Roman" w:cs="Times New Roman"/>
          <w:lang w:val="id-ID"/>
        </w:rPr>
        <w:t xml:space="preserve">D. </w:t>
      </w:r>
      <w:r w:rsidRPr="000611DD">
        <w:rPr>
          <w:rFonts w:ascii="Times New Roman" w:hAnsi="Times New Roman" w:cs="Times New Roman"/>
        </w:rPr>
        <w:t xml:space="preserve">Anus Laukapitang, </w:t>
      </w:r>
      <w:r w:rsidRPr="000611DD">
        <w:rPr>
          <w:rFonts w:ascii="Times New Roman" w:hAnsi="Times New Roman" w:cs="Times New Roman"/>
          <w:i/>
          <w:iCs/>
        </w:rPr>
        <w:t>“Teologi Pembangunan Berbasis Pengembangan Masyarakat Shalom Pada Gereja Kemah Injil Indonesia Daerah Kupang Nusa Tenggara Timur</w:t>
      </w:r>
      <w:r w:rsidRPr="000611DD">
        <w:rPr>
          <w:rFonts w:ascii="Times New Roman" w:hAnsi="Times New Roman" w:cs="Times New Roman"/>
        </w:rPr>
        <w:t xml:space="preserve">,” </w:t>
      </w:r>
      <w:r w:rsidRPr="000611DD">
        <w:rPr>
          <w:rFonts w:ascii="Times New Roman" w:hAnsi="Times New Roman" w:cs="Times New Roman"/>
          <w:lang w:val="id-ID"/>
        </w:rPr>
        <w:t>(</w:t>
      </w:r>
      <w:r w:rsidRPr="000611DD">
        <w:rPr>
          <w:rFonts w:ascii="Times New Roman" w:hAnsi="Times New Roman" w:cs="Times New Roman"/>
        </w:rPr>
        <w:t xml:space="preserve">Jurnal Jaffray </w:t>
      </w:r>
      <w:r w:rsidRPr="000611DD">
        <w:rPr>
          <w:rFonts w:ascii="Times New Roman" w:hAnsi="Times New Roman" w:cs="Times New Roman"/>
          <w:lang w:val="id-ID"/>
        </w:rPr>
        <w:t xml:space="preserve">V. </w:t>
      </w:r>
      <w:r w:rsidRPr="000611DD">
        <w:rPr>
          <w:rFonts w:ascii="Times New Roman" w:hAnsi="Times New Roman" w:cs="Times New Roman"/>
        </w:rPr>
        <w:t>14, no. 2</w:t>
      </w:r>
      <w:r w:rsidRPr="000611DD">
        <w:rPr>
          <w:rFonts w:ascii="Times New Roman" w:hAnsi="Times New Roman" w:cs="Times New Roman"/>
          <w:lang w:val="id-ID"/>
        </w:rPr>
        <w:t xml:space="preserve">, </w:t>
      </w:r>
      <w:r w:rsidRPr="000611DD">
        <w:rPr>
          <w:rFonts w:ascii="Times New Roman" w:hAnsi="Times New Roman" w:cs="Times New Roman"/>
        </w:rPr>
        <w:t>2016)</w:t>
      </w:r>
      <w:r w:rsidRPr="000611DD">
        <w:rPr>
          <w:rFonts w:ascii="Times New Roman" w:hAnsi="Times New Roman" w:cs="Times New Roman"/>
          <w:lang w:val="id-ID"/>
        </w:rPr>
        <w:t xml:space="preserve"> </w:t>
      </w:r>
      <w:r w:rsidRPr="000611DD">
        <w:rPr>
          <w:rFonts w:ascii="Times New Roman" w:hAnsi="Times New Roman" w:cs="Times New Roman"/>
        </w:rPr>
        <w:t>241.</w:t>
      </w:r>
      <w:r w:rsidRPr="000611DD">
        <w:rPr>
          <w:rFonts w:ascii="Times New Roman" w:hAnsi="Times New Roman" w:cs="Times New Roman"/>
        </w:rPr>
        <w:fldChar w:fldCharType="end"/>
      </w:r>
    </w:p>
  </w:footnote>
  <w:footnote w:id="34">
    <w:p w14:paraId="475FA0ED" w14:textId="77777777" w:rsidR="007E6D59" w:rsidRPr="000611DD" w:rsidRDefault="007E6D59" w:rsidP="007E6D59">
      <w:pPr>
        <w:pStyle w:val="FootnoteText"/>
        <w:ind w:firstLine="567"/>
        <w:rPr>
          <w:rFonts w:ascii="Times New Roman" w:hAnsi="Times New Roman" w:cs="Times New Roman"/>
          <w:lang w:val="id-ID"/>
        </w:rPr>
      </w:pPr>
      <w:r w:rsidRPr="000611DD">
        <w:rPr>
          <w:rStyle w:val="FootnoteReference"/>
          <w:rFonts w:ascii="Times New Roman" w:hAnsi="Times New Roman" w:cs="Times New Roman"/>
        </w:rPr>
        <w:footnoteRef/>
      </w:r>
      <w:r w:rsidRPr="000611DD">
        <w:rPr>
          <w:rFonts w:ascii="Times New Roman" w:hAnsi="Times New Roman" w:cs="Times New Roman"/>
        </w:rPr>
        <w:t xml:space="preserve"> </w:t>
      </w:r>
      <w:r w:rsidRPr="000611DD">
        <w:rPr>
          <w:rFonts w:ascii="Times New Roman" w:hAnsi="Times New Roman" w:cs="Times New Roman"/>
        </w:rPr>
        <w:fldChar w:fldCharType="begin" w:fldLock="1"/>
      </w:r>
      <w:r w:rsidRPr="000611DD">
        <w:rPr>
          <w:rFonts w:ascii="Times New Roman" w:hAnsi="Times New Roman" w:cs="Times New Roman"/>
        </w:rPr>
        <w:instrText>ADDIN CSL_CITATION {"citationItems":[{"id":"ITEM-1","itemData":{"abstract":"… dalam diskusi akademis yang lebih luas mengenai peran … Perspektif ini dapat membantu menguatkan hasil penelitian ini di mana … Sering kali, stagnasi pertumbuhan gereja dikarenakan …","author":[{"dropping-particle":"","family":"Sitanggang","given":"Yan Adecco Michael","non-dropping-particle":"","parse-names":false,"suffix":""},{"dropping-particle":"","family":"Hutagalung","given":"Stimson","non-dropping-particle":"","parse-names":false,"suffix":""}],"container-title":"Jurnal Teologi dan Pendidikan Kristen","id":"ITEM-1","issue":"April","issued":{"date-parts":[["2024"]]},"page":"45-61","title":"Analisis Pengaruh Doa Pribadi terhadap Kesungguhan Ibadah Anggota Jemaat Gereja Masihi Advent Hari Ketujuh Tembagapura","type":"article-journal","volume":"4"},"uris":["http://www.mendeley.com/documents/?uuid=4010f45e-c379-40fd-ab8e-7ce1a34e1d04","http://www.mendeley.com/documents/?uuid=8522357e-9495-4a52-9602-1c76a0dd48b7"]}],"mendeley":{"formattedCitation":"Yan Adecco Michael Sitanggang and Stimson Hutagalung, “Analisis Pengaruh Doa Pribadi Terhadap Kesungguhan Ibadah Anggota Jemaat Gereja Masihi Advent Hari Ketujuh Tembagapura,” &lt;i&gt;Jurnal Teologi dan Pendidikan Kristen&lt;/i&gt; 4, no. April (2024): 45–61.","manualFormatting":"Yan Adecco Michael Sitanggang and Stimson Hutagalung, “Analisis Pengaruh Doa Pribadi Terhadap Kesungguhan Ibadah Anggota Jemaat Gereja Masihi Advent Hari Ketujuh Tembagapura,” (Jurnal Teologi dan Pendidikan Kristen V. 4, no. April, 2024) 45–61.","plainTextFormattedCitation":"Yan Adecco Michael Sitanggang and Stimson Hutagalung, “Analisis Pengaruh Doa Pribadi Terhadap Kesungguhan Ibadah Anggota Jemaat Gereja Masihi Advent Hari Ketujuh Tembagapura,” Jurnal Teologi dan Pendidikan Kristen 4, no. April (2024): 45–61.","previouslyFormattedCitation":"Yan Adecco Michael Sitanggang and Stimson Hutagalung, “Analisis Pengaruh Doa Pribadi Terhadap Kesungguhan Ibadah Anggota Jemaat Gereja Masihi Advent Hari Ketujuh Tembagapura,” &lt;i&gt;Jurnal Teologi dan Pendidikan Kristen&lt;/i&gt; 4, no. April (2024): 45–61."},"properties":{"noteIndex":36},"schema":"https://github.com/citation-style-language/schema/raw/master/csl-citation.json"}</w:instrText>
      </w:r>
      <w:r w:rsidRPr="000611DD">
        <w:rPr>
          <w:rFonts w:ascii="Times New Roman" w:hAnsi="Times New Roman" w:cs="Times New Roman"/>
        </w:rPr>
        <w:fldChar w:fldCharType="separate"/>
      </w:r>
      <w:r w:rsidRPr="000611DD">
        <w:rPr>
          <w:rFonts w:ascii="Times New Roman" w:hAnsi="Times New Roman" w:cs="Times New Roman"/>
        </w:rPr>
        <w:t xml:space="preserve">Yan Adecco Michael Sitanggang and Stimson Hutagalung, </w:t>
      </w:r>
      <w:r w:rsidRPr="000611DD">
        <w:rPr>
          <w:rFonts w:ascii="Times New Roman" w:hAnsi="Times New Roman" w:cs="Times New Roman"/>
          <w:i/>
          <w:iCs/>
        </w:rPr>
        <w:t>“Analisis Pengaruh Doa Pribadi Terhadap Kesungguhan Ibadah Anggota Jemaat Gereja Masihi Advent Hari Ketujuh Tembagapura,”</w:t>
      </w:r>
      <w:r w:rsidRPr="000611DD">
        <w:rPr>
          <w:rFonts w:ascii="Times New Roman" w:hAnsi="Times New Roman" w:cs="Times New Roman"/>
        </w:rPr>
        <w:t xml:space="preserve"> </w:t>
      </w:r>
      <w:r w:rsidRPr="000611DD">
        <w:rPr>
          <w:rFonts w:ascii="Times New Roman" w:hAnsi="Times New Roman" w:cs="Times New Roman"/>
          <w:lang w:val="id-ID"/>
        </w:rPr>
        <w:t>(</w:t>
      </w:r>
      <w:r w:rsidRPr="000611DD">
        <w:rPr>
          <w:rFonts w:ascii="Times New Roman" w:hAnsi="Times New Roman" w:cs="Times New Roman"/>
        </w:rPr>
        <w:t xml:space="preserve">Jurnal Teologi dan Pendidikan Kristen </w:t>
      </w:r>
      <w:r w:rsidRPr="000611DD">
        <w:rPr>
          <w:rFonts w:ascii="Times New Roman" w:hAnsi="Times New Roman" w:cs="Times New Roman"/>
          <w:lang w:val="id-ID"/>
        </w:rPr>
        <w:t xml:space="preserve">V. </w:t>
      </w:r>
      <w:r w:rsidRPr="000611DD">
        <w:rPr>
          <w:rFonts w:ascii="Times New Roman" w:hAnsi="Times New Roman" w:cs="Times New Roman"/>
        </w:rPr>
        <w:t>4, no. April</w:t>
      </w:r>
      <w:r w:rsidRPr="000611DD">
        <w:rPr>
          <w:rFonts w:ascii="Times New Roman" w:hAnsi="Times New Roman" w:cs="Times New Roman"/>
          <w:lang w:val="id-ID"/>
        </w:rPr>
        <w:t xml:space="preserve">, </w:t>
      </w:r>
      <w:r w:rsidRPr="000611DD">
        <w:rPr>
          <w:rFonts w:ascii="Times New Roman" w:hAnsi="Times New Roman" w:cs="Times New Roman"/>
        </w:rPr>
        <w:t>2024)</w:t>
      </w:r>
      <w:r w:rsidRPr="000611DD">
        <w:rPr>
          <w:rFonts w:ascii="Times New Roman" w:hAnsi="Times New Roman" w:cs="Times New Roman"/>
          <w:lang w:val="id-ID"/>
        </w:rPr>
        <w:t xml:space="preserve"> </w:t>
      </w:r>
      <w:r w:rsidRPr="000611DD">
        <w:rPr>
          <w:rFonts w:ascii="Times New Roman" w:hAnsi="Times New Roman" w:cs="Times New Roman"/>
        </w:rPr>
        <w:t>45–61.</w:t>
      </w:r>
      <w:r w:rsidRPr="000611DD">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0B3D25" w14:textId="77777777" w:rsidR="00555DB3" w:rsidRDefault="00087212">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Volume 5, Nomor 1, (Agustus,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F1D2E" w14:textId="77777777" w:rsidR="00555DB3" w:rsidRDefault="00555DB3">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AA5E6B"/>
    <w:multiLevelType w:val="hybridMultilevel"/>
    <w:tmpl w:val="F51E02AE"/>
    <w:lvl w:ilvl="0" w:tplc="38090019">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7650D"/>
    <w:multiLevelType w:val="hybridMultilevel"/>
    <w:tmpl w:val="353A6584"/>
    <w:lvl w:ilvl="0" w:tplc="2BE202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ED9784A"/>
    <w:multiLevelType w:val="hybridMultilevel"/>
    <w:tmpl w:val="F2821B34"/>
    <w:lvl w:ilvl="0" w:tplc="C94E5DE6">
      <w:start w:val="1"/>
      <w:numFmt w:val="decimal"/>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3190F7E"/>
    <w:multiLevelType w:val="hybridMultilevel"/>
    <w:tmpl w:val="4044C32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C3F02B0"/>
    <w:multiLevelType w:val="hybridMultilevel"/>
    <w:tmpl w:val="3FA880BC"/>
    <w:lvl w:ilvl="0" w:tplc="38090019">
      <w:start w:val="1"/>
      <w:numFmt w:val="low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FD6C1F"/>
    <w:multiLevelType w:val="hybridMultilevel"/>
    <w:tmpl w:val="EA80D734"/>
    <w:lvl w:ilvl="0" w:tplc="38090019">
      <w:start w:val="1"/>
      <w:numFmt w:val="low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66343633"/>
    <w:multiLevelType w:val="hybridMultilevel"/>
    <w:tmpl w:val="1C8A59B4"/>
    <w:lvl w:ilvl="0" w:tplc="38090019">
      <w:start w:val="1"/>
      <w:numFmt w:val="lowerLetter"/>
      <w:lvlText w:val="%1."/>
      <w:lvlJc w:val="left"/>
      <w:pPr>
        <w:ind w:left="927"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2F58A9"/>
    <w:multiLevelType w:val="hybridMultilevel"/>
    <w:tmpl w:val="C4601138"/>
    <w:lvl w:ilvl="0" w:tplc="38090019">
      <w:start w:val="1"/>
      <w:numFmt w:val="lowerLetter"/>
      <w:lvlText w:val="%1."/>
      <w:lvlJc w:val="left"/>
      <w:pPr>
        <w:ind w:left="786" w:hanging="360"/>
      </w:pPr>
      <w:rPr>
        <w:rFonts w:hint="default"/>
        <w:b/>
        <w:bCs/>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abstractNumId w:val="0"/>
  </w:num>
  <w:num w:numId="2">
    <w:abstractNumId w:val="4"/>
  </w:num>
  <w:num w:numId="3">
    <w:abstractNumId w:val="1"/>
  </w:num>
  <w:num w:numId="4">
    <w:abstractNumId w:val="6"/>
  </w:num>
  <w:num w:numId="5">
    <w:abstractNumId w:val="3"/>
  </w:num>
  <w:num w:numId="6">
    <w:abstractNumId w:val="5"/>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DB3"/>
    <w:rsid w:val="000611DD"/>
    <w:rsid w:val="00087212"/>
    <w:rsid w:val="001372C7"/>
    <w:rsid w:val="00191D77"/>
    <w:rsid w:val="001938A4"/>
    <w:rsid w:val="003227D2"/>
    <w:rsid w:val="004945AB"/>
    <w:rsid w:val="00555DB3"/>
    <w:rsid w:val="006117DD"/>
    <w:rsid w:val="00732AA4"/>
    <w:rsid w:val="007416AF"/>
    <w:rsid w:val="007E6D59"/>
    <w:rsid w:val="008309BA"/>
    <w:rsid w:val="0085552C"/>
    <w:rsid w:val="009472AA"/>
    <w:rsid w:val="00E240C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D689D"/>
  <w15:docId w15:val="{0AE9CC07-23D6-48B0-88CB-347685328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
    <w:name w:val="Judul"/>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7E6D59"/>
    <w:rPr>
      <w:rFonts w:ascii="Arial" w:eastAsia="Arial" w:hAnsi="Arial" w:cs="Arial"/>
      <w:noProof/>
      <w:sz w:val="20"/>
      <w:szCs w:val="20"/>
      <w:lang w:eastAsia="en-ID"/>
    </w:rPr>
  </w:style>
  <w:style w:type="character" w:customStyle="1" w:styleId="FootnoteTextChar">
    <w:name w:val="Footnote Text Char"/>
    <w:basedOn w:val="DefaultParagraphFont"/>
    <w:link w:val="FootnoteText"/>
    <w:uiPriority w:val="99"/>
    <w:semiHidden/>
    <w:rsid w:val="007E6D59"/>
    <w:rPr>
      <w:rFonts w:ascii="Arial" w:eastAsia="Arial" w:hAnsi="Arial" w:cs="Arial"/>
      <w:noProof/>
      <w:sz w:val="20"/>
      <w:szCs w:val="20"/>
    </w:rPr>
  </w:style>
  <w:style w:type="character" w:styleId="FootnoteReference">
    <w:name w:val="footnote reference"/>
    <w:basedOn w:val="DefaultParagraphFont"/>
    <w:uiPriority w:val="99"/>
    <w:semiHidden/>
    <w:unhideWhenUsed/>
    <w:rsid w:val="007E6D59"/>
    <w:rPr>
      <w:vertAlign w:val="superscript"/>
    </w:rPr>
  </w:style>
  <w:style w:type="character" w:styleId="Strong">
    <w:name w:val="Strong"/>
    <w:basedOn w:val="DefaultParagraphFont"/>
    <w:uiPriority w:val="22"/>
    <w:qFormat/>
    <w:rsid w:val="007E6D59"/>
    <w:rPr>
      <w:b/>
      <w:bCs/>
    </w:rPr>
  </w:style>
  <w:style w:type="character" w:styleId="UnresolvedMention">
    <w:name w:val="Unresolved Mention"/>
    <w:basedOn w:val="DefaultParagraphFont"/>
    <w:uiPriority w:val="99"/>
    <w:semiHidden/>
    <w:unhideWhenUsed/>
    <w:rsid w:val="000611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refamatigulo@gmail.com" TargetMode="Externa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24</Pages>
  <Words>8551</Words>
  <Characters>48741</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Authors</cp:lastModifiedBy>
  <cp:revision>8</cp:revision>
  <dcterms:created xsi:type="dcterms:W3CDTF">2023-02-22T06:25:00Z</dcterms:created>
  <dcterms:modified xsi:type="dcterms:W3CDTF">2024-11-29T14:11:00Z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