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BB2E9">
      <w:pPr>
        <w:pBdr>
          <w:top w:val="none" w:color="auto" w:sz="0" w:space="0"/>
          <w:left w:val="none" w:color="auto" w:sz="0" w:space="0"/>
          <w:bottom w:val="none" w:color="auto" w:sz="0" w:space="0"/>
          <w:right w:val="none" w:color="auto" w:sz="0" w:space="0"/>
          <w:between w:val="none" w:color="auto" w:sz="0" w:space="0"/>
        </w:pBdr>
        <w:tabs>
          <w:tab w:val="left" w:pos="8789"/>
        </w:tabs>
        <w:spacing w:line="276" w:lineRule="auto"/>
        <w:jc w:val="center"/>
        <w:rPr>
          <w:rFonts w:eastAsia="Times New Roman"/>
          <w:color w:val="000000"/>
          <w:sz w:val="22"/>
          <w:szCs w:val="22"/>
        </w:rPr>
      </w:pPr>
      <w:r>
        <w:drawing>
          <wp:anchor distT="0" distB="0" distL="114300" distR="114300" simplePos="0" relativeHeight="251659264" behindDoc="0" locked="0" layoutInCell="1" allowOverlap="1">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4" name="image1.png" descr="C:\Users\pance\AppData\Local\Microsoft\Windows\INetCache\Content.Word\logo.png"/>
                    <pic:cNvPicPr preferRelativeResize="0"/>
                  </pic:nvPicPr>
                  <pic:blipFill>
                    <a:blip r:embed="rId12"/>
                    <a:srcRect/>
                    <a:stretch>
                      <a:fillRect/>
                    </a:stretch>
                  </pic:blipFill>
                  <pic:spPr>
                    <a:xfrm>
                      <a:off x="0" y="0"/>
                      <a:ext cx="733425" cy="733425"/>
                    </a:xfrm>
                    <a:prstGeom prst="rect">
                      <a:avLst/>
                    </a:prstGeom>
                  </pic:spPr>
                </pic:pic>
              </a:graphicData>
            </a:graphic>
          </wp:anchor>
        </w:drawing>
      </w:r>
    </w:p>
    <w:tbl>
      <w:tblPr>
        <w:tblStyle w:val="49"/>
        <w:tblW w:w="88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160"/>
        <w:gridCol w:w="6629"/>
        <w:gridCol w:w="20"/>
      </w:tblGrid>
      <w:tr w14:paraId="709FE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789" w:type="dxa"/>
            <w:gridSpan w:val="2"/>
            <w:tcBorders>
              <w:top w:val="single" w:color="000000" w:sz="4" w:space="0"/>
              <w:bottom w:val="single" w:color="000000" w:sz="4" w:space="0"/>
            </w:tcBorders>
          </w:tcPr>
          <w:p w14:paraId="045B5D8E">
            <w:pPr>
              <w:pBdr>
                <w:top w:val="none" w:color="auto" w:sz="0" w:space="0"/>
                <w:left w:val="none" w:color="auto" w:sz="0" w:space="0"/>
                <w:bottom w:val="none" w:color="auto" w:sz="0" w:space="0"/>
                <w:right w:val="none" w:color="auto" w:sz="0" w:space="0"/>
                <w:between w:val="none" w:color="auto" w:sz="0" w:space="0"/>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pPr>
              <w:pBdr>
                <w:top w:val="none" w:color="auto" w:sz="0" w:space="0"/>
                <w:left w:val="none" w:color="auto" w:sz="0" w:space="0"/>
                <w:bottom w:val="none" w:color="auto" w:sz="0" w:space="0"/>
                <w:right w:val="none" w:color="auto" w:sz="0" w:space="0"/>
                <w:between w:val="none" w:color="auto" w:sz="0" w:space="0"/>
              </w:pBdr>
              <w:spacing w:line="276" w:lineRule="auto"/>
              <w:ind w:left="4678"/>
              <w:rPr>
                <w:rFonts w:eastAsia="Times New Roman"/>
                <w:color w:val="000000"/>
                <w:sz w:val="2"/>
                <w:szCs w:val="2"/>
                <w:highlight w:val="black"/>
              </w:rPr>
            </w:pPr>
            <w:r>
              <mc:AlternateContent>
                <mc:Choice Requires="wps">
                  <w:drawing>
                    <wp:anchor distT="45720" distB="45720" distL="114300" distR="114300" simplePos="0" relativeHeight="251660288" behindDoc="0" locked="0" layoutInCell="1" allowOverlap="1">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pPr>
                                    <w:jc w:val="center"/>
                                  </w:pPr>
                                  <w:r>
                                    <w:rPr>
                                      <w:rFonts w:ascii="Georgia" w:hAnsi="Georgia" w:eastAsia="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id="Persegi Panjang 3" o:spid="_x0000_s1026" o:spt="1" style="position:absolute;left:0pt;margin-left:61pt;margin-top:4.6pt;height:42.05pt;width:157.5pt;z-index:251660288;mso-width-relative:page;mso-height-relative:page;" fillcolor="#FFFFFF" filled="t" stroked="t" coordsize="21600,21600" o:gfxdata="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MAP6f1QAAAAgBAAAPAAAAAAAAAAEAIAAAACIAAABkcnMvZG93&#10;bnJldi54bWxQSwECFAAUAAAACACHTuJAvNjUNjwCAAC5BAAADgAAAAAAAAABACAAAAAkAQAAZHJz&#10;L2Uyb0RvYy54bWxQSwUGAAAAAAYABgBZAQAA0gUAAAAA&#10;">
                      <v:fill on="t" focussize="0,0"/>
                      <v:stroke color="#FFFFFF [3201]" miterlimit="8" joinstyle="miter" startarrowwidth="narrow" startarrowlength="short" endarrowwidth="narrow" endarrowlength="short"/>
                      <v:imagedata o:title=""/>
                      <o:lock v:ext="edit" aspectratio="f"/>
                      <v:textbox inset="7.1988188976378pt,3.59842519685039pt,7.1988188976378pt,3.59842519685039pt">
                        <w:txbxContent>
                          <w:p w14:paraId="3E0EF1EA">
                            <w:pPr>
                              <w:jc w:val="center"/>
                            </w:pPr>
                            <w:r>
                              <w:rPr>
                                <w:rFonts w:ascii="Georgia" w:hAnsi="Georgia" w:eastAsia="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pPr>
              <w:pBdr>
                <w:top w:val="none" w:color="auto" w:sz="0" w:space="0"/>
                <w:left w:val="none" w:color="auto" w:sz="0" w:space="0"/>
                <w:bottom w:val="none" w:color="auto" w:sz="0" w:space="0"/>
                <w:right w:val="none" w:color="auto" w:sz="0" w:space="0"/>
                <w:between w:val="none" w:color="auto" w:sz="0" w:space="0"/>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pPr>
              <w:pBdr>
                <w:top w:val="none" w:color="auto" w:sz="0" w:space="0"/>
                <w:left w:val="none" w:color="auto" w:sz="0" w:space="0"/>
                <w:bottom w:val="none" w:color="auto" w:sz="0" w:space="0"/>
                <w:right w:val="none" w:color="auto" w:sz="0" w:space="0"/>
                <w:between w:val="none" w:color="auto" w:sz="0" w:space="0"/>
              </w:pBdr>
              <w:spacing w:line="276" w:lineRule="auto"/>
              <w:ind w:left="4678"/>
              <w:rPr>
                <w:rFonts w:ascii="Lustria" w:hAnsi="Lustria" w:eastAsia="Lustria" w:cs="Lustria"/>
                <w:color w:val="000000"/>
                <w:sz w:val="20"/>
                <w:szCs w:val="20"/>
              </w:rPr>
            </w:pPr>
            <w:r>
              <w:fldChar w:fldCharType="begin"/>
            </w:r>
            <w:r>
              <w:instrText xml:space="preserve"> HYPERLINK "https://jurnal.sttarrabona.ac.id/JurnalSTTA/" \h </w:instrText>
            </w:r>
            <w:r>
              <w:fldChar w:fldCharType="separate"/>
            </w:r>
            <w:r>
              <w:rPr>
                <w:rFonts w:ascii="Lustria" w:hAnsi="Lustria" w:eastAsia="Lustria" w:cs="Lustria"/>
                <w:color w:val="0000FF"/>
                <w:sz w:val="20"/>
                <w:szCs w:val="20"/>
                <w:u w:val="single"/>
              </w:rPr>
              <w:t>https://jurnal.sttarrabona.ac.id/JurnalSTTA/</w:t>
            </w:r>
            <w:r>
              <w:rPr>
                <w:rFonts w:ascii="Lustria" w:hAnsi="Lustria" w:eastAsia="Lustria" w:cs="Lustria"/>
                <w:color w:val="0000FF"/>
                <w:sz w:val="20"/>
                <w:szCs w:val="20"/>
                <w:u w:val="single"/>
              </w:rPr>
              <w:fldChar w:fldCharType="end"/>
            </w:r>
          </w:p>
          <w:p w14:paraId="4BEF448A">
            <w:pPr>
              <w:pBdr>
                <w:top w:val="none" w:color="auto" w:sz="0" w:space="0"/>
                <w:left w:val="none" w:color="auto" w:sz="0" w:space="0"/>
                <w:bottom w:val="none" w:color="auto" w:sz="0" w:space="0"/>
                <w:right w:val="none" w:color="auto" w:sz="0" w:space="0"/>
                <w:between w:val="none" w:color="auto" w:sz="0" w:space="0"/>
              </w:pBdr>
              <w:spacing w:line="276" w:lineRule="auto"/>
              <w:ind w:left="4678"/>
              <w:rPr>
                <w:rFonts w:eastAsia="Times New Roman"/>
                <w:color w:val="000000"/>
              </w:rPr>
            </w:pPr>
            <w:r>
              <w:rPr>
                <w:rFonts w:eastAsia="Times New Roman"/>
                <w:color w:val="000000"/>
              </w:rPr>
              <w:t>Vol.</w:t>
            </w:r>
            <w:r>
              <w:t>8</w:t>
            </w:r>
            <w:r>
              <w:rPr>
                <w:rFonts w:eastAsia="Times New Roman"/>
                <w:color w:val="000000"/>
              </w:rPr>
              <w:t>, No.2, Februari 202</w:t>
            </w:r>
            <w:r>
              <w:t>6</w:t>
            </w:r>
          </w:p>
        </w:tc>
        <w:tc>
          <w:tcPr>
            <w:tcW w:w="20" w:type="dxa"/>
            <w:tcBorders>
              <w:top w:val="single" w:color="000000" w:sz="4" w:space="0"/>
              <w:bottom w:val="single" w:color="000000" w:sz="4" w:space="0"/>
            </w:tcBorders>
          </w:tcPr>
          <w:p w14:paraId="35253CF2">
            <w:pPr>
              <w:pBdr>
                <w:top w:val="none" w:color="auto" w:sz="0" w:space="0"/>
                <w:left w:val="none" w:color="auto" w:sz="0" w:space="0"/>
                <w:bottom w:val="none" w:color="auto" w:sz="0" w:space="0"/>
                <w:right w:val="none" w:color="auto" w:sz="0" w:space="0"/>
                <w:between w:val="none" w:color="auto" w:sz="0" w:space="0"/>
              </w:pBdr>
              <w:spacing w:line="276" w:lineRule="auto"/>
              <w:jc w:val="center"/>
              <w:rPr>
                <w:rFonts w:ascii="Lustria" w:hAnsi="Lustria" w:eastAsia="Lustria" w:cs="Lustria"/>
                <w:color w:val="000000"/>
                <w:sz w:val="18"/>
                <w:szCs w:val="18"/>
              </w:rPr>
            </w:pPr>
          </w:p>
        </w:tc>
      </w:tr>
      <w:tr w14:paraId="1324C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0" w:type="dxa"/>
        </w:trPr>
        <w:tc>
          <w:tcPr>
            <w:tcW w:w="8789" w:type="dxa"/>
            <w:gridSpan w:val="2"/>
            <w:tcBorders>
              <w:top w:val="single" w:color="000000" w:sz="4" w:space="0"/>
              <w:bottom w:val="single" w:color="000000" w:sz="4" w:space="0"/>
            </w:tcBorders>
          </w:tcPr>
          <w:p w14:paraId="5C909024">
            <w:pPr>
              <w:pBdr>
                <w:top w:val="none" w:color="auto" w:sz="0" w:space="0"/>
                <w:left w:val="none" w:color="auto" w:sz="0" w:space="0"/>
                <w:bottom w:val="none" w:color="auto" w:sz="0" w:space="0"/>
                <w:right w:val="none" w:color="auto" w:sz="0" w:space="0"/>
                <w:between w:val="none" w:color="auto" w:sz="0" w:space="0"/>
              </w:pBdr>
              <w:spacing w:line="276" w:lineRule="auto"/>
              <w:rPr>
                <w:rFonts w:ascii="Lustria" w:hAnsi="Lustria" w:eastAsia="Lustria" w:cs="Lustria"/>
                <w:b/>
                <w:color w:val="000000"/>
              </w:rPr>
            </w:pPr>
          </w:p>
          <w:p w14:paraId="766BEBBF">
            <w:pPr>
              <w:jc w:val="center"/>
              <w:rPr>
                <w:b/>
                <w:bCs/>
                <w:sz w:val="32"/>
                <w:szCs w:val="28"/>
              </w:rPr>
            </w:pPr>
            <w:commentRangeStart w:id="0"/>
            <w:commentRangeStart w:id="1"/>
            <w:r>
              <w:rPr>
                <w:b/>
                <w:bCs/>
                <w:sz w:val="32"/>
                <w:szCs w:val="28"/>
              </w:rPr>
              <w:t xml:space="preserve">Etika Politik Paulus: Sebuah Studi Eksegesis </w:t>
            </w:r>
            <w:r>
              <w:rPr>
                <w:rFonts w:hint="default"/>
                <w:b/>
                <w:bCs/>
                <w:sz w:val="32"/>
                <w:szCs w:val="28"/>
                <w:lang w:val="en-US"/>
              </w:rPr>
              <w:t>T</w:t>
            </w:r>
            <w:r>
              <w:rPr>
                <w:b/>
                <w:bCs/>
                <w:sz w:val="32"/>
                <w:szCs w:val="28"/>
              </w:rPr>
              <w:t xml:space="preserve">entang </w:t>
            </w:r>
            <w:r>
              <w:rPr>
                <w:rFonts w:hint="default"/>
                <w:b/>
                <w:bCs/>
                <w:sz w:val="32"/>
                <w:szCs w:val="28"/>
                <w:lang w:val="en-US"/>
              </w:rPr>
              <w:t>K</w:t>
            </w:r>
            <w:r>
              <w:rPr>
                <w:b/>
                <w:bCs/>
                <w:sz w:val="32"/>
                <w:szCs w:val="28"/>
              </w:rPr>
              <w:t xml:space="preserve">etaatan </w:t>
            </w:r>
            <w:r>
              <w:rPr>
                <w:rFonts w:hint="default"/>
                <w:b/>
                <w:bCs/>
                <w:sz w:val="32"/>
                <w:szCs w:val="28"/>
                <w:lang w:val="en-US"/>
              </w:rPr>
              <w:t>O</w:t>
            </w:r>
            <w:r>
              <w:rPr>
                <w:b/>
                <w:bCs/>
                <w:sz w:val="32"/>
                <w:szCs w:val="28"/>
              </w:rPr>
              <w:t xml:space="preserve">rang </w:t>
            </w:r>
            <w:r>
              <w:rPr>
                <w:rFonts w:hint="default"/>
                <w:b/>
                <w:bCs/>
                <w:sz w:val="32"/>
                <w:szCs w:val="28"/>
                <w:lang w:val="en-US"/>
              </w:rPr>
              <w:t>P</w:t>
            </w:r>
            <w:r>
              <w:rPr>
                <w:b/>
                <w:bCs/>
                <w:sz w:val="32"/>
                <w:szCs w:val="28"/>
              </w:rPr>
              <w:t xml:space="preserve">ercaya </w:t>
            </w:r>
            <w:r>
              <w:rPr>
                <w:rFonts w:hint="default"/>
                <w:b/>
                <w:bCs/>
                <w:sz w:val="32"/>
                <w:szCs w:val="28"/>
                <w:lang w:val="en-US"/>
              </w:rPr>
              <w:t>T</w:t>
            </w:r>
            <w:r>
              <w:rPr>
                <w:b/>
                <w:bCs/>
                <w:sz w:val="32"/>
                <w:szCs w:val="28"/>
              </w:rPr>
              <w:t xml:space="preserve">erhadap </w:t>
            </w:r>
            <w:r>
              <w:rPr>
                <w:rFonts w:hint="default"/>
                <w:b/>
                <w:bCs/>
                <w:sz w:val="32"/>
                <w:szCs w:val="28"/>
                <w:lang w:val="en-US"/>
              </w:rPr>
              <w:t>P</w:t>
            </w:r>
            <w:r>
              <w:rPr>
                <w:b/>
                <w:bCs/>
                <w:sz w:val="32"/>
                <w:szCs w:val="28"/>
              </w:rPr>
              <w:t xml:space="preserve">emerintah </w:t>
            </w:r>
            <w:r>
              <w:rPr>
                <w:rFonts w:hint="default"/>
                <w:b/>
                <w:bCs/>
                <w:sz w:val="32"/>
                <w:szCs w:val="28"/>
                <w:lang w:val="en-US"/>
              </w:rPr>
              <w:t>D</w:t>
            </w:r>
            <w:r>
              <w:rPr>
                <w:b/>
                <w:bCs/>
                <w:sz w:val="32"/>
                <w:szCs w:val="28"/>
              </w:rPr>
              <w:t>alam Roma 13: 1-7</w:t>
            </w:r>
            <w:commentRangeEnd w:id="0"/>
            <w:r>
              <w:rPr>
                <w:rStyle w:val="14"/>
              </w:rPr>
              <w:commentReference w:id="0"/>
            </w:r>
            <w:commentRangeEnd w:id="1"/>
            <w:r>
              <w:commentReference w:id="1"/>
            </w:r>
          </w:p>
          <w:p w14:paraId="3BDD0240">
            <w:pPr>
              <w:pBdr>
                <w:top w:val="none" w:color="auto" w:sz="0" w:space="0"/>
                <w:left w:val="none" w:color="auto" w:sz="0" w:space="0"/>
                <w:bottom w:val="none" w:color="auto" w:sz="0" w:space="0"/>
                <w:right w:val="none" w:color="auto" w:sz="0" w:space="0"/>
                <w:between w:val="none" w:color="auto" w:sz="0" w:space="0"/>
              </w:pBdr>
              <w:spacing w:after="120" w:line="276" w:lineRule="auto"/>
              <w:jc w:val="center"/>
              <w:rPr>
                <w:rFonts w:eastAsia="Times New Roman"/>
                <w:b/>
                <w:color w:val="000000"/>
                <w:sz w:val="32"/>
                <w:szCs w:val="32"/>
              </w:rPr>
            </w:pPr>
          </w:p>
          <w:p w14:paraId="26CF9613">
            <w:pPr>
              <w:keepNext/>
              <w:pBdr>
                <w:top w:val="none" w:color="auto" w:sz="0" w:space="0"/>
                <w:left w:val="none" w:color="auto" w:sz="0" w:space="0"/>
                <w:bottom w:val="none" w:color="auto" w:sz="0" w:space="0"/>
                <w:right w:val="none" w:color="auto" w:sz="0" w:space="0"/>
                <w:between w:val="none" w:color="auto" w:sz="0" w:space="0"/>
              </w:pBdr>
              <w:tabs>
                <w:tab w:val="center" w:pos="5189"/>
                <w:tab w:val="left" w:pos="9525"/>
              </w:tabs>
              <w:jc w:val="center"/>
              <w:rPr>
                <w:b/>
                <w:i/>
                <w:color w:val="000000"/>
                <w:sz w:val="28"/>
                <w:szCs w:val="28"/>
              </w:rPr>
            </w:pPr>
            <w:r>
              <w:rPr>
                <w:b/>
                <w:i/>
                <w:color w:val="000000"/>
                <w:sz w:val="28"/>
                <w:szCs w:val="28"/>
              </w:rPr>
              <w:t>Yosua Sorongan</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63AE5820">
            <w:pPr>
              <w:keepNext/>
              <w:pBdr>
                <w:top w:val="none" w:color="auto" w:sz="0" w:space="0"/>
                <w:left w:val="none" w:color="auto" w:sz="0" w:space="0"/>
                <w:bottom w:val="none" w:color="auto" w:sz="0" w:space="0"/>
                <w:right w:val="none" w:color="auto" w:sz="0" w:space="0"/>
                <w:between w:val="none" w:color="auto" w:sz="0" w:space="0"/>
              </w:pBdr>
              <w:tabs>
                <w:tab w:val="center" w:pos="5189"/>
                <w:tab w:val="left" w:pos="9525"/>
              </w:tabs>
              <w:jc w:val="center"/>
              <w:rPr>
                <w:b/>
                <w:i/>
                <w:color w:val="000000"/>
                <w:sz w:val="28"/>
                <w:szCs w:val="28"/>
              </w:rPr>
            </w:pPr>
            <w:r>
              <w:rPr>
                <w:b/>
                <w:i/>
                <w:color w:val="000000"/>
                <w:sz w:val="28"/>
                <w:szCs w:val="28"/>
              </w:rPr>
              <w:t>Joshua Frans Kumowal</w:t>
            </w:r>
            <w:r>
              <w:rPr>
                <w:b/>
                <w:i/>
                <w:color w:val="000000"/>
                <w:sz w:val="28"/>
                <w:szCs w:val="28"/>
                <w:vertAlign w:val="superscript"/>
              </w:rPr>
              <w:t>2</w:t>
            </w:r>
            <w:r>
              <w:rPr>
                <w:b/>
                <w:i/>
                <w:color w:val="000000"/>
                <w:sz w:val="28"/>
                <w:szCs w:val="28"/>
              </w:rPr>
              <w:t xml:space="preserve"> </w:t>
            </w:r>
          </w:p>
          <w:p w14:paraId="28AC2386">
            <w:pPr>
              <w:keepNext/>
              <w:pBdr>
                <w:top w:val="none" w:color="auto" w:sz="0" w:space="0"/>
                <w:left w:val="none" w:color="auto" w:sz="0" w:space="0"/>
                <w:bottom w:val="none" w:color="auto" w:sz="0" w:space="0"/>
                <w:right w:val="none" w:color="auto" w:sz="0" w:space="0"/>
                <w:between w:val="none" w:color="auto" w:sz="0" w:space="0"/>
              </w:pBdr>
              <w:tabs>
                <w:tab w:val="center" w:pos="5189"/>
                <w:tab w:val="left" w:pos="9525"/>
              </w:tabs>
              <w:spacing w:after="120"/>
              <w:jc w:val="center"/>
              <w:rPr>
                <w:b/>
                <w:i/>
                <w:color w:val="000000"/>
                <w:sz w:val="28"/>
                <w:szCs w:val="28"/>
              </w:rPr>
            </w:pPr>
            <w:r>
              <w:rPr>
                <w:b/>
                <w:i/>
                <w:color w:val="000000"/>
                <w:sz w:val="28"/>
                <w:szCs w:val="28"/>
              </w:rPr>
              <w:t>Petra Harys Alfredo Tampilang</w:t>
            </w:r>
            <w:r>
              <w:rPr>
                <w:b/>
                <w:i/>
                <w:color w:val="000000"/>
                <w:sz w:val="28"/>
                <w:szCs w:val="28"/>
                <w:vertAlign w:val="superscript"/>
              </w:rPr>
              <w:t>3</w:t>
            </w:r>
          </w:p>
          <w:p w14:paraId="6EDB9016">
            <w:pPr>
              <w:jc w:val="center"/>
              <w:rPr>
                <w:i/>
                <w:color w:val="000000"/>
              </w:rPr>
            </w:pPr>
            <w:bookmarkStart w:id="0" w:name="_heading=h.gjdgxs" w:colFirst="0" w:colLast="0"/>
            <w:bookmarkEnd w:id="0"/>
            <w:r>
              <w:rPr>
                <w:color w:val="000000"/>
                <w:vertAlign w:val="superscript"/>
              </w:rPr>
              <w:t>1,2</w:t>
            </w:r>
            <w:r>
              <w:rPr>
                <w:i/>
                <w:color w:val="000000"/>
              </w:rPr>
              <w:t>Gereja Alkitab Anugerah</w:t>
            </w:r>
          </w:p>
          <w:p w14:paraId="1D011DA8">
            <w:pPr>
              <w:jc w:val="center"/>
            </w:pPr>
            <w:r>
              <w:rPr>
                <w:i/>
                <w:color w:val="000000"/>
                <w:vertAlign w:val="superscript"/>
              </w:rPr>
              <w:t>3</w:t>
            </w:r>
            <w:r>
              <w:rPr>
                <w:i/>
                <w:color w:val="000000"/>
              </w:rPr>
              <w:t>Sekolah Tinggi Teologi Arastamar Mamasa</w:t>
            </w:r>
          </w:p>
          <w:p w14:paraId="783395F9">
            <w:pPr>
              <w:jc w:val="center"/>
            </w:pPr>
            <w:r>
              <w:rPr>
                <w:i/>
                <w:color w:val="000000"/>
              </w:rPr>
              <w:t>*</w:t>
            </w:r>
            <w:r>
              <w:rPr>
                <w:color w:val="000000"/>
                <w:vertAlign w:val="superscript"/>
              </w:rPr>
              <w:t>)</w:t>
            </w:r>
            <w:r>
              <w:rPr>
                <w:i/>
                <w:color w:val="000000"/>
              </w:rPr>
              <w:t>Email Correspondence: petra.tampilang@gmail.com</w:t>
            </w:r>
          </w:p>
          <w:p w14:paraId="6E0D6691">
            <w:pPr>
              <w:pBdr>
                <w:top w:val="none" w:color="auto" w:sz="0" w:space="0"/>
                <w:left w:val="none" w:color="auto" w:sz="0" w:space="0"/>
                <w:bottom w:val="none" w:color="auto" w:sz="0" w:space="0"/>
                <w:right w:val="none" w:color="auto" w:sz="0" w:space="0"/>
                <w:between w:val="none" w:color="auto" w:sz="0" w:space="0"/>
              </w:pBdr>
              <w:spacing w:line="276" w:lineRule="auto"/>
              <w:jc w:val="both"/>
              <w:rPr>
                <w:rFonts w:ascii="Lustria" w:hAnsi="Lustria" w:eastAsia="Lustria" w:cs="Lustria"/>
                <w:color w:val="000000"/>
                <w:sz w:val="18"/>
                <w:szCs w:val="18"/>
              </w:rPr>
            </w:pPr>
          </w:p>
        </w:tc>
      </w:tr>
      <w:tr w14:paraId="0A6F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0" w:type="dxa"/>
        </w:trPr>
        <w:tc>
          <w:tcPr>
            <w:tcW w:w="2160" w:type="dxa"/>
            <w:tcBorders>
              <w:top w:val="single" w:color="000000" w:sz="4" w:space="0"/>
              <w:bottom w:val="single" w:color="000000" w:sz="4" w:space="0"/>
            </w:tcBorders>
          </w:tcPr>
          <w:p w14:paraId="04B137B2">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b/>
                <w:color w:val="000000"/>
                <w:sz w:val="36"/>
                <w:szCs w:val="36"/>
                <w:vertAlign w:val="subscript"/>
              </w:rPr>
            </w:pPr>
          </w:p>
          <w:p w14:paraId="1DB267A8">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b/>
                <w:color w:val="000000"/>
                <w:sz w:val="36"/>
                <w:szCs w:val="36"/>
                <w:vertAlign w:val="subscript"/>
              </w:rPr>
            </w:pPr>
          </w:p>
          <w:p w14:paraId="603F5027">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b/>
                <w:color w:val="000000"/>
                <w:sz w:val="36"/>
                <w:szCs w:val="36"/>
                <w:vertAlign w:val="subscript"/>
              </w:rPr>
            </w:pPr>
          </w:p>
          <w:p w14:paraId="77F2C3E1">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b/>
                <w:color w:val="000000"/>
                <w:sz w:val="36"/>
                <w:szCs w:val="36"/>
                <w:vertAlign w:val="subscript"/>
              </w:rPr>
            </w:pPr>
          </w:p>
          <w:p w14:paraId="3751752B">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b/>
                <w:color w:val="000000"/>
                <w:sz w:val="36"/>
                <w:szCs w:val="36"/>
                <w:vertAlign w:val="subscript"/>
              </w:rPr>
            </w:pPr>
          </w:p>
          <w:p w14:paraId="4B08B1C9">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b/>
                <w:color w:val="000000"/>
                <w:sz w:val="36"/>
                <w:szCs w:val="36"/>
                <w:vertAlign w:val="subscript"/>
              </w:rPr>
            </w:pPr>
          </w:p>
          <w:p w14:paraId="27994A95">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color w:val="000000"/>
                <w:sz w:val="36"/>
                <w:szCs w:val="36"/>
                <w:vertAlign w:val="subscript"/>
              </w:rPr>
            </w:pPr>
            <w:r>
              <w:rPr>
                <w:rFonts w:ascii="Lustria" w:hAnsi="Lustria" w:eastAsia="Lustria" w:cs="Lustria"/>
                <w:b/>
                <w:color w:val="000000"/>
                <w:sz w:val="36"/>
                <w:szCs w:val="36"/>
                <w:vertAlign w:val="subscript"/>
              </w:rPr>
              <w:t>INFO ARTIKEL</w:t>
            </w:r>
          </w:p>
          <w:p w14:paraId="3ECEF272">
            <w:pPr>
              <w:pBdr>
                <w:top w:val="none" w:color="auto" w:sz="0" w:space="0"/>
                <w:left w:val="none" w:color="auto" w:sz="0" w:space="0"/>
                <w:bottom w:val="none" w:color="auto" w:sz="0" w:space="0"/>
                <w:right w:val="none" w:color="auto" w:sz="0" w:space="0"/>
                <w:between w:val="none" w:color="auto" w:sz="0" w:space="0"/>
              </w:pBdr>
              <w:spacing w:line="276" w:lineRule="auto"/>
              <w:rPr>
                <w:rFonts w:ascii="Lustria" w:hAnsi="Lustria" w:eastAsia="Lustria" w:cs="Lustria"/>
                <w:color w:val="000000"/>
                <w:sz w:val="20"/>
                <w:szCs w:val="20"/>
              </w:rPr>
            </w:pPr>
            <w:r>
              <w:rPr>
                <w:rFonts w:ascii="Lustria" w:hAnsi="Lustria" w:eastAsia="Lustria" w:cs="Lustria"/>
                <w:color w:val="000000"/>
                <w:sz w:val="20"/>
                <w:szCs w:val="20"/>
              </w:rPr>
              <w:t>____________________</w:t>
            </w:r>
          </w:p>
          <w:p w14:paraId="2437E1B9">
            <w:pPr>
              <w:pBdr>
                <w:top w:val="none" w:color="auto" w:sz="0" w:space="0"/>
                <w:left w:val="none" w:color="auto" w:sz="0" w:space="0"/>
                <w:bottom w:val="none" w:color="auto" w:sz="0" w:space="0"/>
                <w:right w:val="none" w:color="auto" w:sz="0" w:space="0"/>
                <w:between w:val="none" w:color="auto" w:sz="0" w:space="0"/>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pPr>
              <w:pBdr>
                <w:top w:val="none" w:color="auto" w:sz="0" w:space="0"/>
                <w:left w:val="none" w:color="auto" w:sz="0" w:space="0"/>
                <w:bottom w:val="none" w:color="auto" w:sz="0" w:space="0"/>
                <w:right w:val="none" w:color="auto" w:sz="0" w:space="0"/>
                <w:between w:val="none" w:color="auto" w:sz="0" w:space="0"/>
              </w:pBdr>
              <w:rPr>
                <w:rFonts w:eastAsia="Times New Roman"/>
                <w:color w:val="000000"/>
                <w:sz w:val="36"/>
                <w:szCs w:val="36"/>
                <w:vertAlign w:val="subscript"/>
              </w:rPr>
            </w:pPr>
            <w:r>
              <w:rPr>
                <w:rFonts w:eastAsia="Times New Roman"/>
                <w:color w:val="000000"/>
                <w:sz w:val="36"/>
                <w:szCs w:val="36"/>
                <w:vertAlign w:val="subscript"/>
              </w:rPr>
              <w:t>Diterima: 00/11/2026</w:t>
            </w:r>
          </w:p>
          <w:p w14:paraId="0AA6DB8F">
            <w:pPr>
              <w:pBdr>
                <w:top w:val="none" w:color="auto" w:sz="0" w:space="0"/>
                <w:left w:val="none" w:color="auto" w:sz="0" w:space="0"/>
                <w:bottom w:val="none" w:color="auto" w:sz="0" w:space="0"/>
                <w:right w:val="none" w:color="auto" w:sz="0" w:space="0"/>
                <w:between w:val="none" w:color="auto" w:sz="0" w:space="0"/>
              </w:pBdr>
              <w:rPr>
                <w:rFonts w:eastAsia="Times New Roman"/>
                <w:color w:val="000000"/>
                <w:sz w:val="36"/>
                <w:szCs w:val="36"/>
                <w:vertAlign w:val="subscript"/>
              </w:rPr>
            </w:pPr>
            <w:r>
              <w:rPr>
                <w:rFonts w:eastAsia="Times New Roman"/>
                <w:color w:val="000000"/>
                <w:sz w:val="36"/>
                <w:szCs w:val="36"/>
                <w:vertAlign w:val="subscript"/>
              </w:rPr>
              <w:t>Direvisi: 11/01/2026</w:t>
            </w:r>
          </w:p>
          <w:p w14:paraId="3E41A8C8">
            <w:pPr>
              <w:pBdr>
                <w:top w:val="none" w:color="auto" w:sz="0" w:space="0"/>
                <w:left w:val="none" w:color="auto" w:sz="0" w:space="0"/>
                <w:bottom w:val="none" w:color="auto" w:sz="0" w:space="0"/>
                <w:right w:val="none" w:color="auto" w:sz="0" w:space="0"/>
                <w:between w:val="none" w:color="auto" w:sz="0" w:space="0"/>
              </w:pBdr>
              <w:rPr>
                <w:rFonts w:eastAsia="Times New Roman"/>
                <w:color w:val="000000"/>
                <w:sz w:val="33"/>
                <w:szCs w:val="33"/>
                <w:vertAlign w:val="subscript"/>
              </w:rPr>
            </w:pPr>
            <w:r>
              <w:rPr>
                <w:rFonts w:eastAsia="Times New Roman"/>
                <w:color w:val="000000"/>
                <w:sz w:val="33"/>
                <w:szCs w:val="33"/>
                <w:vertAlign w:val="subscript"/>
              </w:rPr>
              <w:t>Disetujui: 01/02/2026</w:t>
            </w:r>
          </w:p>
          <w:p w14:paraId="77F4E475">
            <w:pPr>
              <w:pBdr>
                <w:top w:val="none" w:color="auto" w:sz="0" w:space="0"/>
                <w:left w:val="none" w:color="auto" w:sz="0" w:space="0"/>
                <w:bottom w:val="none" w:color="auto" w:sz="0" w:space="0"/>
                <w:right w:val="none" w:color="auto" w:sz="0" w:space="0"/>
                <w:between w:val="none" w:color="auto" w:sz="0" w:space="0"/>
              </w:pBdr>
              <w:rPr>
                <w:rFonts w:eastAsia="Times New Roman"/>
                <w:color w:val="000000"/>
                <w:sz w:val="33"/>
                <w:szCs w:val="33"/>
                <w:vertAlign w:val="subscript"/>
              </w:rPr>
            </w:pPr>
            <w:r>
              <w:rPr>
                <w:rFonts w:eastAsia="Times New Roman"/>
                <w:color w:val="000000"/>
                <w:sz w:val="33"/>
                <w:szCs w:val="33"/>
                <w:vertAlign w:val="subscript"/>
              </w:rPr>
              <w:t>Dipublikasi: 28/01/2025</w:t>
            </w:r>
          </w:p>
          <w:p w14:paraId="08ED5A9D">
            <w:pPr>
              <w:pBdr>
                <w:top w:val="none" w:color="auto" w:sz="0" w:space="0"/>
                <w:left w:val="none" w:color="auto" w:sz="0" w:space="0"/>
                <w:bottom w:val="none" w:color="auto" w:sz="0" w:space="0"/>
                <w:right w:val="none" w:color="auto" w:sz="0" w:space="0"/>
                <w:between w:val="none" w:color="auto" w:sz="0" w:space="0"/>
              </w:pBdr>
              <w:spacing w:line="276" w:lineRule="auto"/>
              <w:rPr>
                <w:rFonts w:ascii="Lustria" w:hAnsi="Lustria" w:eastAsia="Lustria" w:cs="Lustria"/>
                <w:color w:val="000000"/>
                <w:sz w:val="16"/>
                <w:szCs w:val="16"/>
              </w:rPr>
            </w:pPr>
            <w:r>
              <w:rPr>
                <w:rFonts w:ascii="Lustria" w:hAnsi="Lustria" w:eastAsia="Lustria" w:cs="Lustria"/>
                <w:color w:val="000000"/>
                <w:sz w:val="16"/>
                <w:szCs w:val="16"/>
              </w:rPr>
              <w:t>_________________________</w:t>
            </w:r>
          </w:p>
          <w:p w14:paraId="14B9E120">
            <w:pPr>
              <w:pBdr>
                <w:top w:val="none" w:color="auto" w:sz="0" w:space="0"/>
                <w:left w:val="none" w:color="auto" w:sz="0" w:space="0"/>
                <w:bottom w:val="none" w:color="auto" w:sz="0" w:space="0"/>
                <w:right w:val="none" w:color="auto" w:sz="0" w:space="0"/>
                <w:between w:val="none" w:color="auto" w:sz="0" w:space="0"/>
              </w:pBdr>
              <w:spacing w:line="276" w:lineRule="auto"/>
              <w:rPr>
                <w:rFonts w:ascii="Lustria" w:hAnsi="Lustria" w:eastAsia="Lustria" w:cs="Lustria"/>
                <w:i/>
                <w:color w:val="000000"/>
                <w:sz w:val="16"/>
                <w:szCs w:val="16"/>
              </w:rPr>
            </w:pPr>
          </w:p>
        </w:tc>
        <w:tc>
          <w:tcPr>
            <w:tcW w:w="6629" w:type="dxa"/>
            <w:tcBorders>
              <w:top w:val="single" w:color="000000" w:sz="4" w:space="0"/>
              <w:bottom w:val="single" w:color="000000" w:sz="4" w:space="0"/>
            </w:tcBorders>
          </w:tcPr>
          <w:p w14:paraId="76F03BDC">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color w:val="000000"/>
              </w:rPr>
            </w:pPr>
            <w:r>
              <w:rPr>
                <w:rFonts w:ascii="Lustria" w:hAnsi="Lustria" w:eastAsia="Lustria" w:cs="Lustria"/>
                <w:b/>
                <w:color w:val="000000"/>
                <w:sz w:val="36"/>
                <w:szCs w:val="36"/>
                <w:vertAlign w:val="subscript"/>
              </w:rPr>
              <w:t>ABSTRAK</w:t>
            </w:r>
          </w:p>
          <w:p w14:paraId="3A146C76">
            <w:pPr>
              <w:pBdr>
                <w:top w:val="none" w:color="auto" w:sz="0" w:space="0"/>
                <w:left w:val="none" w:color="auto" w:sz="0" w:space="0"/>
                <w:bottom w:val="none" w:color="auto" w:sz="0" w:space="0"/>
                <w:right w:val="none" w:color="auto" w:sz="0" w:space="0"/>
                <w:between w:val="none" w:color="auto" w:sz="0" w:space="0"/>
              </w:pBdr>
              <w:jc w:val="both"/>
              <w:rPr>
                <w:rFonts w:ascii="Lustria" w:hAnsi="Lustria" w:eastAsia="Lustria" w:cs="Lustria"/>
                <w:color w:val="000000"/>
              </w:rPr>
            </w:pPr>
            <w:r>
              <w:rPr>
                <w:rFonts w:ascii="Lustria" w:hAnsi="Lustria" w:eastAsia="Lustria" w:cs="Lustria"/>
                <w:color w:val="000000"/>
                <w:sz w:val="20"/>
                <w:szCs w:val="20"/>
              </w:rPr>
              <w:t>_____________________________________________________________</w:t>
            </w:r>
            <w:r>
              <w:rPr>
                <w:rFonts w:hint="default" w:ascii="Lustria" w:hAnsi="Lustria" w:eastAsia="Lustria" w:cs="Lustria"/>
                <w:color w:val="000000"/>
                <w:sz w:val="20"/>
                <w:szCs w:val="20"/>
                <w:lang w:val="en-US"/>
              </w:rPr>
              <w:t>___________________________</w:t>
            </w:r>
            <w:r>
              <w:rPr>
                <w:sz w:val="22"/>
                <w:szCs w:val="22"/>
                <w:shd w:val="clear" w:color="auto" w:fill="FFFFFF"/>
              </w:rPr>
              <w:t xml:space="preserve"> Penelitian ini bertujuan menafsirkan Roma 13:1–7 untuk menemukan dasar etika politik Paulus tentang ketaatan orang percaya kepada pemerintah serta relevansinya bagi konteks Indonesia. Teks ini penting karena sering digunakan dalam perdebatan politik, baik untuk menekankan ketaatan maupun sebagai legitimasi kekuasaan. Metode penelitian yang digunakan adalah kualitatif dengan pendekatan eksegesis, meliputi analisis historis, gramatikal, dan teologis. Melalui kajian ini ditemukan bahwa pemerintah dipahami Paulus sebagai lembaga yang berasal dan ditetapkan oleh Allah, sehingga orang percaya dipanggil untuk tunduk sebagai wujud ketaatan kepada-Nya. Melawan pemerintah berarti melawan Allah dan mendatangkan hukuman. Namun, ketaatan tidak boleh didasarkan hanya pada rasa takut, melainkan juga hati nurani yang tertuju pada Allah. Hasil penelitian menegaskan bahwa etika politik Paulus menuntut orang Kristen taat, menjalankan kewajiban sipil, serta tetap kritis ketika pemerintah bertentangan dengan kehendak Allah.</w:t>
            </w:r>
          </w:p>
          <w:p w14:paraId="1D3E9357">
            <w:pPr>
              <w:pBdr>
                <w:top w:val="none" w:color="auto" w:sz="0" w:space="0"/>
                <w:left w:val="none" w:color="auto" w:sz="0" w:space="0"/>
                <w:bottom w:val="none" w:color="auto" w:sz="0" w:space="0"/>
                <w:right w:val="none" w:color="auto" w:sz="0" w:space="0"/>
                <w:between w:val="none" w:color="auto" w:sz="0" w:space="0"/>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w:t>
            </w:r>
          </w:p>
          <w:p w14:paraId="04A73A90">
            <w:pPr>
              <w:pBdr>
                <w:top w:val="none" w:color="auto" w:sz="0" w:space="0"/>
                <w:left w:val="none" w:color="auto" w:sz="0" w:space="0"/>
                <w:bottom w:val="none" w:color="auto" w:sz="0" w:space="0"/>
                <w:right w:val="none" w:color="auto" w:sz="0" w:space="0"/>
                <w:between w:val="none" w:color="auto" w:sz="0" w:space="0"/>
              </w:pBdr>
              <w:rPr>
                <w:rFonts w:eastAsia="Times New Roman"/>
                <w:b/>
                <w:i/>
                <w:color w:val="000000"/>
                <w:sz w:val="22"/>
                <w:szCs w:val="22"/>
              </w:rPr>
            </w:pPr>
            <w:r>
              <w:rPr>
                <w:rFonts w:eastAsia="Times New Roman"/>
                <w:b/>
                <w:i/>
                <w:color w:val="000000"/>
                <w:sz w:val="22"/>
                <w:szCs w:val="22"/>
              </w:rPr>
              <w:t>Kata Kunci:</w:t>
            </w:r>
          </w:p>
          <w:p w14:paraId="1E7E6481">
            <w:pPr>
              <w:pBdr>
                <w:top w:val="none" w:color="auto" w:sz="0" w:space="0"/>
                <w:left w:val="none" w:color="auto" w:sz="0" w:space="0"/>
                <w:bottom w:val="none" w:color="auto" w:sz="0" w:space="0"/>
                <w:right w:val="none" w:color="auto" w:sz="0" w:space="0"/>
                <w:between w:val="none" w:color="auto" w:sz="0" w:space="0"/>
              </w:pBdr>
              <w:rPr>
                <w:rFonts w:eastAsia="Times New Roman"/>
                <w:i/>
                <w:color w:val="000000"/>
                <w:sz w:val="22"/>
                <w:szCs w:val="22"/>
              </w:rPr>
            </w:pPr>
            <w:r>
              <w:rPr>
                <w:rFonts w:eastAsia="Times New Roman"/>
                <w:color w:val="000000"/>
                <w:sz w:val="22"/>
                <w:szCs w:val="22"/>
              </w:rPr>
              <w:t>Etika Politik, Roma 13:1–7, Ketaatan kepada Pemerintah, Hati Nurani, Kedaulatan Allah</w:t>
            </w:r>
            <w:r>
              <w:rPr>
                <w:rFonts w:eastAsia="Times New Roman"/>
                <w:i/>
                <w:color w:val="000000"/>
                <w:sz w:val="22"/>
                <w:szCs w:val="22"/>
              </w:rPr>
              <w:t>.</w:t>
            </w:r>
          </w:p>
          <w:p w14:paraId="185E54D8">
            <w:pPr>
              <w:pBdr>
                <w:top w:val="none" w:color="auto" w:sz="0" w:space="0"/>
                <w:left w:val="none" w:color="auto" w:sz="0" w:space="0"/>
                <w:bottom w:val="none" w:color="auto" w:sz="0" w:space="0"/>
                <w:right w:val="none" w:color="auto" w:sz="0" w:space="0"/>
                <w:between w:val="none" w:color="auto" w:sz="0" w:space="0"/>
              </w:pBdr>
              <w:rPr>
                <w:rFonts w:eastAsia="Times New Roman"/>
                <w:color w:val="000000"/>
                <w:sz w:val="22"/>
                <w:szCs w:val="22"/>
              </w:rPr>
            </w:pPr>
            <w:r>
              <w:rPr>
                <w:rFonts w:eastAsia="Times New Roman"/>
                <w:color w:val="000000"/>
                <w:sz w:val="22"/>
                <w:szCs w:val="22"/>
              </w:rPr>
              <w:t>___________________________________________________________</w:t>
            </w:r>
          </w:p>
          <w:p w14:paraId="75E9998A">
            <w:pPr>
              <w:pBdr>
                <w:top w:val="none" w:color="auto" w:sz="0" w:space="0"/>
                <w:left w:val="none" w:color="auto" w:sz="0" w:space="0"/>
                <w:bottom w:val="none" w:color="auto" w:sz="0" w:space="0"/>
                <w:right w:val="none" w:color="auto" w:sz="0" w:space="0"/>
                <w:between w:val="none" w:color="auto" w:sz="0" w:space="0"/>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pPr>
              <w:pBdr>
                <w:top w:val="none" w:color="auto" w:sz="0" w:space="0"/>
                <w:left w:val="none" w:color="auto" w:sz="0" w:space="0"/>
                <w:bottom w:val="none" w:color="auto" w:sz="0" w:space="0"/>
                <w:right w:val="none" w:color="auto" w:sz="0" w:space="0"/>
                <w:between w:val="none" w:color="auto" w:sz="0" w:space="0"/>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A2090B4">
            <w:pPr>
              <w:pStyle w:val="23"/>
              <w:spacing w:before="0" w:beforeAutospacing="0" w:after="0" w:afterAutospacing="0"/>
              <w:jc w:val="both"/>
              <w:rPr>
                <w:sz w:val="22"/>
                <w:szCs w:val="22"/>
              </w:rPr>
            </w:pPr>
            <w:r>
              <w:rPr>
                <w:sz w:val="22"/>
                <w:szCs w:val="22"/>
              </w:rPr>
              <w:t>This study aims to interpret Romans 13:1–7 to discover the basis of Paul's political ethics regarding believers' obedience to the government and its relevance to the Indonesian context. This text is important because it is often used in political debates, both to emphasize obedience and to legitimize power. The research method used is qualitative with an exegetical approach, including historical, grammatical, and theological analysis. Through this study, it was found that Paul understood the government as an institution that originated from and was established by God, so that believers were called to submit as a form of obedience to Him. Resisting the government means resisting God and bringing punishment upon oneself. However, obedience should not be based solely on fear, but also on a conscience that is focused on God. The results of the study confirm that Paul's political ethics require Christians to be obedient, fulfill their civic duties, and remain critical when the government conflicts with God's will.</w:t>
            </w:r>
          </w:p>
          <w:p w14:paraId="61514CC2">
            <w:pPr>
              <w:pStyle w:val="23"/>
              <w:spacing w:before="0" w:beforeAutospacing="0" w:after="0" w:afterAutospacing="0"/>
              <w:jc w:val="both"/>
              <w:rPr>
                <w:sz w:val="22"/>
                <w:szCs w:val="22"/>
              </w:rPr>
            </w:pPr>
            <w:r>
              <w:rPr>
                <w:i/>
                <w:color w:val="000000"/>
                <w:sz w:val="22"/>
                <w:szCs w:val="22"/>
              </w:rPr>
              <w:t>________________________________________</w:t>
            </w:r>
          </w:p>
          <w:p w14:paraId="06FAA9F6">
            <w:pPr>
              <w:pBdr>
                <w:top w:val="none" w:color="auto" w:sz="0" w:space="0"/>
                <w:left w:val="none" w:color="auto" w:sz="0" w:space="0"/>
                <w:bottom w:val="none" w:color="auto" w:sz="0" w:space="0"/>
                <w:right w:val="none" w:color="auto" w:sz="0" w:space="0"/>
                <w:between w:val="none" w:color="auto" w:sz="0" w:space="0"/>
              </w:pBdr>
              <w:rPr>
                <w:rFonts w:eastAsia="Times New Roman"/>
                <w:b/>
                <w:i/>
                <w:color w:val="000000"/>
                <w:sz w:val="22"/>
                <w:szCs w:val="22"/>
              </w:rPr>
            </w:pPr>
            <w:r>
              <w:rPr>
                <w:rFonts w:eastAsia="Times New Roman"/>
                <w:b/>
                <w:i/>
                <w:color w:val="000000"/>
                <w:sz w:val="22"/>
                <w:szCs w:val="22"/>
              </w:rPr>
              <w:t>Keywords:</w:t>
            </w:r>
          </w:p>
          <w:p w14:paraId="7A1C1A60">
            <w:pPr>
              <w:pBdr>
                <w:top w:val="none" w:color="auto" w:sz="0" w:space="0"/>
                <w:left w:val="none" w:color="auto" w:sz="0" w:space="0"/>
                <w:bottom w:val="none" w:color="auto" w:sz="0" w:space="0"/>
                <w:right w:val="none" w:color="auto" w:sz="0" w:space="0"/>
                <w:between w:val="none" w:color="auto" w:sz="0" w:space="0"/>
              </w:pBdr>
              <w:rPr>
                <w:rFonts w:ascii="Lustria" w:hAnsi="Lustria" w:eastAsia="Lustria" w:cs="Lustria"/>
                <w:color w:val="000000"/>
                <w:sz w:val="16"/>
                <w:szCs w:val="16"/>
              </w:rPr>
            </w:pPr>
            <w:r>
              <w:rPr>
                <w:rFonts w:eastAsia="Times New Roman"/>
                <w:color w:val="000000"/>
                <w:sz w:val="22"/>
                <w:szCs w:val="22"/>
              </w:rPr>
              <w:t>Political Ethics, Romans 13:1–7, Obedience to Government, Conscience, God's Sovereignty ___________________________________________________________</w:t>
            </w:r>
          </w:p>
          <w:p w14:paraId="232CD83A">
            <w:pPr>
              <w:pBdr>
                <w:top w:val="none" w:color="auto" w:sz="0" w:space="0"/>
                <w:left w:val="none" w:color="auto" w:sz="0" w:space="0"/>
                <w:bottom w:val="none" w:color="auto" w:sz="0" w:space="0"/>
                <w:right w:val="none" w:color="auto" w:sz="0" w:space="0"/>
                <w:between w:val="none" w:color="auto" w:sz="0" w:space="0"/>
              </w:pBdr>
              <w:jc w:val="both"/>
              <w:rPr>
                <w:rFonts w:ascii="EB Garamond" w:hAnsi="EB Garamond" w:eastAsia="EB Garamond" w:cs="EB Garamond"/>
                <w:color w:val="000000"/>
                <w:sz w:val="20"/>
                <w:szCs w:val="20"/>
              </w:rPr>
            </w:pPr>
          </w:p>
        </w:tc>
      </w:tr>
    </w:tbl>
    <w:p w14:paraId="14CC9767">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Lustria" w:hAnsi="Lustria" w:eastAsia="Lustria" w:cs="Lustria"/>
          <w:color w:val="000000"/>
          <w:sz w:val="16"/>
          <w:szCs w:val="16"/>
        </w:rPr>
      </w:pPr>
    </w:p>
    <w:p w14:paraId="77C0EAB4">
      <w:pPr>
        <w:rPr>
          <w:b/>
          <w:bCs/>
        </w:rPr>
      </w:pPr>
      <w:r>
        <w:rPr>
          <w:b/>
          <w:bCs/>
        </w:rPr>
        <w:t>PENDAHULUAN</w:t>
      </w:r>
    </w:p>
    <w:p w14:paraId="1ED8BB6C">
      <w:pPr>
        <w:spacing w:after="0" w:line="240" w:lineRule="auto"/>
        <w:ind w:left="0" w:leftChars="0" w:firstLine="720" w:firstLineChars="0"/>
        <w:jc w:val="both"/>
        <w:rPr>
          <w:rFonts w:ascii="Times New Roman" w:hAnsi="Times New Roman" w:cs="Times New Roman"/>
          <w:sz w:val="24"/>
          <w:szCs w:val="24"/>
        </w:rPr>
      </w:pPr>
      <w:r>
        <w:rPr>
          <w:rFonts w:hint="default" w:cs="Times New Roman"/>
          <w:sz w:val="24"/>
          <w:szCs w:val="24"/>
          <w:lang w:val="en-US"/>
        </w:rPr>
        <w:t>Urgensi penelitian ini terletak pada beberapa hal</w:t>
      </w:r>
      <w:r>
        <w:rPr>
          <w:rFonts w:ascii="Times New Roman" w:hAnsi="Times New Roman" w:cs="Times New Roman"/>
          <w:sz w:val="24"/>
          <w:szCs w:val="24"/>
        </w:rPr>
        <w:t xml:space="preserve"> yakni: Pertama, terhadap Roma 13:1-7 terdapat perbedaan interpretasi berkaitan dengan sikap orang percaya untuk takluk kepada pemerintah. Rasul Paulus menuliskan dalam teks tersebut bahwa setiap</w:t>
      </w:r>
      <w:r>
        <w:rPr>
          <w:rFonts w:ascii="Times New Roman" w:hAnsi="Times New Roman" w:cs="Times New Roman"/>
          <w:color w:val="0070C0"/>
          <w:sz w:val="24"/>
          <w:szCs w:val="24"/>
        </w:rPr>
        <w:t xml:space="preserve"> </w:t>
      </w:r>
      <w:r>
        <w:rPr>
          <w:rFonts w:ascii="Times New Roman" w:hAnsi="Times New Roman" w:cs="Times New Roman"/>
          <w:sz w:val="24"/>
          <w:szCs w:val="24"/>
        </w:rPr>
        <w:t>orang harus tunduk kepada pemerintah. Manfred T. Brauch memberikan pernyataan bahwa teks ini tidak bisa dipahami secara sepihak, melainkan harus ditempatkan bersamaan dengan ketaatan kepada Allah.</w:t>
      </w:r>
      <w:r>
        <w:rPr>
          <w:rStyle w:val="19"/>
          <w:rFonts w:ascii="Times New Roman" w:hAnsi="Times New Roman" w:cs="Times New Roman"/>
          <w:sz w:val="24"/>
          <w:szCs w:val="24"/>
        </w:rPr>
        <w:footnoteReference w:id="0"/>
      </w:r>
      <w:r>
        <w:rPr>
          <w:rFonts w:ascii="Times New Roman" w:hAnsi="Times New Roman" w:cs="Times New Roman"/>
          <w:sz w:val="24"/>
          <w:szCs w:val="24"/>
        </w:rPr>
        <w:t xml:space="preserve">  Pemerintah hadir sebagai pelaksana perintah Allah agar kehidupan masyarakat tidak menjadi kacau. Karena itu, bagi Brauch kepatuhan kepada pemerintah selaras dengan ketaatan kepada Allah.</w:t>
      </w:r>
      <w:bookmarkStart w:id="2" w:name="_GoBack"/>
      <w:bookmarkEnd w:id="2"/>
    </w:p>
    <w:p w14:paraId="7B9AD5C1">
      <w:pPr>
        <w:spacing w:after="0" w:line="240" w:lineRule="auto"/>
        <w:ind w:left="0" w:leftChars="0" w:firstLine="720" w:firstLineChars="0"/>
        <w:jc w:val="both"/>
        <w:rPr>
          <w:rFonts w:ascii="Times New Roman" w:hAnsi="Times New Roman" w:cs="Times New Roman"/>
          <w:sz w:val="24"/>
          <w:szCs w:val="24"/>
        </w:rPr>
      </w:pPr>
      <w:r>
        <w:rPr>
          <w:rFonts w:ascii="Times New Roman" w:hAnsi="Times New Roman" w:cs="Times New Roman"/>
          <w:sz w:val="24"/>
          <w:szCs w:val="24"/>
        </w:rPr>
        <w:t>Berbeda denngan Brauch, Stanley berpendapat bahwa ketundukan kepada pemerintah tidak secara mutlak. Stanley memberikan pandangan Roma 13:1-7 yaitu orang-orang Kristen harus takluk kepada pemerintah dengan menuruti segala aturan yang ada tetapi tidak patuh secara sepenuhnya. Pemerintah memang lebih tinggi dari warga biasa, namun pemerintah bukan sebagai penguasa tertinggi melainkan Allah.</w:t>
      </w:r>
      <w:r>
        <w:rPr>
          <w:rStyle w:val="19"/>
          <w:rFonts w:ascii="Times New Roman" w:hAnsi="Times New Roman" w:cs="Times New Roman"/>
          <w:sz w:val="24"/>
          <w:szCs w:val="24"/>
        </w:rPr>
        <w:footnoteReference w:id="1"/>
      </w:r>
      <w:r>
        <w:rPr>
          <w:rFonts w:ascii="Times New Roman" w:hAnsi="Times New Roman" w:cs="Times New Roman"/>
          <w:sz w:val="24"/>
          <w:szCs w:val="24"/>
        </w:rPr>
        <w:t xml:space="preserve"> Dengan demikian, bagi Stanley ketundukan kepada pemerintah tidak bersifat mutlak. Berdasarkan kedua pandangan tersebut mengenai takluk kepada pemerintah dalam teks Roma 13:1-7 tidak boleh dipahami secara harafiah sebagai ketundukan tanpa adanya nalar yang kritis kepada pemerintah. Namun, perspektif yang tersedia belum memberikan posisi yang jelas terkait etika politik Kekristenan berdasarkan teks Roma 13:1-7. </w:t>
      </w:r>
    </w:p>
    <w:p w14:paraId="7E073DCD">
      <w:pPr>
        <w:spacing w:after="0" w:line="240" w:lineRule="auto"/>
        <w:ind w:left="0" w:leftChars="0" w:firstLine="720" w:firstLineChars="0"/>
        <w:jc w:val="both"/>
        <w:rPr>
          <w:rFonts w:ascii="Times New Roman" w:hAnsi="Times New Roman" w:cs="Times New Roman"/>
          <w:sz w:val="24"/>
          <w:szCs w:val="24"/>
        </w:rPr>
      </w:pPr>
      <w:r>
        <w:rPr>
          <w:rFonts w:ascii="Times New Roman" w:hAnsi="Times New Roman" w:cs="Times New Roman"/>
          <w:sz w:val="24"/>
          <w:szCs w:val="24"/>
        </w:rPr>
        <w:t>Paulus menuliskan surat Roma 13:1-7 berkaitan dengan ketaatan umat Kristen terhadap pemerintah Roma yang pada saat itu Kaisar Nero sebagai pemimpinnya. Nero dikenal sebagai kaisar yang begitu kejam bagi orang Kristen. Ada begitu banyak orang Kristen di Roma mendapat siksaan dan dibunuh olehnya. Pada ayat pertama Paulus memberikan pernyataan dalam suratnya untuk mematuhi pemerintahan Romawi dan hal tersebut merupakan suatu keharusan diperuntukan kepada orang Kristen karena masih terikat secara hukum bilamana terjadi pembangkangan terhadap pemerintah akan mendapat hukuman.</w:t>
      </w:r>
      <w:r>
        <w:rPr>
          <w:rStyle w:val="19"/>
          <w:rFonts w:ascii="Times New Roman" w:hAnsi="Times New Roman" w:cs="Times New Roman"/>
          <w:sz w:val="24"/>
          <w:szCs w:val="24"/>
        </w:rPr>
        <w:footnoteReference w:id="2"/>
      </w:r>
      <w:r>
        <w:rPr>
          <w:rFonts w:ascii="Times New Roman" w:hAnsi="Times New Roman" w:cs="Times New Roman"/>
          <w:sz w:val="24"/>
          <w:szCs w:val="24"/>
        </w:rPr>
        <w:t xml:space="preserve"> Di tengah-tengah kondisi sulit yang dialami oleh orang Kristen mendapat penindasan dari kaisar Roma malah Paulus memberi perintah kepada orang Kristen untuk tunduk kepada pemerintah saat itu.</w:t>
      </w:r>
    </w:p>
    <w:p w14:paraId="76DAE8DD">
      <w:pPr>
        <w:spacing w:after="0" w:line="240" w:lineRule="auto"/>
        <w:ind w:left="0" w:leftChars="0" w:firstLine="720" w:firstLineChars="0"/>
        <w:jc w:val="both"/>
        <w:rPr>
          <w:rFonts w:ascii="Times New Roman" w:hAnsi="Times New Roman" w:cs="Times New Roman"/>
          <w:sz w:val="24"/>
          <w:szCs w:val="24"/>
        </w:rPr>
      </w:pPr>
      <w:r>
        <w:rPr>
          <w:rFonts w:ascii="Times New Roman" w:hAnsi="Times New Roman" w:cs="Times New Roman"/>
          <w:sz w:val="24"/>
          <w:szCs w:val="24"/>
        </w:rPr>
        <w:t>Kedua, adanya perbedaan sikap etika politik terhadap pemerintah, di antara orang Kristen, yang kadang-kadang bisa membingungkan bagi sebagian orang percaya: Yang benar yang mana? Mau ikut yang mana?”</w:t>
      </w:r>
      <w:r>
        <w:rPr>
          <w:rFonts w:ascii="Times New Roman" w:hAnsi="Times New Roman" w:cs="Times New Roman"/>
          <w:color w:val="0070C0"/>
          <w:sz w:val="24"/>
          <w:szCs w:val="24"/>
        </w:rPr>
        <w:t xml:space="preserve"> </w:t>
      </w:r>
      <w:r>
        <w:rPr>
          <w:rFonts w:ascii="Times New Roman" w:hAnsi="Times New Roman" w:cs="Times New Roman"/>
          <w:sz w:val="24"/>
          <w:szCs w:val="24"/>
        </w:rPr>
        <w:t>Memang, orang Kristen mempunyai dua kewarganegaraan, pertama sebagai warga negara surga, dan kedua sebagai warga negara dunia. Dalam Kitab Perjanjian Baru, Land berpendapat bahwa Kekristenan memiliki dua realita kewarganegaraan, dunia dan rohani</w:t>
      </w:r>
      <w:r>
        <w:rPr>
          <w:rFonts w:ascii="Times New Roman" w:hAnsi="Times New Roman" w:cs="Times New Roman"/>
          <w:i/>
          <w:iCs/>
          <w:sz w:val="24"/>
          <w:szCs w:val="24"/>
        </w:rPr>
        <w:t>.</w:t>
      </w:r>
      <w:r>
        <w:rPr>
          <w:rStyle w:val="19"/>
          <w:rFonts w:ascii="Times New Roman" w:hAnsi="Times New Roman" w:cs="Times New Roman"/>
          <w:i/>
          <w:iCs/>
          <w:sz w:val="24"/>
          <w:szCs w:val="24"/>
        </w:rPr>
        <w:footnoteReference w:id="3"/>
      </w:r>
      <w:r>
        <w:rPr>
          <w:rFonts w:ascii="Times New Roman" w:hAnsi="Times New Roman" w:cs="Times New Roman"/>
          <w:sz w:val="24"/>
          <w:szCs w:val="24"/>
        </w:rPr>
        <w:t xml:space="preserve"> Orang Kristen dapat melihat ini kepada pribadi Kristus yang berfokus pada Bapa namun hadir juga secara utuh di tengah-tengah dunia ini.</w:t>
      </w:r>
      <w:r>
        <w:rPr>
          <w:rStyle w:val="19"/>
          <w:rFonts w:ascii="Times New Roman" w:hAnsi="Times New Roman" w:cs="Times New Roman"/>
          <w:sz w:val="24"/>
          <w:szCs w:val="24"/>
        </w:rPr>
        <w:footnoteReference w:id="4"/>
      </w:r>
      <w:r>
        <w:rPr>
          <w:rFonts w:ascii="Times New Roman" w:hAnsi="Times New Roman" w:cs="Times New Roman"/>
          <w:sz w:val="24"/>
          <w:szCs w:val="24"/>
        </w:rPr>
        <w:t xml:space="preserve"> Kedatanagan Kristus di dunia memberikan gambaran jelas bagaimana sikap kekristenan yang hidup di bawah pemerintah dunia sampai masuk pada zaman modern ini.</w:t>
      </w:r>
    </w:p>
    <w:p w14:paraId="47246F2E">
      <w:pPr>
        <w:spacing w:after="0" w:line="240" w:lineRule="auto"/>
        <w:ind w:left="0" w:leftChars="0" w:firstLine="720" w:firstLineChars="0"/>
        <w:jc w:val="both"/>
        <w:rPr>
          <w:rFonts w:ascii="Times New Roman" w:hAnsi="Times New Roman" w:cs="Times New Roman"/>
          <w:sz w:val="24"/>
          <w:szCs w:val="24"/>
        </w:rPr>
      </w:pPr>
      <w:r>
        <w:rPr>
          <w:rFonts w:ascii="Times New Roman" w:hAnsi="Times New Roman" w:cs="Times New Roman"/>
          <w:sz w:val="24"/>
          <w:szCs w:val="24"/>
        </w:rPr>
        <w:t>Dewasa ini, terdapat model-model politik yang dianggap relevan dengan konteks yang ada. Menurut J. Phillip Wogaman menyatakan ada beberapa variasi dari model tersebut seperti model pemisahan ketat, agama sipil, transformasi dan pembebasan. Pertama</w:t>
      </w:r>
      <w:r>
        <w:rPr>
          <w:rFonts w:ascii="Times New Roman" w:hAnsi="Times New Roman" w:cs="Times New Roman"/>
          <w:i/>
          <w:iCs/>
          <w:sz w:val="24"/>
          <w:szCs w:val="24"/>
        </w:rPr>
        <w:t xml:space="preserve">, </w:t>
      </w:r>
      <w:r>
        <w:rPr>
          <w:rFonts w:ascii="Times New Roman" w:hAnsi="Times New Roman" w:cs="Times New Roman"/>
          <w:sz w:val="24"/>
          <w:szCs w:val="24"/>
        </w:rPr>
        <w:t xml:space="preserve">model pemisahan ketat menempatkan orang Kristen berada pada posisi yang tidak memiliki peranan politik. Mereka tidak dapat melakukan apa-apa yang akibat kepada </w:t>
      </w:r>
      <w:r>
        <w:rPr>
          <w:rFonts w:ascii="Times New Roman" w:hAnsi="Times New Roman" w:cs="Times New Roman"/>
          <w:i/>
          <w:iCs/>
          <w:sz w:val="24"/>
          <w:szCs w:val="24"/>
        </w:rPr>
        <w:t>status quo</w:t>
      </w:r>
      <w:r>
        <w:rPr>
          <w:rFonts w:ascii="Times New Roman" w:hAnsi="Times New Roman" w:cs="Times New Roman"/>
          <w:sz w:val="24"/>
          <w:szCs w:val="24"/>
        </w:rPr>
        <w:t xml:space="preserve"> secara politis maupun sosial. Mereka menunjukan sikap pasif terhadap pemerintah. Kedua,</w:t>
      </w:r>
      <w:r>
        <w:rPr>
          <w:rFonts w:ascii="Times New Roman" w:hAnsi="Times New Roman" w:cs="Times New Roman"/>
          <w:i/>
          <w:iCs/>
          <w:sz w:val="24"/>
          <w:szCs w:val="24"/>
        </w:rPr>
        <w:t xml:space="preserve"> </w:t>
      </w:r>
      <w:r>
        <w:rPr>
          <w:rFonts w:ascii="Times New Roman" w:hAnsi="Times New Roman" w:cs="Times New Roman"/>
          <w:sz w:val="24"/>
          <w:szCs w:val="24"/>
        </w:rPr>
        <w:t>model agama sipil merupakan model yang menempatkan agama berada pada posisi yang dikuasai oleh pemerintah dan ideologi tertentu, sehingga berdampak bagi orang Kristen bertindak sangat terbatas dalam menerima segala bentuk kebijakan yang ada dengan cara pasif. Ketiga</w:t>
      </w:r>
      <w:r>
        <w:rPr>
          <w:rFonts w:ascii="Times New Roman" w:hAnsi="Times New Roman" w:cs="Times New Roman"/>
          <w:i/>
          <w:iCs/>
          <w:sz w:val="24"/>
          <w:szCs w:val="24"/>
        </w:rPr>
        <w:t xml:space="preserve">, </w:t>
      </w:r>
      <w:r>
        <w:rPr>
          <w:rFonts w:ascii="Times New Roman" w:hAnsi="Times New Roman" w:cs="Times New Roman"/>
          <w:sz w:val="24"/>
          <w:szCs w:val="24"/>
        </w:rPr>
        <w:t>model transformasi yang menempatkan orang Kristen itu berperan secara aktif terhadap perubahan politis dan pembaharuan sosial, selain itu juga mewaspadai bahaya pluralisme dan sekulerisme. Keempat</w:t>
      </w:r>
      <w:r>
        <w:rPr>
          <w:rFonts w:ascii="Times New Roman" w:hAnsi="Times New Roman" w:cs="Times New Roman"/>
          <w:i/>
          <w:iCs/>
          <w:sz w:val="24"/>
          <w:szCs w:val="24"/>
        </w:rPr>
        <w:t>,</w:t>
      </w:r>
      <w:r>
        <w:rPr>
          <w:rFonts w:ascii="Times New Roman" w:hAnsi="Times New Roman" w:cs="Times New Roman"/>
          <w:sz w:val="24"/>
          <w:szCs w:val="24"/>
        </w:rPr>
        <w:t xml:space="preserve"> model pembebasan yang menekankan pembebasan baik secara sosial maupun politik yang bersifat revolusioner.</w:t>
      </w:r>
      <w:r>
        <w:rPr>
          <w:rStyle w:val="19"/>
          <w:rFonts w:ascii="Times New Roman" w:hAnsi="Times New Roman" w:cs="Times New Roman"/>
          <w:sz w:val="24"/>
          <w:szCs w:val="24"/>
        </w:rPr>
        <w:footnoteReference w:id="5"/>
      </w:r>
      <w:r>
        <w:rPr>
          <w:rFonts w:ascii="Times New Roman" w:hAnsi="Times New Roman" w:cs="Times New Roman"/>
          <w:sz w:val="24"/>
          <w:szCs w:val="24"/>
        </w:rPr>
        <w:t xml:space="preserve"> Setiap model menghasilkan tindakan yang berbeda sehingga terlihat tidak adanya konsistensi pada sikap politik dalam Kekristenan.</w:t>
      </w:r>
    </w:p>
    <w:p w14:paraId="5BCA0C27">
      <w:pPr>
        <w:spacing w:after="0" w:line="240" w:lineRule="auto"/>
        <w:ind w:left="0" w:leftChars="0" w:firstLine="720" w:firstLineChars="0"/>
        <w:jc w:val="both"/>
        <w:rPr>
          <w:rFonts w:ascii="Times New Roman" w:hAnsi="Times New Roman" w:cs="Times New Roman"/>
          <w:sz w:val="24"/>
          <w:szCs w:val="24"/>
        </w:rPr>
      </w:pPr>
      <w:r>
        <w:rPr>
          <w:rFonts w:ascii="Times New Roman" w:hAnsi="Times New Roman" w:cs="Times New Roman"/>
          <w:sz w:val="24"/>
          <w:szCs w:val="24"/>
        </w:rPr>
        <w:t>Banyaknya sikap politik Kekristenan juga dapat dilihat dari pandangan-pandangan yang tersedia mengenai topik tersebut. Terdapat beberapa perspektif yang memandang Kekristenan harus tunduk kepada pemerintah secara absolut. Zaluchu mengutip perkataan dari Norman Geisler menjelaskan bahwa terdapat kalangan Radikal Patriotisme yang menekankan setiap orang Kristen harus tunduk.</w:t>
      </w:r>
      <w:r>
        <w:rPr>
          <w:rFonts w:ascii="Times New Roman" w:hAnsi="Times New Roman" w:cs="Times New Roman"/>
          <w:sz w:val="24"/>
          <w:szCs w:val="24"/>
          <w:vertAlign w:val="superscript"/>
        </w:rPr>
        <w:footnoteReference w:id="6"/>
      </w:r>
      <w:r>
        <w:rPr>
          <w:rFonts w:ascii="Times New Roman" w:hAnsi="Times New Roman" w:cs="Times New Roman"/>
          <w:sz w:val="24"/>
          <w:szCs w:val="24"/>
          <w:vertAlign w:val="superscript"/>
        </w:rPr>
        <w:t xml:space="preserve">   </w:t>
      </w:r>
      <w:r>
        <w:rPr>
          <w:rFonts w:ascii="Times New Roman" w:hAnsi="Times New Roman" w:cs="Times New Roman"/>
          <w:sz w:val="24"/>
          <w:szCs w:val="24"/>
        </w:rPr>
        <w:t>Pemerintah berhak untuk mendapatkan ketaatan secara total dan tanpa keraguan.  Pada sisi lain, para rasul terlihat seakan-akan bertindak sebagai melawan ketetapan-ketetapan Kaisar (Kis. 17:6-7). Selain itu, ketika para pemimpin Mahkamah Agama Yahudi melarang Petrus dan Yohanes untuk tidak memberitakan dan mengajar nama Yesus, Petrus menegaskan bahwa ia lebih memilih untuk taat kepada Allah daripada taat kepada larangan tersebut (Kis. 4:18-19). Seperti para rasul, Kristus juga pernah menentang pernyataan penguasa pada masa hidupnya. Stam menyatakan bahwa Yesus tidak menggangap semua penguasa hukum dan pemerintah adalah sebagai penyalur kehendak Allah yang terakhir. Terdapat perlawanan terhadap sistem, perombakan situasi, dan penentangan terhadap pernyataan para penguasa tentang kebenaran dalam tindakan-tindakan Yesus.</w:t>
      </w:r>
      <w:r>
        <w:rPr>
          <w:rStyle w:val="19"/>
          <w:rFonts w:ascii="Times New Roman" w:hAnsi="Times New Roman" w:cs="Times New Roman"/>
          <w:sz w:val="24"/>
          <w:szCs w:val="24"/>
        </w:rPr>
        <w:footnoteReference w:id="7"/>
      </w:r>
      <w:r>
        <w:rPr>
          <w:rFonts w:ascii="Times New Roman" w:hAnsi="Times New Roman" w:cs="Times New Roman"/>
          <w:sz w:val="24"/>
          <w:szCs w:val="24"/>
        </w:rPr>
        <w:t xml:space="preserve"> Yesus menunjukan perbedaan sikap kepada pemerintah sesuai dengan konteks yang dihadapi-Nya. Situasi tersebut memperlihatkan pertentangan dalam sikap politik yang ada pada beberapa tokoh Kristen.</w:t>
      </w:r>
    </w:p>
    <w:p w14:paraId="083EFBB9">
      <w:pPr>
        <w:spacing w:after="0" w:line="240" w:lineRule="auto"/>
        <w:ind w:left="0" w:leftChars="0" w:firstLine="720" w:firstLineChars="0"/>
        <w:jc w:val="both"/>
        <w:rPr>
          <w:rFonts w:ascii="Times New Roman" w:hAnsi="Times New Roman" w:cs="Times New Roman"/>
          <w:sz w:val="24"/>
          <w:szCs w:val="24"/>
        </w:rPr>
      </w:pPr>
      <w:r>
        <w:rPr>
          <w:rFonts w:ascii="Times New Roman" w:hAnsi="Times New Roman" w:cs="Times New Roman"/>
          <w:sz w:val="24"/>
          <w:szCs w:val="24"/>
        </w:rPr>
        <w:t xml:space="preserve">Kemunculan sikap politik dalam berbagai variasi dari setiap konteks zaman sebagaimana telah diungkapkan di atas adalah implikasi logis dari kewarganegaraan ganda (dualcitizenship). Bermacam fenomena di atas memunculkan suatu pertanyaan yang serius yakni sikap politik seperti apakah yang harus diterapkan bagi orang Kristen? </w:t>
      </w:r>
    </w:p>
    <w:p w14:paraId="179416CF">
      <w:pPr>
        <w:spacing w:after="0" w:line="240" w:lineRule="auto"/>
        <w:ind w:left="0" w:leftChars="0" w:firstLine="720" w:firstLineChars="0"/>
        <w:jc w:val="both"/>
        <w:rPr>
          <w:rFonts w:hint="default" w:ascii="Times New Roman" w:hAnsi="Times New Roman" w:cs="Times New Roman"/>
          <w:sz w:val="24"/>
          <w:szCs w:val="24"/>
          <w:lang w:val="en-US"/>
        </w:rPr>
      </w:pPr>
      <w:r>
        <w:rPr>
          <w:rFonts w:ascii="Times New Roman" w:hAnsi="Times New Roman" w:cs="Times New Roman"/>
          <w:sz w:val="24"/>
          <w:szCs w:val="24"/>
        </w:rPr>
        <w:t>Dalam Alkitab Roma 13:1-7 merupakan teks yang paling eksplisit</w:t>
      </w:r>
      <w:r>
        <w:rPr>
          <w:rFonts w:hint="default" w:ascii="Times New Roman" w:hAnsi="Times New Roman" w:cs="Times New Roman"/>
          <w:sz w:val="24"/>
          <w:szCs w:val="24"/>
          <w:lang w:val="en-US"/>
        </w:rPr>
        <w:t xml:space="preserve"> yang mengenai topik ini</w:t>
      </w:r>
      <w:r>
        <w:rPr>
          <w:rFonts w:ascii="Times New Roman" w:hAnsi="Times New Roman" w:cs="Times New Roman"/>
          <w:sz w:val="24"/>
          <w:szCs w:val="24"/>
        </w:rPr>
        <w:t>.</w:t>
      </w:r>
      <w:r>
        <w:rPr>
          <w:rStyle w:val="19"/>
          <w:rFonts w:ascii="Times New Roman" w:hAnsi="Times New Roman" w:cs="Times New Roman"/>
          <w:sz w:val="24"/>
          <w:szCs w:val="24"/>
        </w:rPr>
        <w:footnoteReference w:id="8"/>
      </w:r>
      <w:r>
        <w:rPr>
          <w:rFonts w:ascii="Times New Roman" w:hAnsi="Times New Roman" w:cs="Times New Roman"/>
          <w:sz w:val="24"/>
          <w:szCs w:val="24"/>
        </w:rPr>
        <w:t xml:space="preserve"> </w:t>
      </w:r>
      <w:r>
        <w:rPr>
          <w:rFonts w:hint="default" w:ascii="Times New Roman" w:hAnsi="Times New Roman" w:cs="Times New Roman"/>
          <w:sz w:val="24"/>
          <w:szCs w:val="24"/>
          <w:lang w:val="en-US"/>
        </w:rPr>
        <w:t>Teks</w:t>
      </w:r>
      <w:r>
        <w:rPr>
          <w:rFonts w:ascii="Times New Roman" w:hAnsi="Times New Roman" w:cs="Times New Roman"/>
          <w:sz w:val="24"/>
          <w:szCs w:val="24"/>
        </w:rPr>
        <w:t xml:space="preserve"> menyatakan pandangan Paulus berkaitan dengan sikap politik yang seharusnya dimiliki oleh orang Kristen yang menyandang kewarganegaraan ganda. Sebab teks tersebut Paulus menyatakan bahwa sikap takluk terhadap pemerintah merupakan sikap politik yang seharusnya dimiliki oleh orang Kristen</w:t>
      </w:r>
      <w:r>
        <w:rPr>
          <w:rFonts w:hint="default" w:ascii="Times New Roman" w:hAnsi="Times New Roman" w:cs="Times New Roman"/>
          <w:sz w:val="24"/>
          <w:szCs w:val="24"/>
          <w:lang w:val="en-US"/>
        </w:rPr>
        <w:t>.</w:t>
      </w:r>
    </w:p>
    <w:p w14:paraId="2DEBAE62">
      <w:pPr>
        <w:spacing w:after="0" w:line="240" w:lineRule="auto"/>
        <w:ind w:left="0" w:leftChars="0" w:firstLine="720" w:firstLineChars="0"/>
        <w:jc w:val="both"/>
      </w:pPr>
      <w:r>
        <w:rPr>
          <w:rFonts w:ascii="Times New Roman" w:hAnsi="Times New Roman" w:cs="Times New Roman"/>
          <w:sz w:val="24"/>
          <w:szCs w:val="24"/>
        </w:rPr>
        <w:t>Roma 13:1-7 perlu dikaji dengan kritis agar teks tidak dieksploitasi oleh pihak-pihak yang berkepentingan. Karena itu, peneliti akan menganalisis teks sesuai dengan kaidah hermeneutik yang tersedia sehingga menghasilkan interpretasi yang harmonis pada kebenaran. Penelitian ini diharapkan bermanfaat bagi orang percaya di Indonesia. Lebih lanjut, peneliti berharap tulisan ini dapat membawa umat Kristen kepada pemahaman etika politik yang inklusif, sesuai dengan kemajemukan masyarakat Indonesia</w:t>
      </w:r>
      <w:commentRangeStart w:id="2"/>
      <w:commentRangeStart w:id="3"/>
      <w:r>
        <w:t xml:space="preserve">. </w:t>
      </w:r>
      <w:commentRangeEnd w:id="2"/>
      <w:r>
        <w:rPr>
          <w:rStyle w:val="14"/>
        </w:rPr>
        <w:commentReference w:id="2"/>
      </w:r>
      <w:commentRangeEnd w:id="3"/>
      <w:r>
        <w:commentReference w:id="3"/>
      </w:r>
    </w:p>
    <w:p w14:paraId="06C40466">
      <w:pPr>
        <w:ind w:firstLine="720"/>
        <w:jc w:val="both"/>
      </w:pPr>
    </w:p>
    <w:p w14:paraId="005BA33F">
      <w:pPr>
        <w:rPr>
          <w:rStyle w:val="14"/>
        </w:rPr>
      </w:pPr>
      <w:commentRangeStart w:id="4"/>
      <w:commentRangeStart w:id="5"/>
      <w:r>
        <w:rPr>
          <w:b/>
          <w:bCs/>
          <w:color w:val="EE0000"/>
        </w:rPr>
        <w:t>Sebelum masuk dalam pembahasan, seharusnya memaparkan terlebih dahulu Metode yang di gunakan dalam penelitian ini.</w:t>
      </w:r>
      <w:commentRangeEnd w:id="4"/>
      <w:r>
        <w:rPr>
          <w:rStyle w:val="14"/>
        </w:rPr>
        <w:commentReference w:id="4"/>
      </w:r>
      <w:commentRangeEnd w:id="5"/>
      <w:r>
        <w:commentReference w:id="5"/>
      </w:r>
    </w:p>
    <w:p w14:paraId="20AE05A0">
      <w:pPr>
        <w:rPr>
          <w:rStyle w:val="14"/>
        </w:rPr>
      </w:pPr>
    </w:p>
    <w:p w14:paraId="2CAF6180">
      <w:pPr>
        <w:rPr>
          <w:rStyle w:val="14"/>
        </w:rPr>
      </w:pPr>
    </w:p>
    <w:p w14:paraId="26E1B765">
      <w:pPr>
        <w:rPr>
          <w:rFonts w:hint="default"/>
          <w:b/>
          <w:bCs/>
          <w:lang w:val="en-US"/>
        </w:rPr>
      </w:pPr>
      <w:r>
        <w:rPr>
          <w:rFonts w:hint="default"/>
          <w:b/>
          <w:bCs/>
          <w:lang w:val="en-US"/>
        </w:rPr>
        <w:t>METODE</w:t>
      </w:r>
    </w:p>
    <w:p w14:paraId="4D492D97">
      <w:pPr>
        <w:spacing w:after="0" w:line="240" w:lineRule="auto"/>
        <w:ind w:left="0" w:leftChars="0" w:firstLine="720" w:firstLineChars="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Penelitian ini</w:t>
      </w:r>
      <w:r>
        <w:rPr>
          <w:rFonts w:hint="default" w:ascii="Times New Roman" w:hAnsi="Times New Roman" w:cs="Times New Roman"/>
          <w:color w:val="000000" w:themeColor="text1"/>
          <w:sz w:val="24"/>
          <w:szCs w:val="24"/>
          <w:lang w:val="en-US"/>
          <w14:textFill>
            <w14:solidFill>
              <w14:schemeClr w14:val="tx1"/>
            </w14:solidFill>
          </w14:textFill>
        </w:rPr>
        <w:t xml:space="preserve"> menggunakan</w:t>
      </w:r>
      <w:r>
        <w:rPr>
          <w:rFonts w:ascii="Times New Roman" w:hAnsi="Times New Roman" w:cs="Times New Roman"/>
          <w:color w:val="000000" w:themeColor="text1"/>
          <w:sz w:val="24"/>
          <w:szCs w:val="24"/>
          <w14:textFill>
            <w14:solidFill>
              <w14:schemeClr w14:val="tx1"/>
            </w14:solidFill>
          </w14:textFill>
        </w:rPr>
        <w:t xml:space="preserve"> jenis penelitian kualitatif dengan pendekatan deskriptif.  Penelitian kualitatif adalah memahami fenomena tentang apa yang dipahami oleh subjek penelitian misalnya perilaku, persepsi, motivasi, dan tindakan. Selain itu metode kualitatif sebagai prosedur penelitian yang menghasilkan data deskriptif berupa kata-kata tertulis atau lisan dari orang-orang atau perilaku yang dapat diamati.</w:t>
      </w:r>
      <w:r>
        <w:rPr>
          <w:rStyle w:val="19"/>
        </w:rPr>
        <w:footnoteReference w:id="9"/>
      </w:r>
      <w:r>
        <w:rPr>
          <w:rFonts w:ascii="Times New Roman" w:hAnsi="Times New Roman" w:cs="Times New Roman"/>
          <w:color w:val="000000" w:themeColor="text1"/>
          <w:sz w:val="24"/>
          <w:szCs w:val="24"/>
          <w14:textFill>
            <w14:solidFill>
              <w14:schemeClr w14:val="tx1"/>
            </w14:solidFill>
          </w14:textFill>
        </w:rPr>
        <w:t xml:space="preserve"> Penelitian dengan </w:t>
      </w:r>
      <w:r>
        <w:rPr>
          <w:rFonts w:hint="default" w:ascii="Times New Roman" w:hAnsi="Times New Roman" w:cs="Times New Roman"/>
          <w:color w:val="000000" w:themeColor="text1"/>
          <w:sz w:val="24"/>
          <w:szCs w:val="24"/>
          <w:lang w:val="en-US"/>
          <w14:textFill>
            <w14:solidFill>
              <w14:schemeClr w14:val="tx1"/>
            </w14:solidFill>
          </w14:textFill>
        </w:rPr>
        <w:t>pendekatan</w:t>
      </w:r>
      <w:r>
        <w:rPr>
          <w:rFonts w:ascii="Times New Roman" w:hAnsi="Times New Roman" w:cs="Times New Roman"/>
          <w:color w:val="000000" w:themeColor="text1"/>
          <w:sz w:val="24"/>
          <w:szCs w:val="24"/>
          <w14:textFill>
            <w14:solidFill>
              <w14:schemeClr w14:val="tx1"/>
            </w14:solidFill>
          </w14:textFill>
        </w:rPr>
        <w:t xml:space="preserve"> deskriptif artinya</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14:textFill>
            <w14:solidFill>
              <w14:schemeClr w14:val="tx1"/>
            </w14:solidFill>
          </w14:textFill>
        </w:rPr>
        <w:t>interpretasi isi dilakukan dan diorganisir secara sistematis atau menyeluruh. Kemudian data yang diperoleh (kata, gambar, tindakan) tidak diekspresikan dalam angka atau angka statistik, tetapi dalam bentuk kualitatif dengan makna yang lebih kaya daripada angka dan frekuensi belaka.</w:t>
      </w:r>
      <w:r>
        <w:rPr>
          <w:rStyle w:val="19"/>
        </w:rPr>
        <w:footnoteReference w:id="10"/>
      </w:r>
    </w:p>
    <w:p w14:paraId="2CEA7964">
      <w:pPr>
        <w:rPr>
          <w:rFonts w:hint="default"/>
          <w:b/>
          <w:bCs/>
          <w:lang w:val="en-US"/>
        </w:rPr>
      </w:pPr>
    </w:p>
    <w:p w14:paraId="458DA6DD">
      <w:pPr>
        <w:rPr>
          <w:b/>
          <w:bCs/>
        </w:rPr>
      </w:pPr>
      <w:r>
        <w:rPr>
          <w:b/>
          <w:bCs/>
        </w:rPr>
        <w:t>PEMBAHASAN</w:t>
      </w:r>
    </w:p>
    <w:p w14:paraId="66474E24">
      <w:pPr>
        <w:ind w:left="0" w:leftChars="0" w:firstLine="720" w:firstLineChars="0"/>
        <w:jc w:val="both"/>
      </w:pPr>
      <w:r>
        <w:t>Paulus menuliskan surat Roma 13:1-7 berkaitan dengan ketaatan umat Kristen terhadap pemerintah Roma yang pada saat itu Kaisar Nero sebagai pemimpinnya. Nero dikenal sebagai kaisar yang begitu kejam bagi orang Kristen. Ada begitu banyak orang Kristen di Roma mendapat siksaan dan dibunuh olehnya. Pada ayat pertama Paulus memberikan pernyataan dalam suratnya untuk mematuhi pemerintahan Romawi dan hal tersebut merupakan suatu keharusan diperuntukan kepada orang Kristen karena masih terikat secara hukum bilamana terjadi pembangkangan terhadap pemerintah akan mendapat hukuman.</w:t>
      </w:r>
      <w:r>
        <w:rPr>
          <w:rStyle w:val="19"/>
        </w:rPr>
        <w:footnoteReference w:id="11"/>
      </w:r>
      <w:r>
        <w:t xml:space="preserve"> Di tengah-tengah kondisi sulit yang dialami oleh orang Kristen mendapat penindasan dari kaisar Roma malah Paulus memberi perintah kepada orang Kristen untuk tunduk kepada pemerintah saat itu.</w:t>
      </w:r>
    </w:p>
    <w:p w14:paraId="588D9D75">
      <w:pPr>
        <w:ind w:firstLine="720"/>
        <w:jc w:val="both"/>
      </w:pPr>
      <w:r>
        <w:t>Ketika Paulus dalam menulis surat ini saat jelang akhir perjalanan misi yang ketiganya (Rom. 15:25-26; Kis. 20:2-3), Paulus yang waktu itu berada di Korintus di rumah Gayus (Rom. 16:23); 1Kor. 1:14). Sementara ia menulis surat ini dibantu oleh Tertulius (Rom. 16:22), ia sedang merencanakan kembali ke Yerusalem untuk hari Pentakosta (Kis. 20:16) dengan maksud menyampaikan secara pribadi persembahan dari gereja-gereja non-Yahudi kepada orang-orang kudus yang miskin di Yerusalem (Rom. 15:25-27). Sesudah itu Paulus berharap agar dapat pergi ke Spanyol untuk menginjil dan mengunjungi gereja di Roma pada perjalanannya sehingga dari situ ia memperoleh bantuan dari orang-orang yang ada di Roma. Kitab Roma merupakan ini sebagai persiapan bagi langkah selanjutnya dari usaha, pelayanannya, Paulus menulis suratnya kepada jemaat di Roma. Surat ini dikirimkan dari Korintus, menurut pendapat lama, atau dari Filipi sebelum berlayar ke Troas, karena Paulus menyatakan dalam pasal-pasal terakhir bahwa ia sudah memberitakan injil sepenuhnya sampai Ilirikum, bahwa ia membawa serta sumbangan dari jemaat di Makedonia dan Akhaya bagi orang-orang miskin di Yerusalem. Ia sadar bahwa kedatangannya di Yudea mungkin tidak akan bisa disambut baik oleh beberapa orang, tetapi ia ingin kembali sebentar sebelum mengunjungi Roma.</w:t>
      </w:r>
      <w:r>
        <w:rPr>
          <w:rStyle w:val="19"/>
        </w:rPr>
        <w:footnoteReference w:id="12"/>
      </w:r>
    </w:p>
    <w:p w14:paraId="4BDE7E4D">
      <w:pPr>
        <w:spacing w:after="240"/>
        <w:ind w:firstLine="720"/>
        <w:jc w:val="both"/>
      </w:pPr>
      <w:r>
        <w:t>Dalam surat ini terkesan bahwa tugas Paulus di kawasan Timur kekaisaran Romawi, antara lain untuk mengumpulkan dana bagi jemaat di Yerusalem, telah selesai. Nampaknya surat ini merupakan surat terakhir Paulus yang ditulisnya di daerah Yunani. Ada anggapan bahwa surat ini adalah sebuah ringkasan komprehensif dari seluruh teologi Paulus. Hal ini disebabkan keadaan jiwa Paulus yang lebih reflektif ketika menulis surat ini daripada surat Galatia atau surat Korintus. Surat Paulus kepada jemaat di Roma ini ditulis untuk mempersiapkan mereka terhadap kunjungan Paulus kepada mereka, dan selain itu, Paulus juga sedang memperhalus beberapa aspek pemikirannya yang ternyata disalahtafsirkan, sehingga hal ini menjadi prioritas Paulus saat itu.</w:t>
      </w:r>
      <w:r>
        <w:rPr>
          <w:rStyle w:val="19"/>
        </w:rPr>
        <w:footnoteReference w:id="13"/>
      </w:r>
    </w:p>
    <w:p w14:paraId="31A01FEC">
      <w:pPr>
        <w:jc w:val="both"/>
        <w:rPr>
          <w:b/>
          <w:bCs/>
        </w:rPr>
      </w:pPr>
      <w:r>
        <w:rPr>
          <w:b/>
          <w:bCs/>
        </w:rPr>
        <w:t>Keadaan Sosio-Historis</w:t>
      </w:r>
    </w:p>
    <w:p w14:paraId="66F5734E">
      <w:pPr>
        <w:ind w:firstLine="720"/>
        <w:jc w:val="both"/>
      </w:pPr>
      <w:r>
        <w:t>Roma merupakan salah satu kota yang cukup penting yang pernah hadir di sepanjang sejarah manusia. Karena pada zaman itu kota Roma menjadi pusat dari berbagai macam aktivitas kehidupan yang ada dalam masyarakat. Dengan menjadi pusat kegiatan membuat kota ini memiliki daya tarik tersendiri bagi kalangan pendatang dari berbagai tempat asalnya. Kategori dari pendatang ke kota ini biasanya dari kalangan pedagang, yakni tujuan kedatangan mereka yaitu untuk datang mencari tempat berdagang. Dengan begitu, Roma sebagai tempat alternatif terbaik yang dapat menunjang pendapat ekonomi mereka saat itu. Kemudian di kota ini cukup maju dalam hal pembangunan yang dimana fasilitas sistem jalan telah dibangun agar tahan lama dipakai oleh orang-orang bisa mengakses perdagangan pada wilayah-wilayah kekaisaran, dan juga bagi pergerakan tentara.</w:t>
      </w:r>
      <w:r>
        <w:rPr>
          <w:rStyle w:val="19"/>
        </w:rPr>
        <w:footnoteReference w:id="14"/>
      </w:r>
      <w:r>
        <w:t xml:space="preserve"> Maka dari itu, tidak mengherankan kalau Roma memiliki banyak pendatang karena kota tersebut menunjukan tempat yang strategis, bahkan memiliki akses perjalanan yang lancar.</w:t>
      </w:r>
    </w:p>
    <w:p w14:paraId="7155579E">
      <w:pPr>
        <w:ind w:firstLine="720"/>
        <w:jc w:val="both"/>
      </w:pPr>
      <w:r>
        <w:t>Dari segi ekonomi, Roma berada pada tingkat kemakmuran yang cukup baik, karena orang-orang Roma memiliki sistem tradisi untuk membayar pajak dan beacukai. Adanya kedua hal ini menjadi sumber pendapatan bagi pemerintah dalam kekaisaran.</w:t>
      </w:r>
      <w:r>
        <w:rPr>
          <w:rStyle w:val="19"/>
        </w:rPr>
        <w:footnoteReference w:id="15"/>
      </w:r>
      <w:r>
        <w:t xml:space="preserve"> Hal-hal yang menyangkut pajak seperti uang dan barang yang kemudian diserahkan kepada pemerintah. Dengan begitu bagian pemerintah selanjutnya mempunyai tugas dalam membenahi kebutuhan-kebutuhan yang ada boleh menjadi kepentingan bersama. Selain itu menyangkut bea cukai, ada yang berhubungan dengan perdagangan sebagai aktivitas yang umum dilaksanakan baik orang Yahudi maupun non-Yahudi (Yak. 4:13-16), perihalnya impor dan ekspor biji-bijian, dan perbankan dapat menjadi bidang usaha yang besar di antara orang Yahudi.</w:t>
      </w:r>
      <w:r>
        <w:rPr>
          <w:rStyle w:val="19"/>
        </w:rPr>
        <w:footnoteReference w:id="16"/>
      </w:r>
      <w:r>
        <w:t xml:space="preserve"> Oleh sebab itu, menyangkut tingkat pertumbuhan ekonomi di Roma cukup baik dibantu oleh adanya perdagangan.</w:t>
      </w:r>
    </w:p>
    <w:p w14:paraId="720F31E5">
      <w:pPr>
        <w:ind w:firstLine="720"/>
        <w:jc w:val="both"/>
      </w:pPr>
      <w:r>
        <w:t>Kalau melihat mata pencaharian utama orang-orang yang berada di Roma terbagi menjadi dua yaitu dalam bidang pertanian, dan peternakan. Dalam bidang pertanian berkaitan dengan pemotongan tanaman, adanya pengelolahan tanah, dan terdapat aktivitas panen, sedangkan pada bidang peternakan menyangkut dalam kegiatan beternak untuk kebutuhan mereka kala itu.</w:t>
      </w:r>
      <w:r>
        <w:rPr>
          <w:rStyle w:val="19"/>
        </w:rPr>
        <w:footnoteReference w:id="17"/>
      </w:r>
      <w:r>
        <w:t xml:space="preserve"> Melalui mata pencaharian tersebut memberikan rasa tanggung jawab bagi orang-orang Roma agar mampu untuk bertahan hidup </w:t>
      </w:r>
    </w:p>
    <w:p w14:paraId="4BFA14CD">
      <w:pPr>
        <w:ind w:firstLine="720"/>
        <w:jc w:val="both"/>
      </w:pPr>
      <w:r>
        <w:t>Situasi kondisi sosial kota Roma terdapat tingkat perbedaan sosialnya, secara umum perbedaannya terlihat antara orang kaya dengan orang miskin. Adanya stratifikasi sosial membuat kehidupan sosial yang ada di Roma seolah-olah ada hierarki. Masyarkat dalam kekaisaran Romawi terbagi menjadi dua kelompok yakni ada kaum elite, dan non-elite.</w:t>
      </w:r>
      <w:r>
        <w:rPr>
          <w:rStyle w:val="19"/>
        </w:rPr>
        <w:footnoteReference w:id="18"/>
      </w:r>
      <w:r>
        <w:t xml:space="preserve"> Jadi, orang-orang di Roma yang kaya terhitung ke dalam kaum elite, sedangkan orang-orang yang miskin digolongkan sebagai kaum non-elite.</w:t>
      </w:r>
    </w:p>
    <w:p w14:paraId="53FCEAFE">
      <w:pPr>
        <w:ind w:firstLine="720"/>
        <w:jc w:val="both"/>
      </w:pPr>
      <w:r>
        <w:t>Klasifikasi orang-orang Roma yang terhitung sebagai kaum elite di dalamnya ada penguasa yang sangat berpengaruh, misalnya kaisar, senat, gubernur, dan pemimpin kota.</w:t>
      </w:r>
      <w:r>
        <w:rPr>
          <w:rStyle w:val="19"/>
        </w:rPr>
        <w:footnoteReference w:id="19"/>
      </w:r>
      <w:r>
        <w:t xml:space="preserve"> Dalam hal tugas kaum elite menjalnkan kuasa, memelihara, menciptakan, pemungut pajak, administrator, pelindung, dan hakim.</w:t>
      </w:r>
      <w:r>
        <w:rPr>
          <w:rStyle w:val="19"/>
        </w:rPr>
        <w:footnoteReference w:id="20"/>
      </w:r>
      <w:r>
        <w:t xml:space="preserve"> Kebanyakan dari kaum elite berada pada jajaran pemerintah. Melalui kehadiran pemerintah dapat mengelola kehidupan bermasyarakat agar dari kebijakan dan wewenang yang telah diatur oleh pemerintah, seharusnya masyarakat yang ada di Roma meresponi dengan ketundukan terhadap pemerintah yang diatas.</w:t>
      </w:r>
    </w:p>
    <w:p w14:paraId="28CFE90B">
      <w:pPr>
        <w:ind w:firstLine="720"/>
        <w:jc w:val="both"/>
      </w:pPr>
      <w:r>
        <w:t>Klasifikasi orang-orang yang terhitung sebagai kaum non-elite di dalamnya terdapat masyarakat biasa, budak, dan para pendatang. Kehidupan yang mereka jalani biasanya seperti pekerjaan umum untuk mencari nafkah melalui perdagangan, keterampilan tukang, dan bercocok tanam.</w:t>
      </w:r>
      <w:r>
        <w:rPr>
          <w:rStyle w:val="19"/>
        </w:rPr>
        <w:footnoteReference w:id="21"/>
      </w:r>
      <w:r>
        <w:t xml:space="preserve"> Lalu penghasilan melalui pekerjaan mereka tersebut akan dipakai dalam memenuhi pembayaran pajak yang nantinya akan diserahkan kepada pemerintah, karena hal ini merupakan suatu kewajiban.</w:t>
      </w:r>
    </w:p>
    <w:p w14:paraId="4B2C0B82">
      <w:pPr>
        <w:ind w:firstLine="720"/>
        <w:jc w:val="both"/>
      </w:pPr>
      <w:r>
        <w:t>Baik kaum kaum elite dan non-elite memiliki korelasi dalam hubungan di antara keduanya. Terlihat ketergantungan dari kaum elite kepada kaum non-elite dalam hal makanan, bangunan, perdagangan barang dan jasa.</w:t>
      </w:r>
      <w:r>
        <w:rPr>
          <w:rStyle w:val="19"/>
        </w:rPr>
        <w:footnoteReference w:id="22"/>
      </w:r>
      <w:r>
        <w:t xml:space="preserve"> Sedangkan kaum non-elite sangat bergantung pada kaum elite sebagai penguasa agar dapat memberi keamanan, dan perlindungan. Dengan begitu, keduanya memiliki keterikatan kebutuhan untuk saling melengkapi dalam menjalani kehidupan yang ada.</w:t>
      </w:r>
    </w:p>
    <w:p w14:paraId="73C26320">
      <w:pPr>
        <w:ind w:firstLine="720"/>
        <w:jc w:val="both"/>
      </w:pPr>
      <w:r>
        <w:t>Masuk pada sistem politik, terdapat Kaisar dan Senat sebagai penguasa tertinggi pada Kekaisaran Romawi. Keduanya berada pada jenjang dalam pemerintahan pusat. Kaisar dilantik secara resmi oleh Senat sebagai dewan tertinggi.</w:t>
      </w:r>
      <w:r>
        <w:rPr>
          <w:rStyle w:val="19"/>
        </w:rPr>
        <w:footnoteReference w:id="23"/>
      </w:r>
      <w:r>
        <w:t xml:space="preserve"> Kaisar adalah penguasa tertinggi yang sangat berpengaruh pada sistem pemerintahan Kekaisaran Romawi. Sehingga kaisar juga seperti pemerintah pusat yang memiliki kekuasaan atas semua hal. Tentunya dalam Kekaisaran Romawi memiliki wilayah-wilayah Provinsi. Lalu Provinsi-provinsi yang ada dikepalai oleh Gubernur sebagai pemimpin dalam Provinsi yang ada. Namun, posisi daripada Kaisar yang paling tinggi dibandingkan dengan semua Provinsi yang ada di Roma. Dengan demikian, otoritas Gubernur berada dibawahnya Kaisar. Sehingga Kaisar berhak untuk menetapkan peraturan-peraturan di dalam suatu wilayah.</w:t>
      </w:r>
    </w:p>
    <w:p w14:paraId="0361A7DB">
      <w:pPr>
        <w:ind w:firstLine="720"/>
        <w:jc w:val="both"/>
      </w:pPr>
      <w:r>
        <w:t>Otoritas Kaisar berlaku juga di dalam hal militer dengan menciptakan militer yang ada pada setiap wilayah untuk melindungi masyarakatnya. Penting bagi Kaisar untuk menentukan pasukan-pasukan yang setia menjalankan tugas kedaulatan, menegakan kepatuhan, serta memberikan ancaman kepada orang-orang yang ingin memberontak.</w:t>
      </w:r>
      <w:r>
        <w:rPr>
          <w:rStyle w:val="19"/>
        </w:rPr>
        <w:footnoteReference w:id="24"/>
      </w:r>
      <w:r>
        <w:t xml:space="preserve"> Para pasukan militer merupakan orang-orang yang dipilih, tugas-tugasnya merangkum berbagai kegiatan diantaranya menjaga asset negara, membanty pembangunan sarana negara, mengumpulkan pajak, dan menjaga ketertiban dan perdamaian sehingga melalui adanya militer dapat difungsikan untuk keberlanjutan ekonomi Kekaisaran serta memelihara keberlangsungan hidup masyarakat.</w:t>
      </w:r>
      <w:r>
        <w:rPr>
          <w:rStyle w:val="19"/>
        </w:rPr>
        <w:footnoteReference w:id="25"/>
      </w:r>
      <w:r>
        <w:t xml:space="preserve"> Maka, orang-orang dalam militer diperlengkapi menjalankan tugas-tugas tersebut.</w:t>
      </w:r>
    </w:p>
    <w:p w14:paraId="54713F52">
      <w:pPr>
        <w:ind w:firstLine="720"/>
        <w:jc w:val="both"/>
      </w:pPr>
      <w:r>
        <w:t>Dalam kehidupan masyarakat biasanya kaisar menampilkan kemurahan hatinya kepada rakyat yang dipimpinnya seperti halnya mengadakan pertunjukan yang mewah, mengadakan pertandingan, dan juga memberikan tempat bangunan khusus bahkan hadiah khusus.</w:t>
      </w:r>
      <w:r>
        <w:rPr>
          <w:rStyle w:val="19"/>
        </w:rPr>
        <w:footnoteReference w:id="26"/>
      </w:r>
      <w:r>
        <w:t xml:space="preserve"> Terlebih lagi kepada rakyat yang hidupnya baik bisa mempengaruhi Kaisar dalam mengambil sebuah tindakan kepada rakyatnya. Namun suatu hal yang berbanding terbalik, jikalau ada diantara rakyatnya melakukan kejahatan, tentunya orang itu akan menerima konsekuensi dihukum. Sehingga Kaisar berotoritas dalam menegakkan keadilan, hukuman berat itu harus ditanggung bagi orang-orang yang telah berbuat kesalahan, lalu ada denda yang harus dibayar.</w:t>
      </w:r>
      <w:r>
        <w:rPr>
          <w:rStyle w:val="19"/>
        </w:rPr>
        <w:footnoteReference w:id="27"/>
      </w:r>
      <w:r>
        <w:t xml:space="preserve"> Berdasarkan hal ini, menunjukan bahwa seorang Kaisar memiliki kepedulian terhadap rakyatnya, dalam kepedulian sebagai Kaisar tentunya tidak lupa untuk menjunjung keadilan kepada rakyatnya.</w:t>
      </w:r>
    </w:p>
    <w:p w14:paraId="17970090">
      <w:pPr>
        <w:ind w:firstLine="720"/>
        <w:jc w:val="both"/>
      </w:pPr>
      <w:r>
        <w:t>Pada aspek kepercayaan, orang-orang Roma memiliki kepercayaan Paganisme yang cukup banyak, ada juga Yahudi, dan Kristen. Adanya religiositas memberikan dampak pada aspek kehidupan kehidupan setiap orang. Secara umum, pemerintah Romawi memiliki kebijakan dalam hal toleransi dengan bersikap netral kepada agama, selagi tidak menimbulkan dampak bagi keamanan publik, ancaman politik, dan tindakan-tindakan mendiskriminasi orang lain.</w:t>
      </w:r>
      <w:r>
        <w:rPr>
          <w:rStyle w:val="19"/>
        </w:rPr>
        <w:footnoteReference w:id="28"/>
      </w:r>
      <w:r>
        <w:t xml:space="preserve"> Apabila terjadi gangguan-gangguan dalam lingkungan masyarakat, maka pemerintah Roma tidak akan segan untuk mengambil kebijakan keras. Kehidupan yang pluralitas di Roma, terdapat banyak masalah yang terjadi diantara agama Yahudi dan Kristen karena adanya pertentangan secara diametral kaitannya dalam hal teologis yang membawa dampak pada permusuhan, kebencian, dan kekerasan.</w:t>
      </w:r>
      <w:r>
        <w:rPr>
          <w:rStyle w:val="19"/>
        </w:rPr>
        <w:footnoteReference w:id="29"/>
      </w:r>
      <w:r>
        <w:t xml:space="preserve"> Berdasarkan hal tersebut, bisa menjadikan konflik sosial yang bercampur agama di tengah-tengah masyarakat Roma.</w:t>
      </w:r>
    </w:p>
    <w:p w14:paraId="16FD4AA3">
      <w:pPr>
        <w:ind w:firstLine="720"/>
        <w:jc w:val="both"/>
      </w:pPr>
      <w:r>
        <w:t>Kehadiran komunitas Kristen yang semakin berkembang di Roma, bahkan banyak orang yang mengikut Kristus sudah tersebar luas. Orang-orang yang memeluk agama Kristen di Roma mulai berani berbicara menyampaikan Injil serta menolak akan penyembahan kepada Kaisar. Bagi Wright menyatakan bahwa bagi Paulus, Yesus adalah Tuhan sedangkan Kaisar bukan.</w:t>
      </w:r>
      <w:r>
        <w:rPr>
          <w:rStyle w:val="19"/>
        </w:rPr>
        <w:footnoteReference w:id="30"/>
      </w:r>
      <w:r>
        <w:t xml:space="preserve"> Dari pertumbuhan jemaat yang cukup pesat di Roma, menjadikan salah satu faktor bagi Paulus untuk menuliskan surat kepada jemaat di Roma.</w:t>
      </w:r>
    </w:p>
    <w:p w14:paraId="0E251D25">
      <w:pPr>
        <w:ind w:firstLine="720"/>
        <w:jc w:val="both"/>
      </w:pPr>
      <w:r>
        <w:t>Konflik awalnya komunitas Kristen Roma dengan negara penyebabnya karena adanya kebijakan menyangkut diselenggarakannya upacara nasional untuk memuja dewa-dewi yang bertujuan dalam pemusatan kesatuan negara. Seiring waktu berjalan tujuan itu berpindah yang pada akhirnya sampai pada pemujaan Kaisar Roma.</w:t>
      </w:r>
      <w:r>
        <w:rPr>
          <w:rStyle w:val="19"/>
        </w:rPr>
        <w:footnoteReference w:id="31"/>
      </w:r>
      <w:r>
        <w:t xml:space="preserve"> Lantas dari hal itu membuat orang-orang Kristen Roma memberontak terhadap pemerintah, bahkan ada yang mengacaukan situasi dalam negara. Maka terjadilah kekacauan sampai orang-orang Kristen Roma dijadikan kambing hitam oleh Kaisar Nero.</w:t>
      </w:r>
    </w:p>
    <w:p w14:paraId="40DBC452">
      <w:pPr>
        <w:ind w:firstLine="720"/>
        <w:jc w:val="both"/>
      </w:pPr>
    </w:p>
    <w:p w14:paraId="4A075A40">
      <w:pPr>
        <w:rPr>
          <w:b/>
          <w:bCs/>
          <w:lang w:bidi="he-IL"/>
        </w:rPr>
      </w:pPr>
      <w:r>
        <w:rPr>
          <w:b/>
          <w:bCs/>
          <w:lang w:bidi="he-IL"/>
        </w:rPr>
        <w:t>Garis Besar Eksegesis Roma 13:1-7</w:t>
      </w:r>
    </w:p>
    <w:p w14:paraId="171E28A3">
      <w:pPr>
        <w:ind w:firstLine="720"/>
        <w:jc w:val="both"/>
        <w:rPr>
          <w:lang w:bidi="he-IL"/>
        </w:rPr>
      </w:pPr>
      <w:r>
        <w:rPr>
          <w:lang w:bidi="he-IL"/>
        </w:rPr>
        <w:t>Dalam menganalisa sebuah teks dalam Perjanjian Baru maka sangat memerlukan adanya garis besar eksegesis. Peneliti melakukan hal ini supaya dapat meninjau setiap bagian-bagian secara menyeluruh pada teks yang akan dibahas. Hal ini diperlukan agar mempermudah bagi peneliti dalam menafsirkan atau memberikan interpretasi dari teks Roma 13:1-7. Dalam teks Roma 13:1-7 terdapat hal penting yang menjadi pembahasan yaitu mengenai pesan yang merupakan suatu perintah atau himbauan serta ada juga peringatan dari Rasul Paulus bagi orang-orang Kristen di Roma dalam hidup sebagai warganegara terhadap pemerintah didunia ini.</w:t>
      </w:r>
    </w:p>
    <w:p w14:paraId="7B09B174">
      <w:pPr>
        <w:ind w:firstLine="720"/>
        <w:jc w:val="both"/>
        <w:rPr>
          <w:lang w:bidi="he-IL"/>
        </w:rPr>
      </w:pPr>
      <w:r>
        <w:rPr>
          <w:lang w:bidi="he-IL"/>
        </w:rPr>
        <w:t>Pada bagian awal dari teks ini dalam ayat 1 merupakan sebuah nasihat dapat dilihat bahwa orang-orang Kristen di Roma memperoleh surat yang dituliskan oleh Rasul Paulus kepada mereka. Lalu ada dua alasan yang disertakan oleh Paulus dalam hal tunduk pada pemerintah yaitu pemerintah berasal dari Allah (1a), dan pemerintah ditetapkan oleh Allah (1b).</w:t>
      </w:r>
      <w:r>
        <w:rPr>
          <w:rStyle w:val="19"/>
          <w:lang w:bidi="he-IL"/>
        </w:rPr>
        <w:footnoteReference w:id="32"/>
      </w:r>
      <w:r>
        <w:rPr>
          <w:lang w:bidi="he-IL"/>
        </w:rPr>
        <w:t xml:space="preserve"> Lalu masuk pada ayat selanjutnya, ada hal yang menarik dapat dilihat yaitu melawan sebagai antonim dari tunduk pada ayat sebelumnya. Apabila tidak tunduk maka Paulus menjeleskan ada konsekuensi yang dialami yakni melawan ketetapan Allah (2a), dan mendapat hukuman (2b). Lebih jauh lagi, pada ayat 3-4 memberitahukan tentang etika terhadap pemerintah. Ketika seseorang memiliki etika hidup yang baik maka akan menerima pujian (3), tetapi jika seseorang memiliki etika hidup yang jahat maka akan menerima hukuman (4). Pada bagian berikutnya, Paulus memberikan penegasan kembali berkaitan dengan nasihat tunduk pada pemerintah (5), dikatakan bahwa seseorang yang tunduk itu bukan hanya karena takut pada murka Allah (5a), melainkan ia tunduk berdasarkan hati nuraninya sendiri (5b). Dalam bagian terakhir teks ini pada ayat 6-7, yang dimana kedua ayat ini merupakan nasihat Paulus dalam hal kewajiban terhadap pemerintah. Kewajiban dalam hal membayar pajak (6-7a), dan memberi hormat (7b). Untuk lebih jelasnya berikut ini peneliti akan menguraikan garis besar dari teks Roma 13:1-7.</w:t>
      </w:r>
    </w:p>
    <w:p w14:paraId="3DE9B0D8">
      <w:pPr>
        <w:ind w:firstLine="720"/>
        <w:jc w:val="both"/>
        <w:rPr>
          <w:lang w:bidi="he-IL"/>
        </w:rPr>
      </w:pPr>
    </w:p>
    <w:tbl>
      <w:tblPr>
        <w:tblStyle w:val="25"/>
        <w:tblpPr w:leftFromText="180" w:rightFromText="180" w:vertAnchor="text" w:horzAnchor="margin" w:tblpY="-39"/>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296"/>
      </w:tblGrid>
      <w:tr w14:paraId="6097E6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296" w:type="dxa"/>
          </w:tcPr>
          <w:p w14:paraId="1E083F3B">
            <w:pPr>
              <w:ind w:firstLine="720"/>
              <w:jc w:val="center"/>
              <w:rPr>
                <w:lang w:bidi="he-IL"/>
              </w:rPr>
            </w:pPr>
            <w:r>
              <w:rPr>
                <w:lang w:bidi="he-IL"/>
              </w:rPr>
              <w:t>Garis Besar Roma 13:1-7</w:t>
            </w:r>
          </w:p>
          <w:p w14:paraId="3D6E7F4B">
            <w:pPr>
              <w:ind w:firstLine="720"/>
              <w:rPr>
                <w:lang w:bidi="he-IL"/>
              </w:rPr>
            </w:pPr>
            <w:r>
              <w:rPr>
                <w:lang w:bidi="he-IL"/>
              </w:rPr>
              <w:t>I. Nasihat untuk Tunduk kepada Pemerintah (1)</w:t>
            </w:r>
          </w:p>
          <w:p w14:paraId="53163750">
            <w:pPr>
              <w:ind w:firstLine="720"/>
              <w:rPr>
                <w:lang w:bidi="he-IL"/>
              </w:rPr>
            </w:pPr>
            <w:r>
              <w:rPr>
                <w:lang w:bidi="he-IL"/>
              </w:rPr>
              <w:tab/>
            </w:r>
            <w:r>
              <w:rPr>
                <w:lang w:bidi="he-IL"/>
              </w:rPr>
              <w:t>a. Pemerintah berasal dari Allah (1a)</w:t>
            </w:r>
          </w:p>
          <w:p w14:paraId="1654D474">
            <w:pPr>
              <w:ind w:firstLine="720"/>
              <w:rPr>
                <w:lang w:bidi="he-IL"/>
              </w:rPr>
            </w:pPr>
            <w:r>
              <w:rPr>
                <w:lang w:bidi="he-IL"/>
              </w:rPr>
              <w:tab/>
            </w:r>
            <w:r>
              <w:rPr>
                <w:lang w:bidi="he-IL"/>
              </w:rPr>
              <w:t>b. Pemerintah ditetapkan oleh Allah (1b)</w:t>
            </w:r>
          </w:p>
          <w:p w14:paraId="4F671831">
            <w:pPr>
              <w:ind w:firstLine="720"/>
              <w:rPr>
                <w:lang w:bidi="he-IL"/>
              </w:rPr>
            </w:pPr>
            <w:r>
              <w:rPr>
                <w:lang w:bidi="he-IL"/>
              </w:rPr>
              <w:t>II. Konsekuensi Melawan Pemerintah (2)</w:t>
            </w:r>
          </w:p>
          <w:p w14:paraId="4117F687">
            <w:pPr>
              <w:ind w:firstLine="720"/>
              <w:rPr>
                <w:lang w:bidi="he-IL"/>
              </w:rPr>
            </w:pPr>
            <w:r>
              <w:rPr>
                <w:lang w:bidi="he-IL"/>
              </w:rPr>
              <w:tab/>
            </w:r>
            <w:r>
              <w:rPr>
                <w:lang w:bidi="he-IL"/>
              </w:rPr>
              <w:t>a. Melawan ketetapan Allah (2a)</w:t>
            </w:r>
          </w:p>
          <w:p w14:paraId="4F597401">
            <w:pPr>
              <w:ind w:firstLine="720"/>
              <w:rPr>
                <w:lang w:bidi="he-IL"/>
              </w:rPr>
            </w:pPr>
            <w:r>
              <w:rPr>
                <w:lang w:bidi="he-IL"/>
              </w:rPr>
              <w:tab/>
            </w:r>
            <w:r>
              <w:rPr>
                <w:lang w:bidi="he-IL"/>
              </w:rPr>
              <w:t>b. Mendapat hukuman (2b)</w:t>
            </w:r>
          </w:p>
          <w:p w14:paraId="35C437D6">
            <w:pPr>
              <w:ind w:firstLine="720"/>
              <w:rPr>
                <w:lang w:bidi="he-IL"/>
              </w:rPr>
            </w:pPr>
            <w:r>
              <w:rPr>
                <w:lang w:bidi="he-IL"/>
              </w:rPr>
              <w:t>III. Etika terhadap Pemerintah (3-4)</w:t>
            </w:r>
          </w:p>
          <w:p w14:paraId="439ECEAE">
            <w:pPr>
              <w:ind w:firstLine="720"/>
              <w:rPr>
                <w:lang w:bidi="he-IL"/>
              </w:rPr>
            </w:pPr>
            <w:r>
              <w:rPr>
                <w:lang w:bidi="he-IL"/>
              </w:rPr>
              <w:tab/>
            </w:r>
            <w:r>
              <w:rPr>
                <w:lang w:bidi="he-IL"/>
              </w:rPr>
              <w:t>a. Etika yang baik menerima pujian (3)</w:t>
            </w:r>
          </w:p>
          <w:p w14:paraId="3E6BBD0E">
            <w:pPr>
              <w:ind w:firstLine="720"/>
              <w:rPr>
                <w:lang w:bidi="he-IL"/>
              </w:rPr>
            </w:pPr>
            <w:r>
              <w:rPr>
                <w:lang w:bidi="he-IL"/>
              </w:rPr>
              <w:tab/>
            </w:r>
            <w:r>
              <w:rPr>
                <w:lang w:bidi="he-IL"/>
              </w:rPr>
              <w:t>b. Etika yang buruk menerima hukuman (4)</w:t>
            </w:r>
          </w:p>
          <w:p w14:paraId="4640A5BE">
            <w:pPr>
              <w:ind w:firstLine="720"/>
              <w:rPr>
                <w:lang w:bidi="he-IL"/>
              </w:rPr>
            </w:pPr>
            <w:r>
              <w:rPr>
                <w:lang w:bidi="he-IL"/>
              </w:rPr>
              <w:t>IV. Penegasan Kembali Nasihat Tunduk kepada Pemerintah (5)</w:t>
            </w:r>
          </w:p>
          <w:p w14:paraId="392333D4">
            <w:pPr>
              <w:ind w:firstLine="720"/>
              <w:rPr>
                <w:lang w:bidi="he-IL"/>
              </w:rPr>
            </w:pPr>
            <w:r>
              <w:rPr>
                <w:lang w:bidi="he-IL"/>
              </w:rPr>
              <w:tab/>
            </w:r>
            <w:r>
              <w:rPr>
                <w:lang w:bidi="he-IL"/>
              </w:rPr>
              <w:t>a. Tunduk bukan hanya karena takut pada murka Allah (5a)</w:t>
            </w:r>
          </w:p>
          <w:p w14:paraId="168822A3">
            <w:pPr>
              <w:ind w:firstLine="720"/>
              <w:rPr>
                <w:lang w:bidi="he-IL"/>
              </w:rPr>
            </w:pPr>
            <w:r>
              <w:rPr>
                <w:lang w:bidi="he-IL"/>
              </w:rPr>
              <w:tab/>
            </w:r>
            <w:r>
              <w:rPr>
                <w:lang w:bidi="he-IL"/>
              </w:rPr>
              <w:t>b. Tunduk karena hati nurani (5b)</w:t>
            </w:r>
          </w:p>
          <w:p w14:paraId="7FA579CA">
            <w:pPr>
              <w:ind w:firstLine="720"/>
              <w:rPr>
                <w:lang w:bidi="he-IL"/>
              </w:rPr>
            </w:pPr>
            <w:r>
              <w:rPr>
                <w:lang w:bidi="he-IL"/>
              </w:rPr>
              <w:t>V. Kewajiban terhadap Pemerintah (6-7)</w:t>
            </w:r>
          </w:p>
          <w:p w14:paraId="0A3E2B87">
            <w:pPr>
              <w:ind w:firstLine="720"/>
              <w:rPr>
                <w:lang w:bidi="he-IL"/>
              </w:rPr>
            </w:pPr>
            <w:r>
              <w:rPr>
                <w:lang w:bidi="he-IL"/>
              </w:rPr>
              <w:tab/>
            </w:r>
            <w:r>
              <w:rPr>
                <w:lang w:bidi="he-IL"/>
              </w:rPr>
              <w:t>a. Membayar Pajak (6-7a)</w:t>
            </w:r>
          </w:p>
          <w:p w14:paraId="0E189850">
            <w:pPr>
              <w:ind w:firstLine="720"/>
              <w:rPr>
                <w:lang w:bidi="he-IL"/>
              </w:rPr>
            </w:pPr>
            <w:r>
              <w:rPr>
                <w:lang w:bidi="he-IL"/>
              </w:rPr>
              <w:tab/>
            </w:r>
            <w:r>
              <w:rPr>
                <w:lang w:bidi="he-IL"/>
              </w:rPr>
              <w:t>b. Memberi hormat (7b)</w:t>
            </w:r>
          </w:p>
        </w:tc>
      </w:tr>
    </w:tbl>
    <w:p w14:paraId="55A6BACD">
      <w:pPr>
        <w:ind w:firstLine="720"/>
        <w:rPr>
          <w:lang w:bidi="he-IL"/>
        </w:rPr>
      </w:pPr>
    </w:p>
    <w:p w14:paraId="785932D8">
      <w:pPr>
        <w:rPr>
          <w:b/>
          <w:bCs/>
          <w:lang w:bidi="he-IL"/>
        </w:rPr>
      </w:pPr>
      <w:r>
        <w:rPr>
          <w:b/>
          <w:bCs/>
          <w:lang w:bidi="he-IL"/>
        </w:rPr>
        <w:t>Eksposisi Teks Roma 13:1-7</w:t>
      </w:r>
    </w:p>
    <w:p w14:paraId="110089A6">
      <w:pPr>
        <w:spacing w:after="240"/>
        <w:ind w:firstLine="720"/>
        <w:jc w:val="both"/>
        <w:rPr>
          <w:lang w:bidi="he-IL"/>
        </w:rPr>
      </w:pPr>
      <w:r>
        <w:rPr>
          <w:lang w:bidi="he-IL"/>
        </w:rPr>
        <w:t>Pada bagian ini, saat melakukan proses eksposisi peneliti meninjau berdasarkan garis besar yang sudah diuraikan dalam bagian sebelumnya. Pada tahapan eksposisi ini nantinya sangat membantu bagi peneliti untuk menemukan hasil atau jawaban dari pertanyaan berkaitan yang telah penulis ajukan dalam bagian rumusan masalah, yaitu menemukan inklusifitas dalam etika politik Paulus sebagai seorang warganegara Kristen yang terdapat dalam teks yang menjadi pembahasan dalam karya ilmiah ini.</w:t>
      </w:r>
    </w:p>
    <w:p w14:paraId="5CAD5E79">
      <w:pPr>
        <w:jc w:val="both"/>
        <w:rPr>
          <w:b/>
          <w:bCs/>
          <w:lang w:bidi="he-IL"/>
        </w:rPr>
      </w:pPr>
      <w:r>
        <w:rPr>
          <w:b/>
          <w:bCs/>
          <w:lang w:bidi="he-IL"/>
        </w:rPr>
        <w:t>Nasihat untuk Tunduk Kepada Pemerintah</w:t>
      </w:r>
    </w:p>
    <w:p w14:paraId="020E3881">
      <w:pPr>
        <w:ind w:firstLine="720"/>
        <w:jc w:val="both"/>
        <w:rPr>
          <w:lang w:bidi="he-IL"/>
        </w:rPr>
      </w:pPr>
      <w:r>
        <w:rPr>
          <w:lang w:bidi="he-IL"/>
        </w:rPr>
        <w:t>Dalam bagian ini peneliti melihat bahwa Paulus memberikan nasihat kepada orang-orang Kristen Roma untuk tunduk kepada pemerintah disertai dengan alasan dari nasihat tersebut, sebagai berikut: pemerintah berasal dari Allah (1a), dan pemerintah ditetapkan oleh Allah (1b). Suatu hal yang menarik dalam surat yang ditulis oleh Paulus kepada orang-orang Kristen atau jemaat di Roma, sebab dia belum pernah mengunjungi Roma. Bahkan dalam suratnya pada pasal 13 ini diawali dengan berisi nasihat atau perintah untuk tunduk kepada pemerintah.</w:t>
      </w:r>
    </w:p>
    <w:p w14:paraId="769A5998">
      <w:pPr>
        <w:ind w:firstLine="720"/>
        <w:jc w:val="both"/>
        <w:rPr>
          <w:lang w:bidi="he-IL"/>
        </w:rPr>
      </w:pPr>
      <w:r>
        <w:rPr>
          <w:lang w:bidi="he-IL"/>
        </w:rPr>
        <w:t xml:space="preserve">Pada bagian awal surat ini, Paulus menasihatkan dengan cakupan yang luas yaitu kepada semua orang. Kata </w:t>
      </w:r>
      <w:r>
        <w:rPr>
          <w:lang w:val="el-GR" w:bidi="he-IL"/>
        </w:rPr>
        <w:t>ψυχὴ</w:t>
      </w:r>
      <w:r>
        <w:rPr>
          <w:lang w:bidi="he-IL"/>
        </w:rPr>
        <w:t xml:space="preserve"> (</w:t>
      </w:r>
      <w:r>
        <w:rPr>
          <w:i/>
          <w:iCs/>
          <w:lang w:bidi="he-IL"/>
        </w:rPr>
        <w:t>psuche</w:t>
      </w:r>
      <w:r>
        <w:rPr>
          <w:lang w:bidi="he-IL"/>
        </w:rPr>
        <w:t xml:space="preserve">) yang berarti jiwa, hidup, maka setiap jiwa diperintahkan untuk tunduk kepada pemerintah. Sehingga melihat konteks yang ada perintah atau nasihat ini ditujukan kepada setiap orang-orang Kristen yang ada di Roma. Berikutnya untuk kata kerja yang digunakan dalam ayat pertama, </w:t>
      </w:r>
      <w:r>
        <w:rPr>
          <w:lang w:val="el-GR" w:bidi="he-IL"/>
        </w:rPr>
        <w:t>ὑποτασσέσθω</w:t>
      </w:r>
      <w:r>
        <w:rPr>
          <w:lang w:bidi="he-IL"/>
        </w:rPr>
        <w:t xml:space="preserve"> (</w:t>
      </w:r>
      <w:r>
        <w:rPr>
          <w:i/>
          <w:iCs/>
          <w:lang w:bidi="he-IL"/>
        </w:rPr>
        <w:t>hupotassesto</w:t>
      </w:r>
      <w:r>
        <w:rPr>
          <w:lang w:bidi="he-IL"/>
        </w:rPr>
        <w:t>) memiliki modus imperatif yang berarti kata tersebut bersifat perintah. Sehingga dalam versi Terjemahan Baru menerjemahan dengan kata takluk, sedangkan dalam versi Indonesian Literal Translation menerjemahkan dengan kata tunduk. Melalui hal ini, peneliti lebih memilih diterjemahkan dengan kata tunduk yang digunakan oleh (ILT) daripada takluk dalam (TB). Sehingga peneliti melihat kalau menggunakan kata takluk mengindikasikan bahwa seseorang berada pada keadaan menyerah kalah di hadapan pemerintah. Berbeda halnya dengan tunduk yang merujuk kepada sikap yang patuh terhadap pemerintah. Ketundukan sebagai keharusan sebab kehadiran dari pemerintah merupakan wujud anugerah umum oleh Allah agar tercipta keadilan serta ketertiban kepada umat.</w:t>
      </w:r>
      <w:r>
        <w:rPr>
          <w:rStyle w:val="19"/>
          <w:lang w:bidi="he-IL"/>
        </w:rPr>
        <w:footnoteReference w:id="33"/>
      </w:r>
      <w:r>
        <w:rPr>
          <w:lang w:bidi="he-IL"/>
        </w:rPr>
        <w:t xml:space="preserve"> Jadi dalam perintah untuk tunduk bukan berarti sikap menghadapkan wajah ke bawah, atau keadaan yang menyerah kalah, melainkan memberikan makna akan kepatuhan, dan ketaatan pada pemerintah yang berasal dari Allah.</w:t>
      </w:r>
    </w:p>
    <w:p w14:paraId="1A6C06EC">
      <w:pPr>
        <w:ind w:firstLine="720"/>
        <w:jc w:val="both"/>
        <w:rPr>
          <w:lang w:bidi="he-IL"/>
        </w:rPr>
      </w:pPr>
      <w:r>
        <w:rPr>
          <w:lang w:bidi="he-IL"/>
        </w:rPr>
        <w:t>Paulus disini sepertinya sedang menyadarkan kepada orang-orang Kristen Roma bahwa mereka terhitung ke dalam komunitas yang memiliki hierarki sosial, sehingga posisi ini perlu diterima oleh mereka.</w:t>
      </w:r>
      <w:r>
        <w:rPr>
          <w:rStyle w:val="19"/>
          <w:lang w:bidi="he-IL"/>
        </w:rPr>
        <w:footnoteReference w:id="34"/>
      </w:r>
      <w:r>
        <w:rPr>
          <w:lang w:bidi="he-IL"/>
        </w:rPr>
        <w:t xml:space="preserve"> Paulus juga secara implisit mengelompokkan warga negara terbagi menjadi dua jenis golongan. Untuk golongan pertama, yang mempunyai otoritas dalam hal memerintah atau disebut sebagai pemerintah. Sedangkan golongan kedua adalah orang-orang yang berada di bawah otoritas tersebut yang harus tunduk kepada golongan pertama, dan mereka adalah masyarakat sipil. Dalam kota Roma, golongan yang terhitung memiliki otoritas untuk memerintah di antaranya, kaisar, senat, konsul, dan magistrat.</w:t>
      </w:r>
      <w:r>
        <w:rPr>
          <w:rStyle w:val="19"/>
          <w:lang w:bidi="he-IL"/>
        </w:rPr>
        <w:footnoteReference w:id="35"/>
      </w:r>
      <w:r>
        <w:rPr>
          <w:lang w:bidi="he-IL"/>
        </w:rPr>
        <w:t xml:space="preserve"> Menurut Paulus, setiap orang yang tergolong dalam masyarakat sipil harus tunduk kepada yang sedang memerintah. Sebagai bentuk kewajiban universal dalam kehidupan kewarganegaraan.</w:t>
      </w:r>
      <w:r>
        <w:rPr>
          <w:rStyle w:val="19"/>
          <w:lang w:bidi="he-IL"/>
        </w:rPr>
        <w:footnoteReference w:id="36"/>
      </w:r>
      <w:r>
        <w:rPr>
          <w:lang w:bidi="he-IL"/>
        </w:rPr>
        <w:t xml:space="preserve"> Artinya perintah di sini berlaku kepada semua orang, siapapun orangnya wajib untuk tunduk pada pemerintah.</w:t>
      </w:r>
    </w:p>
    <w:p w14:paraId="3D52491A">
      <w:pPr>
        <w:ind w:firstLine="720"/>
        <w:jc w:val="both"/>
        <w:rPr>
          <w:lang w:bidi="he-IL"/>
        </w:rPr>
      </w:pPr>
      <w:r>
        <w:rPr>
          <w:lang w:bidi="he-IL"/>
        </w:rPr>
        <w:t xml:space="preserve">Menurut Van den End kata </w:t>
      </w:r>
      <w:r>
        <w:rPr>
          <w:i/>
          <w:iCs/>
          <w:lang w:bidi="he-IL"/>
        </w:rPr>
        <w:t>hupotassesto</w:t>
      </w:r>
      <w:r>
        <w:rPr>
          <w:lang w:bidi="he-IL"/>
        </w:rPr>
        <w:t xml:space="preserve"> memiliki arti harus tunduk karena memakai kalimat perintah sehingga mengindikasikan suatu keharusan bagi tiap-tiap orang tanpa adanya bantahan.</w:t>
      </w:r>
      <w:r>
        <w:rPr>
          <w:rStyle w:val="19"/>
          <w:lang w:bidi="he-IL"/>
        </w:rPr>
        <w:footnoteReference w:id="37"/>
      </w:r>
      <w:r>
        <w:rPr>
          <w:lang w:bidi="he-IL"/>
        </w:rPr>
        <w:t xml:space="preserve"> Maka hal itu, menyatakan bahwa semua orang baik orang bukan Kristen maupun sebagai orang Kristen tidak ada yang terkecuali dari kaum Kristen apapun itu termasuk ada kaum Zelot yang memberontak kepada pemerintah, Paulus memberi perintah harus tunduk kepada pemerintah yang ada.</w:t>
      </w:r>
    </w:p>
    <w:p w14:paraId="18CB3B39">
      <w:pPr>
        <w:ind w:firstLine="720"/>
        <w:jc w:val="both"/>
        <w:rPr>
          <w:lang w:bidi="he-IL"/>
        </w:rPr>
      </w:pPr>
      <w:r>
        <w:rPr>
          <w:lang w:bidi="he-IL"/>
        </w:rPr>
        <w:t>Sebelum Kaisar Nero, pada tahun 49 M pemerintahan Romawi dipimpin oleh Kaisar Claudius, terjadi kekacauan disebabkan oleh kalangan Yahudi yang di dalamnya disebut sebagai pengikut Chrestus.</w:t>
      </w:r>
      <w:r>
        <w:rPr>
          <w:rStyle w:val="19"/>
          <w:lang w:bidi="he-IL"/>
        </w:rPr>
        <w:footnoteReference w:id="38"/>
      </w:r>
      <w:r>
        <w:rPr>
          <w:lang w:bidi="he-IL"/>
        </w:rPr>
        <w:t xml:space="preserve"> Setelah Claudius, pemerintahan Romawi terjadi persoalan lagi yang datang dari komunitas Kristen disebut kaum Zelot yang tidak mau menyembah kepada Kaisar.</w:t>
      </w:r>
      <w:r>
        <w:rPr>
          <w:rStyle w:val="19"/>
          <w:lang w:bidi="he-IL"/>
        </w:rPr>
        <w:footnoteReference w:id="39"/>
      </w:r>
      <w:r>
        <w:rPr>
          <w:lang w:bidi="he-IL"/>
        </w:rPr>
        <w:t xml:space="preserve"> Kemudian mengambil tindakan yang melewati batas sehingga menyebabkan kekacauan atas pemberontakan terhadap pemerintahan Romawi. Padahal waktu itu, Kaisar Nero telah mencabut surat keputusan pengusiran terhadap orang Yahudi, dengan begitu orang Yahudi dapat kembali ke Roma. Adanya pemberontakan tersebut membuat posisi orang Kristen Yahudi maupun non-Yahudi terancam akan diusir lagi oleh pemerintah Roma.</w:t>
      </w:r>
    </w:p>
    <w:p w14:paraId="47ABA5D7">
      <w:pPr>
        <w:ind w:firstLine="720"/>
        <w:jc w:val="both"/>
        <w:rPr>
          <w:lang w:bidi="he-IL"/>
        </w:rPr>
      </w:pPr>
      <w:r>
        <w:rPr>
          <w:lang w:bidi="he-IL"/>
        </w:rPr>
        <w:t>Berdasarkan konteks situasi yang dialami oleh orang-orang Kristen di Roma, dimana ada dua pertimbangan mengenai tujuan Paulus menulis Surat Roma. Pertama, Paulus ingin memperkenalkan diri dan pelayanannya, dan memberikan pengajaran-pengajaran yang utuh mengenai Injil serta penerapan dalam kehidupan.</w:t>
      </w:r>
      <w:r>
        <w:rPr>
          <w:rStyle w:val="19"/>
          <w:lang w:bidi="he-IL"/>
        </w:rPr>
        <w:footnoteReference w:id="40"/>
      </w:r>
      <w:r>
        <w:rPr>
          <w:lang w:bidi="he-IL"/>
        </w:rPr>
        <w:t xml:space="preserve"> Kedua, penulisan suratnya sebagai “</w:t>
      </w:r>
      <w:r>
        <w:rPr>
          <w:i/>
          <w:iCs/>
          <w:lang w:bidi="he-IL"/>
        </w:rPr>
        <w:t>deliberative rethoric</w:t>
      </w:r>
      <w:r>
        <w:rPr>
          <w:lang w:bidi="he-IL"/>
        </w:rPr>
        <w:t>” yang akan memberi dorongan bagi pembacanya supaya melakukan perubahan dalam hal tingkah lakunya.</w:t>
      </w:r>
      <w:r>
        <w:rPr>
          <w:rStyle w:val="19"/>
          <w:lang w:bidi="he-IL"/>
        </w:rPr>
        <w:footnoteReference w:id="41"/>
      </w:r>
      <w:r>
        <w:rPr>
          <w:lang w:bidi="he-IL"/>
        </w:rPr>
        <w:t xml:space="preserve"> Menurut peneliti dalam tujuan Paulus menuliskan surat tersebut lebih tepat pada tujuan ke dua memberikan perubahan tingkah laku orang-orang Kristen Roma. Karena hal ini sangat cocok pada bagian teks Roma 13:1-7 dengan meninjau konteks yang dihadapi pada saat itu, sehingga Paulus menuliskan surat nasihat agar terciptanya kehidupan secara harmonis sebagai warganegara.</w:t>
      </w:r>
    </w:p>
    <w:p w14:paraId="1F06026C">
      <w:pPr>
        <w:ind w:firstLine="720"/>
        <w:jc w:val="both"/>
        <w:rPr>
          <w:lang w:bidi="he-IL"/>
        </w:rPr>
      </w:pPr>
      <w:r>
        <w:rPr>
          <w:lang w:bidi="he-IL"/>
        </w:rPr>
        <w:t xml:space="preserve">Kata </w:t>
      </w:r>
      <w:r>
        <w:rPr>
          <w:lang w:val="el-GR" w:bidi="he-IL"/>
        </w:rPr>
        <w:t>ἐξουσία</w:t>
      </w:r>
      <w:r>
        <w:rPr>
          <w:lang w:bidi="he-IL"/>
        </w:rPr>
        <w:t xml:space="preserve"> (</w:t>
      </w:r>
      <w:r>
        <w:rPr>
          <w:i/>
          <w:iCs/>
          <w:lang w:bidi="he-IL"/>
        </w:rPr>
        <w:t>exousia</w:t>
      </w:r>
      <w:r>
        <w:rPr>
          <w:lang w:bidi="he-IL"/>
        </w:rPr>
        <w:t>) dapat diterjemahkan dengan kuasa, kebebasan, kuasa supranatural, dan pemerintah.</w:t>
      </w:r>
      <w:r>
        <w:rPr>
          <w:rStyle w:val="19"/>
          <w:lang w:bidi="he-IL"/>
        </w:rPr>
        <w:footnoteReference w:id="42"/>
      </w:r>
      <w:r>
        <w:rPr>
          <w:lang w:bidi="he-IL"/>
        </w:rPr>
        <w:t xml:space="preserve"> Muncul perdebatan berkaitan dengan kata ini ketika menafsirkan kata tersebut. Apa yang ada dalam pikiran Paulus ketika dia menggunakan kata ini? Pandangan para ahli berbeda dalam menanggapi pertanyaan ini, sehingga terdapat dua pandangan utama terkait hal ini. Pandangan pertama berpendapat bahwa Paulus sedang menggunakan istilah ini untuk merujuk kepada makhluk-makhluk spiritual atau malaikat. Tokoh sarjana yang mengemukakan pendapat ini adalah Cranfield yang dikutip oleh Richard Longenecker. Alasannya, karena pada bagian-bagian lain dalam Surat-surat Paulus, kata </w:t>
      </w:r>
      <w:r>
        <w:rPr>
          <w:i/>
          <w:iCs/>
          <w:lang w:bidi="he-IL"/>
        </w:rPr>
        <w:t xml:space="preserve">exousia </w:t>
      </w:r>
      <w:r>
        <w:rPr>
          <w:lang w:bidi="he-IL"/>
        </w:rPr>
        <w:t>muncul dalam bentuk jamak yang menandakan kepada kekuatan malaikat yang tidak terlihat.</w:t>
      </w:r>
      <w:r>
        <w:rPr>
          <w:rStyle w:val="19"/>
          <w:lang w:bidi="he-IL"/>
        </w:rPr>
        <w:footnoteReference w:id="43"/>
      </w:r>
      <w:r>
        <w:rPr>
          <w:lang w:bidi="he-IL"/>
        </w:rPr>
        <w:t xml:space="preserve"> Oleh karena itu, argumentasi dari Cranfield hanya melihat berdasarkan argumen secara umum dari kata tersebut oleh Paulus, namun argumentasi tersebut tidak bisa dipercaya dalam kasus-kasus tertentu. Pandangan kedua, Douglas Moo tidak sependapat dengan Cranfield, karena menurut Douglas Moo kata tersebut mengacu kepada otoritas pemerintahan manusia. Karena berdasarkan konteks dalam ayat pertama, Paulus sedang menunjukan posisi pemerintah yang lebih unggul dibandingan orang-orang Kristen Roma yang dia ajak bicara, selain daripada itu dalam teks tidak ada bukti konkret yang menunjukan kekuatan malaikat</w:t>
      </w:r>
      <w:r>
        <w:rPr>
          <w:rStyle w:val="19"/>
          <w:lang w:bidi="he-IL"/>
        </w:rPr>
        <w:footnoteReference w:id="44"/>
      </w:r>
      <w:r>
        <w:rPr>
          <w:lang w:bidi="he-IL"/>
        </w:rPr>
        <w:t xml:space="preserve"> Oleh karena itu, argumentasi dari Douglas Moo lebih cocok dengan konteks dari ayat tersebut ketimbang Cranfield.</w:t>
      </w:r>
    </w:p>
    <w:p w14:paraId="4497B07E">
      <w:pPr>
        <w:ind w:firstLine="720"/>
        <w:jc w:val="both"/>
        <w:rPr>
          <w:lang w:bidi="he-IL"/>
        </w:rPr>
      </w:pPr>
      <w:r>
        <w:rPr>
          <w:lang w:bidi="he-IL"/>
        </w:rPr>
        <w:t>Senada dengan Douglas Moo, peneliti di sini lebih cocok untuk menggunakan terjemahan sebagai pemerintah karena di sini tidak sedang membahas terhadap kuasa-kuasa supranatural yang abstrak, namun Paulus sedang merujuk kepada hal yang konkrit yaitu kepada pemerintah di dunia ini yang dimana dibahas dalam konteksnya juga pada ayat enam mengenai kewajiban untuk membayar pajak, karena merupakan hal yang aneh apabila berbicara soal malaikat dalam teks lalu dihubungan dengan perintah membayar pajak kepada malaikat. Selain itu menurut peneliti, dalam Alkitab secara komprehensif tidak ada perintah yang menyatakan bahwa orang Kristen harus tunduk kepada penguasa-penguasa supranatural seperti iblis dan malaikat. Jadi pada bagian awal ini maksud yang bisa diperoleh berkaitan surat Paulus secara jelas memberikan nasihat kepada jemaat di Roma untuk tunduk kepada pemerintah di dunia.</w:t>
      </w:r>
    </w:p>
    <w:p w14:paraId="0A5AA1A7">
      <w:pPr>
        <w:ind w:firstLine="720"/>
        <w:jc w:val="both"/>
        <w:rPr>
          <w:lang w:bidi="he-IL"/>
        </w:rPr>
      </w:pPr>
      <w:r>
        <w:rPr>
          <w:lang w:bidi="he-IL"/>
        </w:rPr>
        <w:t>Di awali dengan sebuah nasihat, tentunya Paulus tidak hanya sebatas dengan hanya sekedar menyampaikan nasihat kepada orang-orang Kristen Roma. Namun, ia menyertakan alasan daripada nasihat yang berkaitan tunduk pada pemerintah. Alasan dari nasihat tersebut karena pemerintah berasal dari Allah.</w:t>
      </w:r>
    </w:p>
    <w:p w14:paraId="20F047AA">
      <w:pPr>
        <w:ind w:firstLine="720"/>
        <w:jc w:val="both"/>
        <w:rPr>
          <w:lang w:bidi="he-IL"/>
        </w:rPr>
      </w:pPr>
    </w:p>
    <w:p w14:paraId="51F828E8">
      <w:pPr>
        <w:jc w:val="both"/>
        <w:rPr>
          <w:i/>
          <w:iCs/>
          <w:lang w:bidi="he-IL"/>
        </w:rPr>
      </w:pPr>
      <w:r>
        <w:rPr>
          <w:i/>
          <w:iCs/>
          <w:lang w:bidi="he-IL"/>
        </w:rPr>
        <w:t>Pemerintah Berasal dari Allah (1a)</w:t>
      </w:r>
    </w:p>
    <w:p w14:paraId="384630B0">
      <w:pPr>
        <w:ind w:firstLine="720"/>
        <w:jc w:val="both"/>
        <w:rPr>
          <w:lang w:bidi="he-IL"/>
        </w:rPr>
      </w:pPr>
      <w:r>
        <w:rPr>
          <w:lang w:bidi="he-IL"/>
        </w:rPr>
        <w:t xml:space="preserve">Dapat dilihat pada nasihat Paulus memberikan suatu alasan teologis perihal tunduk kepada pemerintah, alasannya karena pemerintah itu berasal dari Allah. Frase berasal dari Allah yang dipakai dalam bahasa aslinya </w:t>
      </w:r>
      <w:r>
        <w:rPr>
          <w:lang w:val="el-GR" w:bidi="he-IL"/>
        </w:rPr>
        <w:t>ὑπὸ θεοῦ</w:t>
      </w:r>
      <w:r>
        <w:rPr>
          <w:lang w:bidi="he-IL"/>
        </w:rPr>
        <w:t xml:space="preserve"> (</w:t>
      </w:r>
      <w:r>
        <w:rPr>
          <w:i/>
          <w:iCs/>
          <w:lang w:bidi="he-IL"/>
        </w:rPr>
        <w:t>hupo Theou</w:t>
      </w:r>
      <w:r>
        <w:rPr>
          <w:lang w:bidi="he-IL"/>
        </w:rPr>
        <w:t>) menyatakan makna tersirat posisi dari Allah lebih tinggi daripada pemerintah, karena eksistensi pemerintah di dunia sangat bergantung kepada Allah. Michael Bird menyoroti teks Roma 13:1-7 kata Allah dirujuk sebanyak enam kali yang mengangkat otoritas Allah sebagai penguasa dunia.</w:t>
      </w:r>
      <w:r>
        <w:rPr>
          <w:rStyle w:val="19"/>
          <w:lang w:bidi="he-IL"/>
        </w:rPr>
        <w:footnoteReference w:id="45"/>
      </w:r>
      <w:r>
        <w:rPr>
          <w:lang w:bidi="he-IL"/>
        </w:rPr>
        <w:t xml:space="preserve"> Terlihat sangat jelas disini, Paulus mau menyatakan Allah yang berdaulat atas pemerintah.</w:t>
      </w:r>
    </w:p>
    <w:p w14:paraId="77C692B2">
      <w:pPr>
        <w:ind w:firstLine="720"/>
        <w:jc w:val="both"/>
        <w:rPr>
          <w:lang w:bidi="he-IL"/>
        </w:rPr>
      </w:pPr>
      <w:r>
        <w:rPr>
          <w:lang w:bidi="he-IL"/>
        </w:rPr>
        <w:t xml:space="preserve">Kata </w:t>
      </w:r>
      <w:r>
        <w:rPr>
          <w:i/>
          <w:iCs/>
          <w:lang w:bidi="he-IL"/>
        </w:rPr>
        <w:t>hupo</w:t>
      </w:r>
      <w:r>
        <w:rPr>
          <w:lang w:bidi="he-IL"/>
        </w:rPr>
        <w:t xml:space="preserve"> bersifat sebagai preposisi dalam kalimat sehingga ada kata ini</w:t>
      </w:r>
      <w:r>
        <w:rPr>
          <w:i/>
          <w:iCs/>
          <w:lang w:bidi="he-IL"/>
        </w:rPr>
        <w:t xml:space="preserve"> </w:t>
      </w:r>
      <w:r>
        <w:rPr>
          <w:lang w:bidi="he-IL"/>
        </w:rPr>
        <w:t>dapat menunjukan sumber atau asal mula dari sesuatu, yang biasanya secara tepat diterjemahkan dengan kata “dari”.</w:t>
      </w:r>
      <w:r>
        <w:rPr>
          <w:rStyle w:val="19"/>
          <w:lang w:bidi="he-IL"/>
        </w:rPr>
        <w:footnoteReference w:id="46"/>
      </w:r>
      <w:r>
        <w:rPr>
          <w:lang w:bidi="he-IL"/>
        </w:rPr>
        <w:t xml:space="preserve"> Karena itu, </w:t>
      </w:r>
      <w:r>
        <w:rPr>
          <w:i/>
          <w:iCs/>
          <w:lang w:bidi="he-IL"/>
        </w:rPr>
        <w:t xml:space="preserve">hupo Theou </w:t>
      </w:r>
      <w:r>
        <w:rPr>
          <w:lang w:bidi="he-IL"/>
        </w:rPr>
        <w:t xml:space="preserve">dapat diterjemahkan dengan pemerintah berasal dari Allah. </w:t>
      </w:r>
    </w:p>
    <w:p w14:paraId="17F6B0CD">
      <w:pPr>
        <w:ind w:firstLine="720"/>
        <w:jc w:val="both"/>
        <w:rPr>
          <w:lang w:bidi="he-IL"/>
        </w:rPr>
      </w:pPr>
      <w:r>
        <w:rPr>
          <w:lang w:bidi="he-IL"/>
        </w:rPr>
        <w:t>Menurut David Ibrahim, menyangkut alasan pemerintah berasal dari Allah. Dia mengemukakan bahwa orang yang percaya harus mengakui pernyataan Paulus disini bahwa semua pemerintah berasal dari Allah, dan kehadiran pemerintah sudah menjadi rencana Allah. Menjadi suatu penekanan untuk bagian ini, berkaitan adanya kekuasaan Allah di atas seluruh manusia termasuk semua pemerintah berasal dari Allah. (Mzm. 47:9; Ams. 8:15; Dan. 2:21; 4: 17, 25, 32-37).</w:t>
      </w:r>
      <w:r>
        <w:rPr>
          <w:rStyle w:val="19"/>
          <w:lang w:bidi="he-IL"/>
        </w:rPr>
        <w:footnoteReference w:id="47"/>
      </w:r>
      <w:r>
        <w:rPr>
          <w:lang w:bidi="he-IL"/>
        </w:rPr>
        <w:t xml:space="preserve"> Dengan demikian, ketundukan pada pemerintah merupakan ekspresi dari orang Kristen kepada Allah. Dibalik semuanya Allah yang telah membentuk pemerintahan manusia untuk menjalankan wewenang yang didelegasikan Allah atas manusia. Orang Kristen harus tunduk pada pemerintahan manusia atas dasar alasan ini.</w:t>
      </w:r>
    </w:p>
    <w:p w14:paraId="6DE95EF1">
      <w:pPr>
        <w:ind w:firstLine="720"/>
        <w:jc w:val="both"/>
        <w:rPr>
          <w:lang w:bidi="he-IL"/>
        </w:rPr>
      </w:pPr>
      <w:r>
        <w:rPr>
          <w:lang w:bidi="he-IL"/>
        </w:rPr>
        <w:t xml:space="preserve">Jadi penggunaan kata </w:t>
      </w:r>
      <w:r>
        <w:rPr>
          <w:i/>
          <w:iCs/>
          <w:lang w:bidi="he-IL"/>
        </w:rPr>
        <w:t>hupo Theou</w:t>
      </w:r>
      <w:r>
        <w:rPr>
          <w:lang w:bidi="he-IL"/>
        </w:rPr>
        <w:t xml:space="preserve"> dalam ayat ini dimaknai dengan dua arti. Pertama, pemerintah itu berada di bawah Allah. Kedua, pemerintah itu berasal dari Allah. Dengan begitu, peneliti lebih menyatakan bahwa kedua makna tersebut adalah hal yang benar. Karena Paulus sedang menyatakan kepada orang-orang Kristen di Roma bahwa sumber pemerintah itu datangnya dari Allah, selain itu Paulus juga secara tidak langsung menunjukan bahwa otoritas pemerintah di bawah Allah. Tetap Allah sebagai penguasa otoritas tertinggi.</w:t>
      </w:r>
    </w:p>
    <w:p w14:paraId="5DF1193E">
      <w:pPr>
        <w:ind w:firstLine="720"/>
        <w:jc w:val="both"/>
        <w:rPr>
          <w:lang w:bidi="he-IL"/>
        </w:rPr>
      </w:pPr>
    </w:p>
    <w:p w14:paraId="2CEC45C7">
      <w:pPr>
        <w:jc w:val="both"/>
        <w:rPr>
          <w:i/>
          <w:iCs/>
          <w:lang w:bidi="he-IL"/>
        </w:rPr>
      </w:pPr>
      <w:r>
        <w:rPr>
          <w:i/>
          <w:iCs/>
          <w:lang w:bidi="he-IL"/>
        </w:rPr>
        <w:t>Pemerintah Ditetapkan oleh Allah (1b)</w:t>
      </w:r>
    </w:p>
    <w:p w14:paraId="7F3DB171">
      <w:pPr>
        <w:tabs>
          <w:tab w:val="left" w:pos="4875"/>
        </w:tabs>
        <w:ind w:firstLine="720"/>
        <w:jc w:val="both"/>
        <w:rPr>
          <w:lang w:bidi="he-IL"/>
        </w:rPr>
      </w:pPr>
      <w:r>
        <w:rPr>
          <w:lang w:bidi="he-IL"/>
        </w:rPr>
        <w:t xml:space="preserve">Paulus memberikan alasan teologis selanjutnya dari nasihat untuk tunduk kepada pemerintah adalah pemerintah-pemerintah yang ada ditetapkan oleh Allah. Frase ditetapkan oleh Allah dalam bahasa aslinya </w:t>
      </w:r>
      <w:r>
        <w:rPr>
          <w:lang w:val="el-GR" w:bidi="he-IL"/>
        </w:rPr>
        <w:t>τεταγμέναι</w:t>
      </w:r>
      <w:r>
        <w:rPr>
          <w:lang w:bidi="he-IL"/>
        </w:rPr>
        <w:t xml:space="preserve"> (</w:t>
      </w:r>
      <w:r>
        <w:rPr>
          <w:i/>
          <w:iCs/>
          <w:lang w:bidi="he-IL"/>
        </w:rPr>
        <w:t>tetagmenai</w:t>
      </w:r>
      <w:r>
        <w:rPr>
          <w:lang w:bidi="he-IL"/>
        </w:rPr>
        <w:t xml:space="preserve">) berasal dari kata </w:t>
      </w:r>
      <w:r>
        <w:rPr>
          <w:lang w:val="el-GR" w:bidi="he-IL"/>
        </w:rPr>
        <w:t>τάσσω</w:t>
      </w:r>
      <w:r>
        <w:rPr>
          <w:lang w:bidi="he-IL"/>
        </w:rPr>
        <w:t xml:space="preserve"> yang mempunyai arti menempatkan, menyepakati, menunjukan, dan menentukan.</w:t>
      </w:r>
      <w:r>
        <w:rPr>
          <w:rStyle w:val="19"/>
          <w:lang w:bidi="he-IL"/>
        </w:rPr>
        <w:footnoteReference w:id="48"/>
      </w:r>
      <w:r>
        <w:rPr>
          <w:lang w:bidi="he-IL"/>
        </w:rPr>
        <w:t xml:space="preserve"> Berdasarkan diatesis kata ini menggunakan pasif sehingga artinya menjadi pemerintah itu ditetapkan oleh Allah.</w:t>
      </w:r>
    </w:p>
    <w:p w14:paraId="7CCD2732">
      <w:pPr>
        <w:tabs>
          <w:tab w:val="left" w:pos="4875"/>
        </w:tabs>
        <w:ind w:firstLine="720"/>
        <w:jc w:val="both"/>
        <w:rPr>
          <w:lang w:bidi="he-IL"/>
        </w:rPr>
      </w:pPr>
      <w:r>
        <w:rPr>
          <w:lang w:bidi="he-IL"/>
        </w:rPr>
        <w:t>Pada ayat 1b ini, Paulus memberitahukan bahwa tidak ada pemerintah yang dapat memegang kekuasaannya kecuali melalui penunjukan Allah. Hal ini mencerminkan standar pada Perjanjian Lama, dan orang-orang Yahudi memegang itu. Salah satu tokoh dalam Perjanjian Lama ada Daniel yang memberitahukan hal itu kepada raja kafir Nebukadnezar bahwa Allah yang Mahatinggi berdaulat atas kerajaan manusia, dan memberikan kepada siapa saja yang Allah kehendaki bahkan orang yang paling hina sekalipun. (Dan. 4:17). Dengan begitu, menandakan ketergantungan Paulus pada tradisi ini. Kemudian, Paulus menggunakan bentuk bahasa yang inklusif siapapun penguasa bisa memperoleh kekuasaannya karena kehendak Allah.</w:t>
      </w:r>
    </w:p>
    <w:p w14:paraId="65659FC6">
      <w:pPr>
        <w:tabs>
          <w:tab w:val="left" w:pos="4875"/>
        </w:tabs>
        <w:ind w:firstLine="720"/>
        <w:jc w:val="both"/>
        <w:rPr>
          <w:lang w:bidi="he-IL"/>
        </w:rPr>
      </w:pPr>
      <w:r>
        <w:rPr>
          <w:lang w:bidi="he-IL"/>
        </w:rPr>
        <w:t>Paulus menginformasikan kepada orang-orang Kristen Roma bahwa pemerintah itu hadir dalam dunia atas dasar kehendak Allah. Dalam instrumennya Allah tersebut, maka pemerintah hendaknya membawa ketertiban bagi kehidupan masyarakat.</w:t>
      </w:r>
      <w:r>
        <w:rPr>
          <w:rStyle w:val="19"/>
          <w:lang w:bidi="he-IL"/>
        </w:rPr>
        <w:footnoteReference w:id="49"/>
      </w:r>
      <w:r>
        <w:rPr>
          <w:lang w:bidi="he-IL"/>
        </w:rPr>
        <w:t xml:space="preserve"> Maka dari hal itu, pemerintah ada dalam dunia karena kehendak Allah, selayaknya pemerintah menunjukan kepada masyarakatnya akan etika yang baik sejalan dengan maksud dan tujuan Allah. Biar dari situ masyarakat juga mendapat cerminan etika yang baik.</w:t>
      </w:r>
    </w:p>
    <w:p w14:paraId="06AF5D74">
      <w:pPr>
        <w:tabs>
          <w:tab w:val="left" w:pos="4875"/>
        </w:tabs>
        <w:ind w:firstLine="720"/>
        <w:jc w:val="both"/>
        <w:rPr>
          <w:lang w:bidi="he-IL"/>
        </w:rPr>
      </w:pPr>
      <w:r>
        <w:rPr>
          <w:lang w:bidi="he-IL"/>
        </w:rPr>
        <w:t>Pemerintah yang sudah ditetapkan oleh Allah, memiliki sebuah tanggung jawab kepada Allah, dan masyarakat. Jikalau yang terjadi pemerintah malah melakukan tindakan-tindakan yang tidak sesuai dengan rencana atau kehendak Allah. Nantinya Allah yang mempunyai otoritas untuk bertindak atas tindakannya tersebut. Karena dalam Alkitab memberikan kisah-kisah mengenai seorang pemimpin yang menyalahgunakan kekuasan yang telah Allah berikan kepadanya.  Seperti kisah dari tokoh raja Saul yang tidak mau mentaati perintah Allah dengan melanggar batas dari kekuasaan yang dia miliki (1 Sam. 13:1-22). Selain itu, raja yang sangat terkenal waktu itu yang bernama Daud. Pelanggaran dosa yang dilakukan oleh Daud waktu itu dia mengambil isteri dari Uria yang bernama Batsyeba sehingga tindakan Daud adalah jahat di hadapan Allah.</w:t>
      </w:r>
    </w:p>
    <w:p w14:paraId="5516E24C">
      <w:pPr>
        <w:tabs>
          <w:tab w:val="left" w:pos="4875"/>
        </w:tabs>
        <w:ind w:firstLine="720"/>
        <w:jc w:val="both"/>
        <w:rPr>
          <w:lang w:bidi="he-IL"/>
        </w:rPr>
      </w:pPr>
      <w:r>
        <w:rPr>
          <w:lang w:bidi="he-IL"/>
        </w:rPr>
        <w:t>Jadi dalam ayat ini tidak diberitahukan oleh Paulus secara eksplisit dengan adanya nasihat untuk tunduk pada pemerintah, lalu pemerintah yang menjalankan kuasanya dengan kebebasan sampai semuanya harus ditaati oleh masyarakat. Tidak secara demikian, peneliti melihat dalam ayat pertama ini bahwa seorang pemerintah yang berkuasa adalah instrumennya Allah, jika suatu waktu pemerintah gagal menjalankan tanggung jawab sesuai dengan kehendak Allah. Maka Allah lah yang berhak mencabut kekuasaannya. Karena pemerintah yang ada di dunia tidak mempunyai otoritas selamanya, melainkan otoritas Allah yang berlaku selamanya sehingga yang menjadi ukuran seseorang pemerintah itu ditetapkan oleh Allah yaitu pemerintah teresebut menjalankan tugasnya dengan baik sesuai dengan maksud dan tujuan Allah kepada manusia.</w:t>
      </w:r>
    </w:p>
    <w:p w14:paraId="06134A60">
      <w:pPr>
        <w:tabs>
          <w:tab w:val="left" w:pos="4875"/>
        </w:tabs>
        <w:ind w:firstLine="720"/>
        <w:jc w:val="both"/>
        <w:rPr>
          <w:sz w:val="10"/>
          <w:szCs w:val="10"/>
          <w:lang w:bidi="he-IL"/>
        </w:rPr>
      </w:pPr>
    </w:p>
    <w:p w14:paraId="2D19076A">
      <w:pPr>
        <w:tabs>
          <w:tab w:val="left" w:pos="4875"/>
        </w:tabs>
        <w:jc w:val="both"/>
        <w:rPr>
          <w:b/>
          <w:bCs/>
          <w:lang w:bidi="he-IL"/>
        </w:rPr>
      </w:pPr>
      <w:r>
        <w:rPr>
          <w:b/>
          <w:bCs/>
          <w:lang w:bidi="he-IL"/>
        </w:rPr>
        <w:t>Konsekuensi Melawan Pemerintah</w:t>
      </w:r>
    </w:p>
    <w:p w14:paraId="19E4A646">
      <w:pPr>
        <w:tabs>
          <w:tab w:val="left" w:pos="4875"/>
        </w:tabs>
        <w:spacing w:after="240"/>
        <w:ind w:firstLine="720"/>
        <w:jc w:val="both"/>
        <w:rPr>
          <w:lang w:bidi="he-IL"/>
        </w:rPr>
      </w:pPr>
      <w:r>
        <w:rPr>
          <w:lang w:bidi="he-IL"/>
        </w:rPr>
        <w:t>Pada bagian awal teks surat Roma 13:1-7 memberitahukan adanya nasihat Paulus kepada orang-orang Kristen Roma untuk tunduk kepada pemerintah. Masuk pada bagian ini, peneliti melihat ada kausalitas ketika jemaat di Roma tidak menjalankan nasihat dari Rasul Paulus. Melalui bagian ini, peneliti akan menerangkan konsekuensi ketika melawan pemerintah yaitu: melawan ketetapan Allah (2a), dan mendapat hukuman (2b).</w:t>
      </w:r>
    </w:p>
    <w:p w14:paraId="5039218F">
      <w:pPr>
        <w:tabs>
          <w:tab w:val="left" w:pos="4875"/>
        </w:tabs>
        <w:jc w:val="both"/>
        <w:rPr>
          <w:i/>
          <w:iCs/>
          <w:lang w:bidi="he-IL"/>
        </w:rPr>
      </w:pPr>
      <w:r>
        <w:rPr>
          <w:i/>
          <w:iCs/>
          <w:lang w:bidi="he-IL"/>
        </w:rPr>
        <w:t>Melawan Ketetapan Allah (2a)</w:t>
      </w:r>
    </w:p>
    <w:p w14:paraId="3AC95E1D">
      <w:pPr>
        <w:tabs>
          <w:tab w:val="left" w:pos="4875"/>
        </w:tabs>
        <w:ind w:firstLine="720"/>
        <w:jc w:val="both"/>
        <w:rPr>
          <w:lang w:bidi="he-IL"/>
        </w:rPr>
      </w:pPr>
      <w:r>
        <w:rPr>
          <w:lang w:bidi="he-IL"/>
        </w:rPr>
        <w:t xml:space="preserve">Paulus memberitahukan dalam ayat ini suatu dampak secara teologis bilamana seseorang yang melawan pemerintah, maka orang tersebut melawan ketetapan Allah.  Pada penggunaan kata </w:t>
      </w:r>
      <w:r>
        <w:rPr>
          <w:lang w:val="el-GR" w:bidi="he-IL"/>
        </w:rPr>
        <w:t>τάσσω</w:t>
      </w:r>
      <w:r>
        <w:rPr>
          <w:lang w:bidi="he-IL"/>
        </w:rPr>
        <w:t xml:space="preserve"> (</w:t>
      </w:r>
      <w:r>
        <w:rPr>
          <w:i/>
          <w:iCs/>
          <w:lang w:bidi="he-IL"/>
        </w:rPr>
        <w:t>tasso</w:t>
      </w:r>
      <w:r>
        <w:rPr>
          <w:lang w:bidi="he-IL"/>
        </w:rPr>
        <w:t>) memiliki arti menugaskan, menunjuk, mengatur, dan menentukan.</w:t>
      </w:r>
      <w:r>
        <w:rPr>
          <w:rStyle w:val="19"/>
          <w:lang w:bidi="he-IL"/>
        </w:rPr>
        <w:footnoteReference w:id="50"/>
      </w:r>
      <w:r>
        <w:rPr>
          <w:lang w:bidi="he-IL"/>
        </w:rPr>
        <w:t xml:space="preserve"> Kata ini muncul sebanyak tiga kali dalam ayat 1-2. Pertama kata ini digunakan sebagai akar kata dari </w:t>
      </w:r>
      <w:r>
        <w:rPr>
          <w:i/>
          <w:iCs/>
          <w:lang w:bidi="he-IL"/>
        </w:rPr>
        <w:t>huppotassestho</w:t>
      </w:r>
      <w:r>
        <w:rPr>
          <w:lang w:bidi="he-IL"/>
        </w:rPr>
        <w:t xml:space="preserve"> berarti tunduk (ay.1). Kedua, kata ini digunakan sebagai akar kata </w:t>
      </w:r>
      <w:r>
        <w:rPr>
          <w:i/>
          <w:iCs/>
          <w:lang w:bidi="he-IL"/>
        </w:rPr>
        <w:t>tetagmenai</w:t>
      </w:r>
      <w:r>
        <w:rPr>
          <w:lang w:bidi="he-IL"/>
        </w:rPr>
        <w:t xml:space="preserve"> artinya ditetapkan (ay.1). Ketiga, kata ini digunakan sebagai akar kata dari </w:t>
      </w:r>
      <w:r>
        <w:rPr>
          <w:i/>
          <w:iCs/>
          <w:lang w:bidi="he-IL"/>
        </w:rPr>
        <w:t>antitassomai</w:t>
      </w:r>
      <w:r>
        <w:rPr>
          <w:lang w:bidi="he-IL"/>
        </w:rPr>
        <w:t xml:space="preserve"> berarti melawan (ay. 2). Lalu kemudian, dalam ayat 2 menggunakan kata </w:t>
      </w:r>
      <w:r>
        <w:rPr>
          <w:i/>
          <w:iCs/>
          <w:lang w:bidi="he-IL"/>
        </w:rPr>
        <w:t>antitassomenos</w:t>
      </w:r>
      <w:r>
        <w:rPr>
          <w:lang w:bidi="he-IL"/>
        </w:rPr>
        <w:t xml:space="preserve"> berada pada posisi yang berdampingan dengan 2 kata lainnya yaitu </w:t>
      </w:r>
      <w:r>
        <w:rPr>
          <w:i/>
          <w:iCs/>
          <w:lang w:bidi="he-IL"/>
        </w:rPr>
        <w:t>anthesteken</w:t>
      </w:r>
      <w:r>
        <w:rPr>
          <w:lang w:bidi="he-IL"/>
        </w:rPr>
        <w:t xml:space="preserve"> dan </w:t>
      </w:r>
      <w:r>
        <w:rPr>
          <w:i/>
          <w:iCs/>
          <w:lang w:bidi="he-IL"/>
        </w:rPr>
        <w:t>anthestekotes</w:t>
      </w:r>
      <w:r>
        <w:rPr>
          <w:lang w:bidi="he-IL"/>
        </w:rPr>
        <w:t>. Pada ketiga kata tersebut, memberikan pengartian yang sama-sama melawan. Dengan demikian, melihat dari kemunculan kata-kata tersebut pada bagian awal teks, Paulus menandakan keseriusan dalam hal ketaatan kepada pemerintah, dan tidak melawan.</w:t>
      </w:r>
    </w:p>
    <w:p w14:paraId="64039718">
      <w:pPr>
        <w:tabs>
          <w:tab w:val="left" w:pos="4875"/>
        </w:tabs>
        <w:spacing w:after="240"/>
        <w:ind w:firstLine="720"/>
        <w:jc w:val="both"/>
        <w:rPr>
          <w:lang w:bidi="he-IL"/>
        </w:rPr>
      </w:pPr>
      <w:r>
        <w:rPr>
          <w:lang w:bidi="he-IL"/>
        </w:rPr>
        <w:t>Menurut Dave Hagelberg, ia menjelaskan dari sudut pandang bentuk perlawanan dalam ayat ini di antaranya perlawanan yang dilakukan secara terlihat dan aktif atau secara diam-diam dan pasif. Maka, berdasarkan kedua hal tersebut sesuai dengan apa yang menjadi maksud pada ayat ini.</w:t>
      </w:r>
      <w:r>
        <w:rPr>
          <w:rStyle w:val="19"/>
          <w:lang w:bidi="he-IL"/>
        </w:rPr>
        <w:footnoteReference w:id="51"/>
      </w:r>
      <w:r>
        <w:rPr>
          <w:lang w:bidi="he-IL"/>
        </w:rPr>
        <w:t xml:space="preserve"> Dalam teks ini, Paulus menyatakan bahwa orang yang melawan pemerintah, maka orang itu sama saja melawan Allah, atau secara tidak langsung dirinya sedang melawan Allah. Kata melawan menggunakan kata </w:t>
      </w:r>
      <w:r>
        <w:rPr>
          <w:lang w:val="el-GR" w:bidi="he-IL"/>
        </w:rPr>
        <w:t>ἀντιτασσόμενος</w:t>
      </w:r>
      <w:r>
        <w:rPr>
          <w:lang w:bidi="he-IL"/>
        </w:rPr>
        <w:t xml:space="preserve"> (</w:t>
      </w:r>
      <w:r>
        <w:rPr>
          <w:i/>
          <w:iCs/>
          <w:lang w:bidi="he-IL"/>
        </w:rPr>
        <w:t>antitassomenos</w:t>
      </w:r>
      <w:r>
        <w:rPr>
          <w:lang w:bidi="he-IL"/>
        </w:rPr>
        <w:t>) dapat diartikan dengan menentang.</w:t>
      </w:r>
      <w:r>
        <w:rPr>
          <w:rStyle w:val="19"/>
          <w:lang w:bidi="he-IL"/>
        </w:rPr>
        <w:footnoteReference w:id="52"/>
      </w:r>
      <w:r>
        <w:rPr>
          <w:lang w:bidi="he-IL"/>
        </w:rPr>
        <w:t xml:space="preserve"> Jadi maksud dari kata ini adalah orang yang melawan pemerintah berarti melawan ketetapan Allah. Dalam teks ini, Paulus menyatakan bahwa orang yang melawan pemerintah, maka orang itu sama saja melawan Allah, atau secara tidak langsung dirinya sedang melawan Allah.</w:t>
      </w:r>
    </w:p>
    <w:p w14:paraId="73528084">
      <w:pPr>
        <w:tabs>
          <w:tab w:val="left" w:pos="4875"/>
        </w:tabs>
        <w:jc w:val="both"/>
        <w:rPr>
          <w:i/>
          <w:iCs/>
          <w:lang w:bidi="he-IL"/>
        </w:rPr>
      </w:pPr>
      <w:r>
        <w:rPr>
          <w:i/>
          <w:iCs/>
          <w:lang w:bidi="he-IL"/>
        </w:rPr>
        <w:t>Mendapat Hukuman (2b)</w:t>
      </w:r>
    </w:p>
    <w:p w14:paraId="3F194815">
      <w:pPr>
        <w:tabs>
          <w:tab w:val="left" w:pos="4875"/>
        </w:tabs>
        <w:ind w:firstLine="720"/>
        <w:jc w:val="both"/>
        <w:rPr>
          <w:lang w:bidi="he-IL"/>
        </w:rPr>
      </w:pPr>
      <w:r>
        <w:rPr>
          <w:lang w:bidi="he-IL"/>
        </w:rPr>
        <w:t xml:space="preserve">Pada ayat 2 peneliti mencermati untuk kata melawan </w:t>
      </w:r>
      <w:r>
        <w:rPr>
          <w:lang w:val="el-GR" w:bidi="he-IL"/>
        </w:rPr>
        <w:t>ἀνθέστηκεν</w:t>
      </w:r>
      <w:r>
        <w:rPr>
          <w:lang w:bidi="he-IL"/>
        </w:rPr>
        <w:t xml:space="preserve"> (</w:t>
      </w:r>
      <w:r>
        <w:rPr>
          <w:i/>
          <w:iCs/>
          <w:lang w:bidi="he-IL"/>
        </w:rPr>
        <w:t>anthesteken</w:t>
      </w:r>
      <w:r>
        <w:rPr>
          <w:lang w:bidi="he-IL"/>
        </w:rPr>
        <w:t xml:space="preserve">) kemudian menjadi </w:t>
      </w:r>
      <w:r>
        <w:rPr>
          <w:lang w:val="el-GR" w:bidi="he-IL"/>
        </w:rPr>
        <w:t>ἀνθεστηκότες</w:t>
      </w:r>
      <w:r>
        <w:rPr>
          <w:lang w:bidi="he-IL"/>
        </w:rPr>
        <w:t xml:space="preserve"> (</w:t>
      </w:r>
      <w:r>
        <w:rPr>
          <w:i/>
          <w:iCs/>
          <w:lang w:bidi="he-IL"/>
        </w:rPr>
        <w:t>anthestekotes</w:t>
      </w:r>
      <w:r>
        <w:rPr>
          <w:lang w:bidi="he-IL"/>
        </w:rPr>
        <w:t xml:space="preserve">). Bila mencermatinya terjadi peralihan dimana bentuk awal dari kata ini menggunakan bentuk tunggal kemudian bentuknya menjadi jamak. Artinya, awalnya ada seorang yang melawan pemerintah kemudian perlawanan yang terjadi bisa membawa orang-orang lain sehingga menjadi kelompok atau golongan yang bisa menentang pemerintah. </w:t>
      </w:r>
    </w:p>
    <w:p w14:paraId="47EF187B">
      <w:pPr>
        <w:tabs>
          <w:tab w:val="left" w:pos="4875"/>
        </w:tabs>
        <w:ind w:firstLine="720"/>
        <w:jc w:val="both"/>
        <w:rPr>
          <w:lang w:bidi="he-IL"/>
        </w:rPr>
      </w:pPr>
      <w:r>
        <w:rPr>
          <w:lang w:bidi="he-IL"/>
        </w:rPr>
        <w:t>Bagi orang-orang yang melawan pemerintah akan menerima hukuman.</w:t>
      </w:r>
      <w:r>
        <w:rPr>
          <w:rStyle w:val="19"/>
          <w:lang w:bidi="he-IL"/>
        </w:rPr>
        <w:footnoteReference w:id="53"/>
      </w:r>
      <w:r>
        <w:rPr>
          <w:lang w:bidi="he-IL"/>
        </w:rPr>
        <w:t xml:space="preserve"> Terkait dengan menerima hukuman, menurut Van den End hukuman tersebut bisa datang dari pemerintah, atau bahkan bisa tambah parah lagi hukuman itu datang dari Allah kepada orang-orang yang melanggar ketetapan-Nya.</w:t>
      </w:r>
      <w:r>
        <w:rPr>
          <w:rStyle w:val="19"/>
          <w:lang w:bidi="he-IL"/>
        </w:rPr>
        <w:footnoteReference w:id="54"/>
      </w:r>
      <w:r>
        <w:rPr>
          <w:lang w:bidi="he-IL"/>
        </w:rPr>
        <w:t xml:space="preserve"> Jadi, ketika ada orang yang melawan kepada pemerintah akan menerima konsekuensi hukuman baik dari pemerintah ataupun dari Allah.</w:t>
      </w:r>
    </w:p>
    <w:p w14:paraId="3A8B1222">
      <w:pPr>
        <w:tabs>
          <w:tab w:val="left" w:pos="4875"/>
        </w:tabs>
        <w:ind w:firstLine="720"/>
        <w:jc w:val="both"/>
        <w:rPr>
          <w:lang w:bidi="he-IL"/>
        </w:rPr>
      </w:pPr>
      <w:r>
        <w:rPr>
          <w:lang w:bidi="he-IL"/>
        </w:rPr>
        <w:t>Konsekuensi yang kedua dalam ayat ini yakni menerima hukuman. Schreiner menyatakan bahwa terdapat perdebatan ketika membahas kata hukuman. Maka terdapat dua unsur yang berbeda yaitu kata ini digunakan untuk mengacu adanya hukuman eksatologis yang datang dari Tuhan atau hukuman yang dijatuhkan langsung oleh pemerintah dunia ini. Dari hal tersebut, menurut Thomas Schreiner berkaitan hukuman itu dijatuhkan langsung oleh pemerintah dunia.</w:t>
      </w:r>
      <w:r>
        <w:rPr>
          <w:rStyle w:val="19"/>
          <w:lang w:bidi="he-IL"/>
        </w:rPr>
        <w:footnoteReference w:id="55"/>
      </w:r>
      <w:r>
        <w:rPr>
          <w:lang w:bidi="he-IL"/>
        </w:rPr>
        <w:t xml:space="preserve"> Senada dengan hal itu, Dunn mengungkapkan bahwa menerima hukuman merupakan bahasa Semit berdasarkan konteks sastranya, lalu menghubungkan dengan ayat selanjutnya pada ayat 4 ada kata pedang dan pembalasan terhadap pelaku kejahatan, yang tidak digunakan dalam pengertian eskatalogis apa pun.</w:t>
      </w:r>
      <w:r>
        <w:rPr>
          <w:rStyle w:val="19"/>
          <w:lang w:bidi="he-IL"/>
        </w:rPr>
        <w:footnoteReference w:id="56"/>
      </w:r>
      <w:r>
        <w:rPr>
          <w:lang w:bidi="he-IL"/>
        </w:rPr>
        <w:t xml:space="preserve"> Kalau menurut Horst Balz, kata ini mengacu kepada baik penghukuman Allah atau hukuman negara.</w:t>
      </w:r>
      <w:r>
        <w:rPr>
          <w:rStyle w:val="19"/>
          <w:lang w:bidi="he-IL"/>
        </w:rPr>
        <w:footnoteReference w:id="57"/>
      </w:r>
      <w:r>
        <w:rPr>
          <w:lang w:bidi="he-IL"/>
        </w:rPr>
        <w:t xml:space="preserve"> Oleh sebab itu, peneliti berpendapat senada dengan Balz, ketika ada orang yang melawan pemerintah maka konsekuensi yang akan diterima ialah penghukuman ilahi yang mengacu pada masa kini, atau bisa saja Allah memakai pemerintah yang mempunyai hak prerogatif dalam negara tersebut untuk mengadili orang tersebut yang telah melakukan kejahatan.</w:t>
      </w:r>
    </w:p>
    <w:p w14:paraId="044367F7">
      <w:pPr>
        <w:tabs>
          <w:tab w:val="left" w:pos="4875"/>
        </w:tabs>
        <w:ind w:firstLine="720"/>
        <w:jc w:val="both"/>
        <w:rPr>
          <w:sz w:val="10"/>
          <w:szCs w:val="10"/>
          <w:lang w:bidi="he-IL"/>
        </w:rPr>
      </w:pPr>
    </w:p>
    <w:p w14:paraId="28F81864">
      <w:pPr>
        <w:tabs>
          <w:tab w:val="left" w:pos="4875"/>
        </w:tabs>
        <w:jc w:val="both"/>
        <w:rPr>
          <w:b/>
          <w:bCs/>
          <w:lang w:bidi="he-IL"/>
        </w:rPr>
      </w:pPr>
      <w:r>
        <w:rPr>
          <w:b/>
          <w:bCs/>
          <w:lang w:bidi="he-IL"/>
        </w:rPr>
        <w:t>Etika terhadap Pemerintah</w:t>
      </w:r>
    </w:p>
    <w:p w14:paraId="397C1FCB">
      <w:pPr>
        <w:tabs>
          <w:tab w:val="left" w:pos="4875"/>
        </w:tabs>
        <w:spacing w:after="240"/>
        <w:ind w:firstLine="720"/>
        <w:jc w:val="both"/>
        <w:rPr>
          <w:lang w:bidi="he-IL"/>
        </w:rPr>
      </w:pPr>
      <w:r>
        <w:rPr>
          <w:lang w:bidi="he-IL"/>
        </w:rPr>
        <w:t>Dalam bagian ini, peneliti melihat adanya etika sebagai seorang warganegara terhadap pemerintah. Berikut in, peneliti akan menguraikan terkait dengan etika terhadap pemerintah, sebagai berikut: Etika yang baik akan menerima pujian (3), dan etika yang buruk akan menerima hukuman (4).</w:t>
      </w:r>
    </w:p>
    <w:p w14:paraId="526B59CF">
      <w:pPr>
        <w:tabs>
          <w:tab w:val="left" w:pos="4875"/>
        </w:tabs>
        <w:jc w:val="both"/>
        <w:rPr>
          <w:i/>
          <w:iCs/>
          <w:lang w:bidi="he-IL"/>
        </w:rPr>
      </w:pPr>
      <w:r>
        <w:rPr>
          <w:i/>
          <w:iCs/>
          <w:lang w:bidi="he-IL"/>
        </w:rPr>
        <w:t>Etika yang Baik Menerima Pujian (3)</w:t>
      </w:r>
    </w:p>
    <w:p w14:paraId="7B614412">
      <w:pPr>
        <w:tabs>
          <w:tab w:val="left" w:pos="4875"/>
        </w:tabs>
        <w:ind w:firstLine="720"/>
        <w:jc w:val="both"/>
        <w:rPr>
          <w:lang w:bidi="he-IL"/>
        </w:rPr>
      </w:pPr>
      <w:r>
        <w:rPr>
          <w:lang w:bidi="he-IL"/>
        </w:rPr>
        <w:t xml:space="preserve">Ada hal yang menarik dapat dilihat pada ayat ini terjadi peralihan kata yang merujuk kepada pemerintah. Pada bagian sebelumnya, Paulus menggunakan kata </w:t>
      </w:r>
      <w:r>
        <w:rPr>
          <w:i/>
          <w:iCs/>
          <w:lang w:bidi="he-IL"/>
        </w:rPr>
        <w:t>exousia</w:t>
      </w:r>
      <w:r>
        <w:rPr>
          <w:lang w:bidi="he-IL"/>
        </w:rPr>
        <w:t xml:space="preserve"> lalu menjadi kata </w:t>
      </w:r>
      <w:r>
        <w:rPr>
          <w:lang w:val="el-GR" w:bidi="he-IL"/>
        </w:rPr>
        <w:t>ἄρχοντες</w:t>
      </w:r>
      <w:r>
        <w:rPr>
          <w:lang w:bidi="he-IL"/>
        </w:rPr>
        <w:t xml:space="preserve"> (</w:t>
      </w:r>
      <w:r>
        <w:rPr>
          <w:i/>
          <w:iCs/>
          <w:lang w:bidi="he-IL"/>
        </w:rPr>
        <w:t>archontes</w:t>
      </w:r>
      <w:r>
        <w:rPr>
          <w:lang w:bidi="he-IL"/>
        </w:rPr>
        <w:t>) yang berarti penguasa. Pada terjemahan dari Lembaga Alkitab Indonesia</w:t>
      </w:r>
      <w:r>
        <w:rPr>
          <w:i/>
          <w:iCs/>
          <w:lang w:bidi="he-IL"/>
        </w:rPr>
        <w:t xml:space="preserve"> </w:t>
      </w:r>
      <w:r>
        <w:rPr>
          <w:lang w:bidi="he-IL"/>
        </w:rPr>
        <w:t>(LAI) memberi terjemahan yang sama dari kedua kata ini sebagai pemerintah. Sebetulnya ada perbedaan signifikan dari kedua kata tersebut. Menurut Liddel-Scott (periode Yunani Klasik), umumnya digunakan untuk penguasa, pihak berwenang, pejabat, hakim.</w:t>
      </w:r>
      <w:r>
        <w:rPr>
          <w:rStyle w:val="19"/>
          <w:lang w:bidi="he-IL"/>
        </w:rPr>
        <w:footnoteReference w:id="58"/>
      </w:r>
      <w:r>
        <w:rPr>
          <w:lang w:bidi="he-IL"/>
        </w:rPr>
        <w:t xml:space="preserve"> Maka, saat peneliti mencermati ayat 3, Paulus memakai bentuk jamak kata </w:t>
      </w:r>
      <w:r>
        <w:rPr>
          <w:i/>
          <w:iCs/>
          <w:lang w:bidi="he-IL"/>
        </w:rPr>
        <w:t xml:space="preserve">archontes </w:t>
      </w:r>
      <w:r>
        <w:rPr>
          <w:lang w:bidi="he-IL"/>
        </w:rPr>
        <w:t>untuk merujuk secara khusus kepada pemerintah-pemerintah yang mempunyai otoritas kedudukan yang cukup penting berkenaan memberi keputusan hukuman bagi seseorang yang telah melakukan kejahatan seperti halnya tugas sebagai hakim.</w:t>
      </w:r>
    </w:p>
    <w:p w14:paraId="5D7D59A1">
      <w:pPr>
        <w:tabs>
          <w:tab w:val="left" w:pos="4875"/>
        </w:tabs>
        <w:ind w:firstLine="720"/>
        <w:jc w:val="both"/>
        <w:rPr>
          <w:lang w:bidi="he-IL"/>
        </w:rPr>
      </w:pPr>
      <w:r>
        <w:rPr>
          <w:lang w:bidi="he-IL"/>
        </w:rPr>
        <w:t>Bila mencermati dimana sebelumnya Paulus menggunakan kata ganti kepada semua orang, kemudian dalam ayat 3b terdapat perubahan menjadi kata ganti orang kedua tunggal “kamu”. Hal ini mengindikasikan bahwa Paulus sedang memfokuskan lensa dari nasihat tersebut diawali dari nasihat secara umum kemudian menjadi nasihat khusus yakni kepada orang-orang Kristen di Roma sebagai pembaca dari surat ini.</w:t>
      </w:r>
      <w:r>
        <w:rPr>
          <w:rStyle w:val="19"/>
          <w:lang w:bidi="he-IL"/>
        </w:rPr>
        <w:footnoteReference w:id="59"/>
      </w:r>
      <w:r>
        <w:rPr>
          <w:lang w:bidi="he-IL"/>
        </w:rPr>
        <w:t xml:space="preserve"> Dengan pertanyaan dari Paulus “maukah kamu?” mengisyaratkan kepada pembaca surat ini yang tergolong sebagai golongan Yahudi ataupun non-Yahudi, keduanya termasuk ke dalam identitas baru yakni masyarakat sipil untuk tunduk kepada pemerintah.</w:t>
      </w:r>
    </w:p>
    <w:p w14:paraId="2CE44F54">
      <w:pPr>
        <w:tabs>
          <w:tab w:val="left" w:pos="4875"/>
        </w:tabs>
        <w:ind w:firstLine="720"/>
        <w:jc w:val="both"/>
        <w:rPr>
          <w:lang w:bidi="he-IL"/>
        </w:rPr>
      </w:pPr>
      <w:r>
        <w:rPr>
          <w:lang w:bidi="he-IL"/>
        </w:rPr>
        <w:t>Terdapat perbedaan dalam menerjemahkan ayat 3 ini, kalau melihat pada Terjemahan Baru (TB): “Sebab jika seorang berbuat baik, ia tidak usah takut kepada pemerintah.” Sedangkan, dari Indonesia Literal Translation (ILT): “Sebab pemerintah-pemerintah bukanlah ancaman bagi perbuatan baik. “Senada dengan ILT, untuk terjemahan bahasa inggris dari New Revised Standar Version (NRSV): “For rulers are not a terror to good conduct”, dan dalam bahasa aslinya “</w:t>
      </w:r>
      <w:r>
        <w:rPr>
          <w:lang w:val="el-GR" w:bidi="he-IL"/>
        </w:rPr>
        <w:t xml:space="preserve">Οἱ γὰρ </w:t>
      </w:r>
      <w:bookmarkStart w:id="1" w:name="_Hlk164788263"/>
      <w:r>
        <w:rPr>
          <w:lang w:val="el-GR" w:bidi="he-IL"/>
        </w:rPr>
        <w:t>ἄρχοντες</w:t>
      </w:r>
      <w:bookmarkEnd w:id="1"/>
      <w:r>
        <w:rPr>
          <w:lang w:val="el-GR" w:bidi="he-IL"/>
        </w:rPr>
        <w:t xml:space="preserve"> οὐκ εἰσὶν φόβος τῶν ἀγαθῶν ἔργων</w:t>
      </w:r>
      <w:r>
        <w:rPr>
          <w:lang w:bidi="he-IL"/>
        </w:rPr>
        <w:t>”. Hal yang membedakan terletak pada subjek dan objek dalam sebuah kalimat. Kalau TB meletakkan kata pemerintah sebagai bentuk objek kalimat, sedangkan terjemahan dari ILT, NRSV, dan bahasa Yunani. Kata pemerintah diletakkan pada subjek kalimat. Maka penerjemahan yang paling mendekati dengan bahasa aslinya adalah ILT, dan NRSV. Dengan demikian, berdasarkan analisis terjemahan peneliti lebih memilih menggunakan terjemahan dari ILT dan NRSV. Maka terjemahan yang diperoleh “Karena, pemerintah-pemerintah tidak menyebabkan rasa takut bagi orang-orang yang berbuat baik.”</w:t>
      </w:r>
    </w:p>
    <w:p w14:paraId="4DC41B30">
      <w:pPr>
        <w:tabs>
          <w:tab w:val="left" w:pos="4875"/>
        </w:tabs>
        <w:ind w:firstLine="720"/>
        <w:jc w:val="both"/>
        <w:rPr>
          <w:lang w:bidi="he-IL"/>
        </w:rPr>
      </w:pPr>
      <w:r>
        <w:rPr>
          <w:lang w:bidi="he-IL"/>
        </w:rPr>
        <w:t xml:space="preserve">Dalam ayat ini juga terdapat kata </w:t>
      </w:r>
      <w:r>
        <w:rPr>
          <w:lang w:val="el-GR" w:bidi="he-IL"/>
        </w:rPr>
        <w:t>φόβος</w:t>
      </w:r>
      <w:r>
        <w:rPr>
          <w:lang w:bidi="he-IL"/>
        </w:rPr>
        <w:t xml:space="preserve"> (</w:t>
      </w:r>
      <w:r>
        <w:rPr>
          <w:i/>
          <w:iCs/>
          <w:lang w:bidi="he-IL"/>
        </w:rPr>
        <w:t>phobos</w:t>
      </w:r>
      <w:r>
        <w:rPr>
          <w:lang w:bidi="he-IL"/>
        </w:rPr>
        <w:t>) yang berarti takut. Kata “takut” pada teks ini muncul dua kali yakni dalam ayat 3 dan 4, hal ini menunjukan suatu keadaan cukup serius yang sedang dialami oleh orang-orang Kristen Roma. Dimana mereka sedang merasakan ketakutan terhadap pemerintah Roma.</w:t>
      </w:r>
      <w:r>
        <w:rPr>
          <w:rStyle w:val="19"/>
          <w:lang w:bidi="he-IL"/>
        </w:rPr>
        <w:footnoteReference w:id="60"/>
      </w:r>
      <w:r>
        <w:rPr>
          <w:lang w:bidi="he-IL"/>
        </w:rPr>
        <w:t xml:space="preserve"> Kemudian, Paulus menyatakan hal penting dalam isi surat nasihat kepada jemaat di Roma untuk meresponi situasi yang mereka hadapi sebagai warga negara.</w:t>
      </w:r>
    </w:p>
    <w:p w14:paraId="7753D9D3">
      <w:pPr>
        <w:tabs>
          <w:tab w:val="left" w:pos="4875"/>
        </w:tabs>
        <w:ind w:firstLine="720"/>
        <w:jc w:val="both"/>
        <w:rPr>
          <w:lang w:bidi="he-IL"/>
        </w:rPr>
      </w:pPr>
      <w:r>
        <w:rPr>
          <w:lang w:bidi="he-IL"/>
        </w:rPr>
        <w:t>Menurut Horst Balz, kata ini diterjemahkan dengan menyebabkan mereka yang berbuat baik menjadi takut.</w:t>
      </w:r>
      <w:r>
        <w:rPr>
          <w:rStyle w:val="19"/>
          <w:lang w:bidi="he-IL"/>
        </w:rPr>
        <w:footnoteReference w:id="61"/>
      </w:r>
      <w:r>
        <w:rPr>
          <w:lang w:bidi="he-IL"/>
        </w:rPr>
        <w:t xml:space="preserve"> Moultan Milligan memiliki kesamaan dalam menerjemahkan kata ini yaitu karena takut akan adanya hukuman.</w:t>
      </w:r>
      <w:r>
        <w:rPr>
          <w:rStyle w:val="19"/>
          <w:lang w:bidi="he-IL"/>
        </w:rPr>
        <w:footnoteReference w:id="62"/>
      </w:r>
      <w:r>
        <w:rPr>
          <w:lang w:bidi="he-IL"/>
        </w:rPr>
        <w:t xml:space="preserve"> Maka dari hal ini, peneliti melihat konteks dari kata bahwa perasaan ketakutan muncul karena adanya hukuman ketika orang-orang yang melawan pemerintah dimana ayat 3 diawali dengan preposisi sebab atau karena yang berarti merujuk pada ayat sebelumnya yakni dalam ayat 2. Lalu kemudian, pada ayat ini Paulus mengatakan pemerintah tidak akan menghukum kepada masyarakat yang berbuat baik. Jadi tidak perlu merasa takut. </w:t>
      </w:r>
    </w:p>
    <w:p w14:paraId="66D8683D">
      <w:pPr>
        <w:tabs>
          <w:tab w:val="left" w:pos="4875"/>
        </w:tabs>
        <w:ind w:firstLine="720"/>
        <w:jc w:val="both"/>
        <w:rPr>
          <w:lang w:bidi="he-IL"/>
        </w:rPr>
      </w:pPr>
      <w:r>
        <w:rPr>
          <w:lang w:bidi="he-IL"/>
        </w:rPr>
        <w:t>Dalam ayat ini, Paulus menekankan untuk tidak merasa takut apabila seseorang mempunyai etika yang baik. Sikap etika yang baik mempromosikan kehidupan yang beretika dibawah otoritas pemerintah dengan mencakup kepatuhan terhadap hukum yang adil dan mendukung bagi kehidupan masyarakat yang aman dan damai. Paulus menyatakan dalam ayat ini, saat seseorang hidup dengan beretika dan melakukan yang baik, dia tidak perlu untuk merasa takut akan adanya hukuman dari pemerintah. Salah satu aspek yang bisa dilihat dari etika yang baik pada ayat ini yakni menerima pujian dari orang lain.</w:t>
      </w:r>
    </w:p>
    <w:p w14:paraId="1723DE47">
      <w:pPr>
        <w:tabs>
          <w:tab w:val="left" w:pos="4875"/>
        </w:tabs>
        <w:ind w:firstLine="720"/>
        <w:jc w:val="both"/>
        <w:rPr>
          <w:lang w:bidi="he-IL"/>
        </w:rPr>
      </w:pPr>
      <w:r>
        <w:rPr>
          <w:lang w:bidi="he-IL"/>
        </w:rPr>
        <w:t>Dalam beretika yang baik merupakan suatu kesempatan untuk menampilkan kesaksian iman melalui ketaatan kepada pemerintah sehingga bisa terwujud pada tindakan-tindakan yang mencerminkan nilai dan prinsip moral Kekristenan.</w:t>
      </w:r>
      <w:r>
        <w:rPr>
          <w:rStyle w:val="19"/>
          <w:lang w:bidi="he-IL"/>
        </w:rPr>
        <w:footnoteReference w:id="63"/>
      </w:r>
      <w:r>
        <w:rPr>
          <w:lang w:bidi="he-IL"/>
        </w:rPr>
        <w:t xml:space="preserve"> Maka, orang-orang Kristen Roma wujud praktek etika hidup yang baik mentaati pemerintah yang ada termasuk mematuhi sistem pemerintahan yang berlaku dalam negara seperti bentuk dalam teks membayar pajak pada ayat 6.</w:t>
      </w:r>
    </w:p>
    <w:p w14:paraId="561315C5">
      <w:pPr>
        <w:tabs>
          <w:tab w:val="left" w:pos="4875"/>
        </w:tabs>
        <w:spacing w:after="240"/>
        <w:ind w:firstLine="720"/>
        <w:jc w:val="both"/>
        <w:rPr>
          <w:lang w:bidi="he-IL"/>
        </w:rPr>
      </w:pPr>
      <w:r>
        <w:rPr>
          <w:lang w:bidi="he-IL"/>
        </w:rPr>
        <w:t>Pada saat orang Kristen memiliki sikap ketaatan yang diwujudkan kepada pemerintah ataupun kepada masyarakat di sekitar, maka hal itu akan membawa pengaruh positif bagi kehidupannya.</w:t>
      </w:r>
      <w:r>
        <w:rPr>
          <w:rStyle w:val="19"/>
          <w:lang w:bidi="he-IL"/>
        </w:rPr>
        <w:footnoteReference w:id="64"/>
      </w:r>
      <w:r>
        <w:rPr>
          <w:lang w:bidi="he-IL"/>
        </w:rPr>
        <w:t xml:space="preserve"> Apabila, orang-orang Kristen di Roma melakukan perbuatan yang baik kepada orang lain atau kepada pemerintah, suatu saat nanti akan memperoleh pujian sebagai bentuk apresiasi. Dengan begitu, bisa membawa motivasi agar tetap melakukan yang baik bukan untuk berhenti berbuat baik lalu melakukan kejahatan.</w:t>
      </w:r>
    </w:p>
    <w:p w14:paraId="35370773">
      <w:pPr>
        <w:tabs>
          <w:tab w:val="left" w:pos="4875"/>
        </w:tabs>
        <w:jc w:val="both"/>
        <w:rPr>
          <w:i/>
          <w:iCs/>
          <w:lang w:bidi="he-IL"/>
        </w:rPr>
      </w:pPr>
      <w:r>
        <w:rPr>
          <w:i/>
          <w:iCs/>
          <w:lang w:bidi="he-IL"/>
        </w:rPr>
        <w:t>Etika yang Buruk Menerima Hukuman (4)</w:t>
      </w:r>
    </w:p>
    <w:p w14:paraId="1B259B4D">
      <w:pPr>
        <w:tabs>
          <w:tab w:val="left" w:pos="4875"/>
        </w:tabs>
        <w:ind w:firstLine="720"/>
        <w:jc w:val="both"/>
        <w:rPr>
          <w:lang w:bidi="he-IL"/>
        </w:rPr>
      </w:pPr>
      <w:r>
        <w:rPr>
          <w:lang w:bidi="he-IL"/>
        </w:rPr>
        <w:t>Pada ayat 4 diawali dengan kata ‘karena’ yang berarti mempunyai hubungan dengan ayat sebelumnya. Lalu, terdapat frase pemerintah adalah hamba Allah. Dalam ayat ini, Paulus memberikan informasi suatu konsep terhadap pemerintah. Eksistensi pemerintah digambarkan bahwa pemerintah itu sebagai hamba Allah. Dengan begitu, memperluas pemahaman daripada orang-orang Kristen di Roma terhadap pemerintah.</w:t>
      </w:r>
    </w:p>
    <w:p w14:paraId="0CC38842">
      <w:pPr>
        <w:tabs>
          <w:tab w:val="left" w:pos="4875"/>
        </w:tabs>
        <w:ind w:firstLine="720"/>
        <w:jc w:val="both"/>
        <w:rPr>
          <w:lang w:bidi="he-IL"/>
        </w:rPr>
      </w:pPr>
      <w:r>
        <w:rPr>
          <w:lang w:bidi="he-IL"/>
        </w:rPr>
        <w:t xml:space="preserve">Pemerintah adalah hamba Allah. Untuk kata hamba pada teks ini, dalam bahasa aslinya menggunakan kata </w:t>
      </w:r>
      <w:r>
        <w:rPr>
          <w:lang w:val="el-GR" w:bidi="he-IL"/>
        </w:rPr>
        <w:t>διάκονός</w:t>
      </w:r>
      <w:r>
        <w:rPr>
          <w:lang w:bidi="he-IL"/>
        </w:rPr>
        <w:t xml:space="preserve"> (</w:t>
      </w:r>
      <w:r>
        <w:rPr>
          <w:i/>
          <w:iCs/>
          <w:lang w:bidi="he-IL"/>
        </w:rPr>
        <w:t>diakonos</w:t>
      </w:r>
      <w:r>
        <w:rPr>
          <w:lang w:bidi="he-IL"/>
        </w:rPr>
        <w:t>). Berdasarkan terminologi kata ini terdapat pergeseran makna dari seiring berjalannya waktu. Berikut ini, peneliti akan menguraikan kata tersebut dari setiap periode waktunya.</w:t>
      </w:r>
    </w:p>
    <w:p w14:paraId="444EF0B1">
      <w:pPr>
        <w:tabs>
          <w:tab w:val="left" w:pos="4875"/>
        </w:tabs>
        <w:ind w:firstLine="720"/>
        <w:jc w:val="both"/>
        <w:rPr>
          <w:lang w:bidi="he-IL"/>
        </w:rPr>
      </w:pPr>
      <w:r>
        <w:rPr>
          <w:lang w:bidi="he-IL"/>
        </w:rPr>
        <w:t xml:space="preserve">Periode Yunani Klasik untuk kata </w:t>
      </w:r>
      <w:r>
        <w:rPr>
          <w:i/>
          <w:iCs/>
          <w:lang w:bidi="he-IL"/>
        </w:rPr>
        <w:t>diakonos</w:t>
      </w:r>
      <w:r>
        <w:rPr>
          <w:lang w:bidi="he-IL"/>
        </w:rPr>
        <w:t xml:space="preserve"> memiliki arti seorang pelayan, pelayan, dan seorang utusan.</w:t>
      </w:r>
      <w:r>
        <w:rPr>
          <w:rStyle w:val="19"/>
          <w:lang w:bidi="he-IL"/>
        </w:rPr>
        <w:footnoteReference w:id="65"/>
      </w:r>
      <w:r>
        <w:rPr>
          <w:lang w:bidi="he-IL"/>
        </w:rPr>
        <w:t xml:space="preserve"> Setelah itu, periode Septuaginta (LXX) kata tersebut diartikan dengan pelayan pengadilan, dan penyiksa.</w:t>
      </w:r>
      <w:r>
        <w:rPr>
          <w:rStyle w:val="19"/>
          <w:lang w:bidi="he-IL"/>
        </w:rPr>
        <w:footnoteReference w:id="66"/>
      </w:r>
      <w:r>
        <w:rPr>
          <w:lang w:bidi="he-IL"/>
        </w:rPr>
        <w:t xml:space="preserve"> Kemudian, pada periode Yunani Koine, kata ini diartikan pejabat kuil, pelayan.</w:t>
      </w:r>
      <w:r>
        <w:rPr>
          <w:rStyle w:val="19"/>
          <w:lang w:bidi="he-IL"/>
        </w:rPr>
        <w:footnoteReference w:id="67"/>
      </w:r>
      <w:r>
        <w:rPr>
          <w:lang w:bidi="he-IL"/>
        </w:rPr>
        <w:t xml:space="preserve"> Masuk pada periode penulis surat yaitu Paulus, kata ini mempunyai arti orang yang menjadi perantara dalam suatu transaksi, agen, perantara, dan kurir, pada ayat ini dapat diartikan sebagai agen dalam sistem politik.</w:t>
      </w:r>
      <w:r>
        <w:rPr>
          <w:rStyle w:val="19"/>
          <w:lang w:bidi="he-IL"/>
        </w:rPr>
        <w:footnoteReference w:id="68"/>
      </w:r>
      <w:r>
        <w:rPr>
          <w:lang w:bidi="he-IL"/>
        </w:rPr>
        <w:t xml:space="preserve"> Terakhir, kata ini memiliki arti hamba, pelayan.</w:t>
      </w:r>
      <w:r>
        <w:rPr>
          <w:rStyle w:val="19"/>
          <w:lang w:bidi="he-IL"/>
        </w:rPr>
        <w:footnoteReference w:id="69"/>
      </w:r>
      <w:r>
        <w:rPr>
          <w:lang w:bidi="he-IL"/>
        </w:rPr>
        <w:t xml:space="preserve"> Dengan demikian, melihat periode arti kata ini, dari awal adalah pelayanan lalu mengalami sedikit pergeseran maknanya kemudian kembali pada makna awalnya.</w:t>
      </w:r>
    </w:p>
    <w:p w14:paraId="2374904B">
      <w:pPr>
        <w:tabs>
          <w:tab w:val="left" w:pos="4875"/>
        </w:tabs>
        <w:ind w:firstLine="720"/>
        <w:jc w:val="both"/>
        <w:rPr>
          <w:lang w:bidi="he-IL"/>
        </w:rPr>
      </w:pPr>
      <w:r>
        <w:rPr>
          <w:lang w:bidi="he-IL"/>
        </w:rPr>
        <w:t xml:space="preserve">Kata </w:t>
      </w:r>
      <w:r>
        <w:rPr>
          <w:i/>
          <w:iCs/>
          <w:lang w:bidi="he-IL"/>
        </w:rPr>
        <w:t>diakonos</w:t>
      </w:r>
      <w:r>
        <w:rPr>
          <w:lang w:bidi="he-IL"/>
        </w:rPr>
        <w:t xml:space="preserve"> yang diartikan hamba begitu juga dengan kata </w:t>
      </w:r>
      <w:r>
        <w:rPr>
          <w:i/>
          <w:iCs/>
          <w:lang w:bidi="he-IL"/>
        </w:rPr>
        <w:t>doulos</w:t>
      </w:r>
      <w:r>
        <w:rPr>
          <w:lang w:bidi="he-IL"/>
        </w:rPr>
        <w:t xml:space="preserve">, secara sekilas keduanya memiliki arti yang sama, namun dari kedua kata tersebut mempunyai perbedaan yang signifikan. Untuk kata </w:t>
      </w:r>
      <w:r>
        <w:rPr>
          <w:i/>
          <w:iCs/>
          <w:lang w:bidi="he-IL"/>
        </w:rPr>
        <w:t>doulos</w:t>
      </w:r>
      <w:r>
        <w:rPr>
          <w:lang w:bidi="he-IL"/>
        </w:rPr>
        <w:t xml:space="preserve"> lebih condong kepada status sosial yang sangat rendah, orang yang tidak mempunyai hak, dan budak. Sedangkan untuk kata </w:t>
      </w:r>
      <w:r>
        <w:rPr>
          <w:i/>
          <w:iCs/>
          <w:lang w:bidi="he-IL"/>
        </w:rPr>
        <w:t>diakonos</w:t>
      </w:r>
      <w:r>
        <w:rPr>
          <w:lang w:bidi="he-IL"/>
        </w:rPr>
        <w:t xml:space="preserve"> berkaitan dengan perannya atau fungsinya yakni hamba atau pelayan.</w:t>
      </w:r>
      <w:r>
        <w:rPr>
          <w:rStyle w:val="19"/>
          <w:lang w:bidi="he-IL"/>
        </w:rPr>
        <w:footnoteReference w:id="70"/>
      </w:r>
      <w:r>
        <w:rPr>
          <w:lang w:bidi="he-IL"/>
        </w:rPr>
        <w:t xml:space="preserve"> Maka dari hal itu, kata hamba yang ada dalam ayat 4 ini, maksud daripada Paulus bahwa ia sedang memberitahukan peran pemerintah.</w:t>
      </w:r>
    </w:p>
    <w:p w14:paraId="49D0467E">
      <w:pPr>
        <w:tabs>
          <w:tab w:val="left" w:pos="4875"/>
        </w:tabs>
        <w:ind w:firstLine="720"/>
        <w:jc w:val="both"/>
        <w:rPr>
          <w:lang w:bidi="he-IL"/>
        </w:rPr>
      </w:pPr>
      <w:r>
        <w:rPr>
          <w:lang w:bidi="he-IL"/>
        </w:rPr>
        <w:t xml:space="preserve">Peran positif pemerintah telah dijelaskan pada ayat 3 yaitu memberikan pujian kepada orang yang berbuat baik. Kemudian, pada ayat 4 menjelaskan peran negatif dalam pemerintah yakni memberikan hukuman bagi orang yang melakukan kejahatan. Selain itu, pemerintah sebagai hamba atau pelayan Allah pada ayat ini berkaitan dengan membalaskan murka Allah kepada orang-orang Kristen di Roma maupun orang yang bukan Kristen, jika ada orang yang berbuat kejahatan, maka melalui pemerintah tugasnya yang akan memberikan hukuman. </w:t>
      </w:r>
    </w:p>
    <w:p w14:paraId="562D20EB">
      <w:pPr>
        <w:tabs>
          <w:tab w:val="left" w:pos="4875"/>
        </w:tabs>
        <w:ind w:firstLine="720"/>
        <w:jc w:val="both"/>
        <w:rPr>
          <w:lang w:bidi="he-IL"/>
        </w:rPr>
      </w:pPr>
      <w:r>
        <w:rPr>
          <w:lang w:bidi="he-IL"/>
        </w:rPr>
        <w:t>Dikatakan oleh Paulus bahwa pemerintah menyandang pedang, hal ini tidaklah memberikan maksud secara literal bilamana ada seorang yang berbuat kejahatan, kemudian pemerintah mengambil terus menggunakan pedang itu digunakan untuk melukai orang tersebut. Pernyataan yang dimaksud oleh Paulus adalah pemerintah memiliki hak kekuasaan dalam mengambil tindakan terhadap segala kejahatan yang dapat membahayakan tata tertib negara.</w:t>
      </w:r>
      <w:r>
        <w:rPr>
          <w:rStyle w:val="19"/>
          <w:lang w:bidi="he-IL"/>
        </w:rPr>
        <w:footnoteReference w:id="71"/>
      </w:r>
      <w:r>
        <w:rPr>
          <w:lang w:bidi="he-IL"/>
        </w:rPr>
        <w:t xml:space="preserve"> Kata pedang digambarkan sebagai kekuatan pihak berwenang untuk menghukum pelaku kejahatan.</w:t>
      </w:r>
      <w:r>
        <w:rPr>
          <w:rStyle w:val="19"/>
          <w:lang w:bidi="he-IL"/>
        </w:rPr>
        <w:footnoteReference w:id="72"/>
      </w:r>
      <w:r>
        <w:rPr>
          <w:lang w:bidi="he-IL"/>
        </w:rPr>
        <w:t xml:space="preserve"> Oleh sebab itu, menurut peneliti untuk penggunaan dari kata pedang yang dimaksudkan oleh Paulus sebagai bentuk figuratif untuk menyatakan hak otoritas dari pemerintah dalam menghukum orang yang berbuat kejahatan.</w:t>
      </w:r>
    </w:p>
    <w:p w14:paraId="1C54CCB6">
      <w:pPr>
        <w:tabs>
          <w:tab w:val="left" w:pos="4875"/>
        </w:tabs>
        <w:ind w:firstLine="720"/>
        <w:jc w:val="both"/>
        <w:rPr>
          <w:lang w:bidi="he-IL"/>
        </w:rPr>
      </w:pPr>
      <w:r>
        <w:rPr>
          <w:lang w:bidi="he-IL"/>
        </w:rPr>
        <w:t>Pada saat pemerintah memberikan hukuman kepada orang yang telah bersalah, pemerintah tersebut bertindak sebagai hamba Allah yang menjadi alat pembalasan. Karena, melalui pemerintah Allah melaksanakan murka-Nya atas kejahatan dosa yang dilakukan oleh manusia di dunia.</w:t>
      </w:r>
      <w:r>
        <w:rPr>
          <w:rStyle w:val="19"/>
          <w:lang w:bidi="he-IL"/>
        </w:rPr>
        <w:footnoteReference w:id="73"/>
      </w:r>
      <w:r>
        <w:rPr>
          <w:lang w:bidi="he-IL"/>
        </w:rPr>
        <w:t xml:space="preserve"> Jadi, pemerintah sebagai bentuk representatif Allah bagi manusia. Sehingga dalam peran pemerintah maksud dan tujuan Allah bisa terlaksana. Bila ada seorang warga negara dalam hidupnya sudah melakukan kejahatan, maka konsekuensi yang harus diterima adalah menerima hukuman dari pemerintah.</w:t>
      </w:r>
    </w:p>
    <w:p w14:paraId="77645C25">
      <w:pPr>
        <w:tabs>
          <w:tab w:val="left" w:pos="4875"/>
        </w:tabs>
        <w:spacing w:after="240"/>
        <w:ind w:firstLine="720"/>
        <w:jc w:val="both"/>
        <w:rPr>
          <w:lang w:bidi="he-IL"/>
        </w:rPr>
      </w:pPr>
      <w:r>
        <w:rPr>
          <w:lang w:bidi="he-IL"/>
        </w:rPr>
        <w:t>Dalam ayat 3-4, Paulus disini menginformasikan kepada orang-orang Kristen di Roma terkait cara Allah memakai pemerintah sebagai wakil Allah di dunia. Dalam perannya pemerintah membalas perilaku yang jahat di dunia ini. Karena adanya pemerintah sebagai hamba Allah, sehingga pemerintah mempunyai wewenang untuk membalaskan setiap perbuatan dari masyarakatnya. Memberi memberi pujian sebagai bentuk apresiasi kepada mereka yang berbuat baik, tetapi juga memberi hukuman bagi orang-orang yang berbuat kejahatan, hal ini dilakukan supaya menciptakan lingkungan sosial yang kondusif dari tindakan-tindakan yang membuat kekacauan negara.</w:t>
      </w:r>
      <w:r>
        <w:rPr>
          <w:rStyle w:val="19"/>
          <w:lang w:bidi="he-IL"/>
        </w:rPr>
        <w:footnoteReference w:id="74"/>
      </w:r>
      <w:r>
        <w:rPr>
          <w:lang w:bidi="he-IL"/>
        </w:rPr>
        <w:t xml:space="preserve"> Oleh karena itu, Paulus menghimbau untuk patuh terhadap pemerintah. Karena, dengan melakukan perbuatan yang baik, dia tidak hanya menghindari hukuman, tetapi ia juga akan memperoleh pujian dari pemerintah. Namun, Paulus juga menegaskan untuk orang yang berbuat jahat, mereka harus takut akan hukuman yang diberikan oleh pemerintah, karena pemerintah memegang tanggung jawab dari Allah untuk mempertahankan ketertiban dan keadilan dalam negara.</w:t>
      </w:r>
    </w:p>
    <w:p w14:paraId="602FDC12">
      <w:pPr>
        <w:tabs>
          <w:tab w:val="left" w:pos="4875"/>
        </w:tabs>
        <w:jc w:val="both"/>
        <w:rPr>
          <w:b/>
          <w:bCs/>
          <w:lang w:bidi="he-IL"/>
        </w:rPr>
      </w:pPr>
      <w:r>
        <w:rPr>
          <w:b/>
          <w:bCs/>
          <w:lang w:bidi="he-IL"/>
        </w:rPr>
        <w:t>Penegasan Kembali Nasihat untuk</w:t>
      </w:r>
      <w:r>
        <w:rPr>
          <w:b/>
          <w:bCs/>
          <w:color w:val="0070C0"/>
          <w:lang w:bidi="he-IL"/>
        </w:rPr>
        <w:t xml:space="preserve"> </w:t>
      </w:r>
      <w:r>
        <w:rPr>
          <w:b/>
          <w:bCs/>
          <w:lang w:bidi="he-IL"/>
        </w:rPr>
        <w:t>Tunduk kepada Pemerintah</w:t>
      </w:r>
    </w:p>
    <w:p w14:paraId="271A7648">
      <w:pPr>
        <w:tabs>
          <w:tab w:val="left" w:pos="4875"/>
        </w:tabs>
        <w:spacing w:after="240"/>
        <w:ind w:firstLine="720"/>
        <w:jc w:val="both"/>
        <w:rPr>
          <w:lang w:bidi="he-IL"/>
        </w:rPr>
      </w:pPr>
      <w:r>
        <w:rPr>
          <w:lang w:bidi="he-IL"/>
        </w:rPr>
        <w:t>Dalam bagian ini, peneliti mendapati bahwa Paulus menegaskan kembali terkait dengan nasihatnya pada bagian awal teks ini untuk tunduk kepada pemerintah. Berikut ini perinciannya: tunduk bukan hanya karena takut pada murka Allah (5a), dan tunduk karena hati nurani (5b).</w:t>
      </w:r>
    </w:p>
    <w:p w14:paraId="3D387688">
      <w:pPr>
        <w:tabs>
          <w:tab w:val="left" w:pos="4875"/>
        </w:tabs>
        <w:rPr>
          <w:i/>
          <w:iCs/>
          <w:lang w:bidi="he-IL"/>
        </w:rPr>
      </w:pPr>
      <w:r>
        <w:rPr>
          <w:i/>
          <w:iCs/>
          <w:lang w:bidi="he-IL"/>
        </w:rPr>
        <w:t xml:space="preserve">Tunduk Bukan Hanya karena Takut </w:t>
      </w:r>
      <w:r>
        <w:rPr>
          <w:i/>
          <w:iCs/>
          <w:color w:val="000000" w:themeColor="text1"/>
          <w:lang w:bidi="he-IL"/>
          <w14:textFill>
            <w14:solidFill>
              <w14:schemeClr w14:val="tx1"/>
            </w14:solidFill>
          </w14:textFill>
        </w:rPr>
        <w:t>kepada</w:t>
      </w:r>
      <w:r>
        <w:rPr>
          <w:i/>
          <w:iCs/>
          <w:lang w:bidi="he-IL"/>
        </w:rPr>
        <w:t xml:space="preserve"> Murka Allah (5a)</w:t>
      </w:r>
    </w:p>
    <w:p w14:paraId="3A281919">
      <w:pPr>
        <w:tabs>
          <w:tab w:val="left" w:pos="4875"/>
        </w:tabs>
        <w:ind w:firstLine="720"/>
        <w:jc w:val="both"/>
        <w:rPr>
          <w:lang w:bidi="he-IL"/>
        </w:rPr>
      </w:pPr>
      <w:r>
        <w:rPr>
          <w:lang w:bidi="he-IL"/>
        </w:rPr>
        <w:t xml:space="preserve">Pada ayat ini, Paulus memberikan pengajaran tentang ketaatan terhadap otoritas yang sah, dalam konteks di sini ialah otoritas pemerintah. Ia menjelaskan kepada orang-orang Kristen di Roma menyangkut ketaatan tesebut tidak semata-mata karena takut akan hukuman atau murka Allah. Tetapi, juga karena kesadaran moral yang didasarkan pada prinsip-prinsip ketaatan pada hukum. Dapat dilihat dalam ayat ini Paulus menggunakan kata </w:t>
      </w:r>
      <w:r>
        <w:rPr>
          <w:lang w:val="el-GR" w:bidi="he-IL"/>
        </w:rPr>
        <w:t>ἀνάγκη</w:t>
      </w:r>
      <w:r>
        <w:rPr>
          <w:lang w:bidi="he-IL"/>
        </w:rPr>
        <w:t xml:space="preserve"> yang berarti kebutuhan. Pada kata ini meliki bermacam arti yang mendekati, seperti: Lust menggunakan arti dari kata ini yaitu paksaan, dan tekanan.</w:t>
      </w:r>
      <w:r>
        <w:rPr>
          <w:rStyle w:val="19"/>
          <w:lang w:bidi="he-IL"/>
        </w:rPr>
        <w:footnoteReference w:id="75"/>
      </w:r>
      <w:r>
        <w:rPr>
          <w:lang w:bidi="he-IL"/>
        </w:rPr>
        <w:t xml:space="preserve"> Liddel Scott menerjemahkan kata ini adalah keharusan.</w:t>
      </w:r>
      <w:r>
        <w:rPr>
          <w:rStyle w:val="19"/>
          <w:lang w:bidi="he-IL"/>
        </w:rPr>
        <w:footnoteReference w:id="76"/>
      </w:r>
      <w:r>
        <w:rPr>
          <w:lang w:bidi="he-IL"/>
        </w:rPr>
        <w:t xml:space="preserve"> Bagi Moulton Milligan mengartikannya sebagai terpaksa mendesak.</w:t>
      </w:r>
      <w:r>
        <w:rPr>
          <w:rStyle w:val="19"/>
          <w:lang w:bidi="he-IL"/>
        </w:rPr>
        <w:footnoteReference w:id="77"/>
      </w:r>
      <w:r>
        <w:rPr>
          <w:lang w:bidi="he-IL"/>
        </w:rPr>
        <w:t xml:space="preserve"> Dengan demikian, berdasarkan terjemahan-terjemahan pada kata ini, dalam nasihatnya Paulus bukan hanya sekedar memberikan nasihat kepada orang-orang Kristen Roma, melainkan pada ayat kelima peneleti melihat Paulus di sini sedang menggunakan unsur desakan sehingga menyiratkan mengenai keadaan yang benar-benar terdesak akan keharusan bagi orang-orang Kristen di Roma untuk tunduk kepada pemerintah yang ada.</w:t>
      </w:r>
    </w:p>
    <w:p w14:paraId="2F5797D2">
      <w:pPr>
        <w:tabs>
          <w:tab w:val="left" w:pos="4875"/>
        </w:tabs>
        <w:spacing w:after="240"/>
        <w:ind w:firstLine="720"/>
        <w:jc w:val="both"/>
        <w:rPr>
          <w:lang w:bidi="he-IL"/>
        </w:rPr>
      </w:pPr>
      <w:r>
        <w:rPr>
          <w:lang w:bidi="he-IL"/>
        </w:rPr>
        <w:t>Paulus memberikan nasihat kembali seperti dalam ayat 1 yakni orang-orang Kristen Roma perlu memiliki sikap tunduk kepada pemerintah. Dari adanya pengulangan nasihat tersebut, maka hal ini sangat penting untuk diterapkan dalam kehidupan mereka. Paulus memberitahukan supaya memiliki motivasi yang benar dalam hal ketundukan kepada pemerintah, yang perlu diperhatikan dalam hal ketundukan disini adalah bukan atas dasar ketakutan pada murka Allah.</w:t>
      </w:r>
    </w:p>
    <w:p w14:paraId="4E680E8F">
      <w:pPr>
        <w:jc w:val="both"/>
        <w:rPr>
          <w:i/>
          <w:iCs/>
          <w:lang w:bidi="he-IL"/>
        </w:rPr>
      </w:pPr>
      <w:r>
        <w:rPr>
          <w:i/>
          <w:iCs/>
          <w:lang w:bidi="he-IL"/>
        </w:rPr>
        <w:t>Tunduk karena Hati Nurani (5b)</w:t>
      </w:r>
    </w:p>
    <w:p w14:paraId="0903516E">
      <w:pPr>
        <w:ind w:firstLine="720"/>
        <w:jc w:val="both"/>
        <w:rPr>
          <w:lang w:bidi="he-IL"/>
        </w:rPr>
      </w:pPr>
      <w:r>
        <w:rPr>
          <w:lang w:bidi="he-IL"/>
        </w:rPr>
        <w:t>Paulus menyatakan bahwa bukanlah menjadi alasan yang tepat bila ketundukan itu atas dasar takut pada murka Allah. Karna pada ayat pertama Paulus telah mengungkapkan alasan dari ketundukan orang-orang Kristen di Roma kepada pemerintah. Lalu pada ayat kelima disini, Paulus memberikan alasan sebagai bentuk penegasan kembali berkenaan nasihatnya ini yakni salah satu alasan yang paling mendasar untuk tunduk kepada pemerintahan adalah karena hati nurani.</w:t>
      </w:r>
    </w:p>
    <w:p w14:paraId="5F579564">
      <w:pPr>
        <w:ind w:firstLine="720"/>
        <w:jc w:val="both"/>
        <w:rPr>
          <w:lang w:bidi="he-IL"/>
        </w:rPr>
      </w:pPr>
      <w:r>
        <w:rPr>
          <w:lang w:bidi="he-IL"/>
        </w:rPr>
        <w:t xml:space="preserve">Kata yang dipakai berkenaan hati nurani adalah </w:t>
      </w:r>
      <w:r>
        <w:rPr>
          <w:i/>
          <w:iCs/>
          <w:lang w:bidi="he-IL"/>
        </w:rPr>
        <w:t>suneidesin</w:t>
      </w:r>
      <w:r>
        <w:rPr>
          <w:lang w:bidi="he-IL"/>
        </w:rPr>
        <w:t>. Menurut, Stanley Rambitan menerangkan bahwa kata ini merupakan istilah etis-filosofis yang menghantarkan kepada suatu pemahaman oleh setiap individu berkaitan pada hal yang baik dan jahat, atau mempertimbangkan secara moral dari apa yang layak dan apa yang tidak layak untuk diterapkan dalam kehidupan. Lebih jauh lagi, dia membahas mengenai peran dari hati nurani. Pada saat seseorang melakukan tindakan yang keliru, maka hati nurani akan merasakan ada yang salah dari perbuatannya. Adanya hati nurani bisa membuat manusia menjadi sadar dari kesalahan yang dibuat, yang kemudian timbul perasaan untuk menyesal. Hati nurani merupakan alasan mendasar kepada orang Kristen untuk bisa tunduk kepada pemerintah.</w:t>
      </w:r>
      <w:r>
        <w:rPr>
          <w:rStyle w:val="19"/>
          <w:lang w:bidi="he-IL"/>
        </w:rPr>
        <w:footnoteReference w:id="78"/>
      </w:r>
      <w:r>
        <w:rPr>
          <w:lang w:bidi="he-IL"/>
        </w:rPr>
        <w:t xml:space="preserve"> Berdasarkan hal ini, hati nurani adalah penting untuk memberikan arahan agar tidak sampai salah melangkah, seseorang bisa tau menempatkan diri pada situasi yang dia hadapi. Namun, apabila terjadi kesalahan ketika tidak mengedepankan hati nurani maka orang itu juga bisa tersadar dari kesalahan atau pelanggaran yang telah diperbuat karena memiliki hati nurani dalam dirinya.</w:t>
      </w:r>
    </w:p>
    <w:p w14:paraId="1F6556BB">
      <w:pPr>
        <w:spacing w:after="240"/>
        <w:ind w:firstLine="720"/>
        <w:jc w:val="both"/>
        <w:rPr>
          <w:lang w:bidi="he-IL"/>
        </w:rPr>
      </w:pPr>
      <w:r>
        <w:rPr>
          <w:lang w:bidi="he-IL"/>
        </w:rPr>
        <w:t>Robert Deffinbaugh mejabarkan ada beberapa alasan mengapa orang Kristen dan pemerintah dapat berselisih satu sama lain, dan umat Kristen bisa saja keliru memelintirkan alasan-alasan tersebut dengan menjadikan alasan untuk tidak menghormati dan tidak taat kepada otoritas. Pertama, pemerintah sipil bersifat sekuler, sementara Kekristenan bersifat rohani. Orang Kristen adalah orang asing dan pendatang yang hanya singgah di dunia ini (lihat. 1 Pet. 1:1). Kewarganegaraan mereka adalah di Surga (Fil. 3:20). Kedua, negara dapat memandang Kekristenan sebagai suatu yang kompetitif, bahkan memusuhi otorittas. Bagi orang-orang Kristen menyatakan bahwa otoritas tertinggi adalah Allah. Sedangkan dalam kewarganegaraan Roma, Kaisar adalah “tuhan”. Maka dari hal itu, orang Romawi menganggap orang Kristen sebagai ateis, dan pada akhirnya Kekristenan dianggap sebagai pengkhianatan. Ketiga, terkadang orang Kristen meminta untuk taat kepada Allah dan bukan kepada manusia (lihat. Kis. 5:29), secara terbuka memberikan konfirmasi kecurigaan pemerintah. Keempat, para pejabat pemerintah, baik scara tidak sadar maupun sadar, menggunakan otoritas mereka secara aktif untuk menentang gereja dan menganiaya orang-orang Kristen</w:t>
      </w:r>
      <w:r>
        <w:rPr>
          <w:rStyle w:val="19"/>
          <w:lang w:bidi="he-IL"/>
        </w:rPr>
        <w:footnoteReference w:id="79"/>
      </w:r>
      <w:r>
        <w:rPr>
          <w:lang w:bidi="he-IL"/>
        </w:rPr>
        <w:t xml:space="preserve"> Berdasarkan faktor-faktor tersebut, memberitahukan batas-batas ketundukan terhadap pemerintah yang ada di dunia. Dimana peran daripada hati nurani orang Kristen yang menjadi patokan dalam menentukan respon apa yang nantinya dilakukan.</w:t>
      </w:r>
    </w:p>
    <w:p w14:paraId="0DBD0174">
      <w:pPr>
        <w:jc w:val="both"/>
        <w:rPr>
          <w:b/>
          <w:bCs/>
          <w:lang w:bidi="he-IL"/>
        </w:rPr>
      </w:pPr>
      <w:r>
        <w:rPr>
          <w:b/>
          <w:bCs/>
          <w:lang w:bidi="he-IL"/>
        </w:rPr>
        <w:t>Kewajiban terhadap Pemerintah</w:t>
      </w:r>
    </w:p>
    <w:p w14:paraId="26ED777D">
      <w:pPr>
        <w:spacing w:after="240"/>
        <w:ind w:firstLine="720"/>
        <w:jc w:val="both"/>
        <w:rPr>
          <w:lang w:bidi="he-IL"/>
        </w:rPr>
      </w:pPr>
      <w:r>
        <w:rPr>
          <w:lang w:bidi="he-IL"/>
        </w:rPr>
        <w:t>Pada bagian terakhir dalam teks Roma 13:1-7, penulis melihat bahwa dalam ayat 6-7 terdapat kewajiban dari orang-orang Kristen di Roma kepada pemerintah yang boleh dinyatakan oleh Paulus. Dengan demikian, peneliti akan menjabarkan menyangkut kewajiban pada orang-orang Kristen dengan pemerintah, sebagai berikut: membayar pajak (6-7a), memberi hormat (7b).</w:t>
      </w:r>
    </w:p>
    <w:p w14:paraId="7F0DC0A9">
      <w:pPr>
        <w:jc w:val="both"/>
        <w:rPr>
          <w:i/>
          <w:iCs/>
          <w:lang w:bidi="he-IL"/>
        </w:rPr>
      </w:pPr>
      <w:r>
        <w:rPr>
          <w:i/>
          <w:iCs/>
          <w:lang w:bidi="he-IL"/>
        </w:rPr>
        <w:t>Membayar Pajak (6-7a)</w:t>
      </w:r>
    </w:p>
    <w:p w14:paraId="4DA513D2">
      <w:pPr>
        <w:ind w:firstLine="720"/>
        <w:jc w:val="both"/>
        <w:rPr>
          <w:lang w:bidi="he-IL"/>
        </w:rPr>
      </w:pPr>
      <w:r>
        <w:rPr>
          <w:lang w:bidi="he-IL"/>
        </w:rPr>
        <w:t>Ketika masuk pada bagian dalam ayat 6-7 yang sebelumnya Paulus menggunakan kata ganti orang kedua tunggal “kamu” berubah menjadi kata ganti orang kedua jamak “kalian”. Hal ini mengindakasikan bahwa secara status kamu adalah masyarakat sipil, namun bagi pandangan pemerintah kalian merupakan satus yang sama sebagai kepunyaan Kristus.</w:t>
      </w:r>
      <w:r>
        <w:rPr>
          <w:rStyle w:val="19"/>
          <w:lang w:bidi="he-IL"/>
        </w:rPr>
        <w:footnoteReference w:id="80"/>
      </w:r>
      <w:r>
        <w:rPr>
          <w:lang w:bidi="he-IL"/>
        </w:rPr>
        <w:t xml:space="preserve"> Melalui bagian ini, Paulus memberikan instruksi perihal hubungan antara orang-orang Kristen di Roma dengan pemerintah. Pengajaran dari Paulus berdasarkan teks ini, menyatakan bahwa sebagai warga negara yang baik, maka orang-orang Kristen di Roma harus memenuhi kewajiban mereka kepada pemerintah, yaitu membayar pajak.</w:t>
      </w:r>
    </w:p>
    <w:p w14:paraId="50F64604">
      <w:pPr>
        <w:ind w:firstLine="720"/>
        <w:jc w:val="both"/>
        <w:rPr>
          <w:lang w:bidi="he-IL"/>
        </w:rPr>
      </w:pPr>
      <w:r>
        <w:rPr>
          <w:lang w:bidi="he-IL"/>
        </w:rPr>
        <w:t xml:space="preserve">Paulus menginformasikan dalam ayat 6 sebutan yang digunakan dari pemerintah yang lebih terhormat. Sebutan yang dipakai untuk pemerintah dalam bahasa aslinya yaitu </w:t>
      </w:r>
      <w:r>
        <w:rPr>
          <w:lang w:val="el-GR" w:bidi="he-IL"/>
        </w:rPr>
        <w:t>λειτουργοὶ</w:t>
      </w:r>
      <w:r>
        <w:rPr>
          <w:lang w:bidi="he-IL"/>
        </w:rPr>
        <w:t xml:space="preserve"> (</w:t>
      </w:r>
      <w:r>
        <w:rPr>
          <w:i/>
          <w:iCs/>
          <w:lang w:bidi="he-IL"/>
        </w:rPr>
        <w:t>leitourgoi</w:t>
      </w:r>
      <w:r>
        <w:rPr>
          <w:lang w:bidi="he-IL"/>
        </w:rPr>
        <w:t xml:space="preserve">) bentuk jamak dari </w:t>
      </w:r>
      <w:r>
        <w:rPr>
          <w:i/>
          <w:iCs/>
          <w:lang w:bidi="he-IL"/>
        </w:rPr>
        <w:t>leitourgos</w:t>
      </w:r>
      <w:r>
        <w:rPr>
          <w:lang w:bidi="he-IL"/>
        </w:rPr>
        <w:t>.</w:t>
      </w:r>
      <w:r>
        <w:rPr>
          <w:rStyle w:val="19"/>
          <w:lang w:bidi="he-IL"/>
        </w:rPr>
        <w:footnoteReference w:id="81"/>
      </w:r>
      <w:r>
        <w:rPr>
          <w:lang w:bidi="he-IL"/>
        </w:rPr>
        <w:t xml:space="preserve"> Kata ini digunakan bagi orang-orang yang menjalankan pelayanan umum termasuk juga pada bidang keagamaan. Secara umumnya </w:t>
      </w:r>
      <w:r>
        <w:rPr>
          <w:i/>
          <w:iCs/>
          <w:lang w:bidi="he-IL"/>
        </w:rPr>
        <w:t>leitourgos</w:t>
      </w:r>
      <w:r>
        <w:rPr>
          <w:lang w:bidi="he-IL"/>
        </w:rPr>
        <w:t xml:space="preserve"> digunakan kepada orang yang melayani dalam negara, misalnya pegawai, dan orang swasta.</w:t>
      </w:r>
      <w:r>
        <w:rPr>
          <w:rStyle w:val="19"/>
          <w:lang w:bidi="he-IL"/>
        </w:rPr>
        <w:footnoteReference w:id="82"/>
      </w:r>
      <w:r>
        <w:rPr>
          <w:lang w:bidi="he-IL"/>
        </w:rPr>
        <w:t xml:space="preserve"> Dalam bagian ini, Paulus menyatakan baik penguasa dan pegawai, keduanya memiliki pengabdian kepada negara. Mereka dipercayakan untuk melaksanakan tugas dari Allah. Dengan begitu, Paulus memberikan penegasan terkait soal pajak yang harus dibayar oleh orang yang mempunyai status sebagai warga negara Roma, maupun orang luar sebagai pendatang yang bukan warga negara Roma.</w:t>
      </w:r>
      <w:r>
        <w:rPr>
          <w:rStyle w:val="19"/>
          <w:lang w:bidi="he-IL"/>
        </w:rPr>
        <w:footnoteReference w:id="83"/>
      </w:r>
      <w:r>
        <w:rPr>
          <w:lang w:bidi="he-IL"/>
        </w:rPr>
        <w:t xml:space="preserve"> Berdasarkan hal ini, pemerintah yang sudah mempunyai kewenangan dari Allah harus menjalankan tanggung jawab yang sudah diberikan. Lalu, rakyat biasa mempunyai tanggung jawab untuk membayar pajak kepada pihak yang terkait.</w:t>
      </w:r>
    </w:p>
    <w:p w14:paraId="12E8E26B">
      <w:pPr>
        <w:ind w:firstLine="720"/>
        <w:jc w:val="both"/>
        <w:rPr>
          <w:lang w:bidi="he-IL"/>
        </w:rPr>
      </w:pPr>
      <w:r>
        <w:rPr>
          <w:lang w:bidi="he-IL"/>
        </w:rPr>
        <w:t>Bilamana orang-orang Kristen di Roma ada yang tidak mentaati peraturan yang sudah ditetapkan ini dalam hal membayar pajak. Secara tidak langsung mereka telah merampas hak milik orang lain sehingga hal tersebut dianggap sebagai bentuk pelanggaran secara moral. Dari hasil pajak yang telah dikumpulkan, setelah itu dapat difungsikan meningkatkan infrastruktur kota.</w:t>
      </w:r>
      <w:r>
        <w:rPr>
          <w:rStyle w:val="19"/>
          <w:lang w:bidi="he-IL"/>
        </w:rPr>
        <w:footnoteReference w:id="84"/>
      </w:r>
      <w:r>
        <w:rPr>
          <w:lang w:bidi="he-IL"/>
        </w:rPr>
        <w:t xml:space="preserve"> Dengan begitu, Paulus menasihatkan agar membayar pajak, sebab kalau ada yang melalaikan peraturan ini berarti orang itu juga telah melanggar kewajiban moral yang tidak mau terciptanya kebaikan bersama dalam hidup sebagai warga negara.</w:t>
      </w:r>
    </w:p>
    <w:p w14:paraId="0B42E9FB">
      <w:pPr>
        <w:ind w:firstLine="720"/>
        <w:jc w:val="both"/>
        <w:rPr>
          <w:lang w:bidi="he-IL"/>
        </w:rPr>
      </w:pPr>
      <w:r>
        <w:rPr>
          <w:lang w:bidi="he-IL"/>
        </w:rPr>
        <w:t>Pada tahun 58 terjadi banyak keluhan berkaitan perusahaan pemungutan pajak yang ada di Roma.</w:t>
      </w:r>
      <w:r>
        <w:rPr>
          <w:rStyle w:val="19"/>
          <w:lang w:bidi="he-IL"/>
        </w:rPr>
        <w:footnoteReference w:id="85"/>
      </w:r>
      <w:r>
        <w:rPr>
          <w:lang w:bidi="he-IL"/>
        </w:rPr>
        <w:t xml:space="preserve"> Adanya hal tersebut, maka Paulus memiliki kekhawatiran kepada jemaat Roma yang tidak mau mematuhi ketetapan pada pemerintahan Romawi yang ada waktu itu dengan menasihatkan orang-orang Kristen Roma untuk membayar pajak, sebagai bentuk kewajiban terhadap pemerintah. Tujuannya untuk mengingatkan, dan meningkatkan peran mereka sebagai warga negara supaya tidak melalaikan kewajiban yang mereka miliki.</w:t>
      </w:r>
    </w:p>
    <w:p w14:paraId="2117041F">
      <w:pPr>
        <w:ind w:firstLine="720"/>
        <w:jc w:val="both"/>
        <w:rPr>
          <w:lang w:bidi="he-IL"/>
        </w:rPr>
      </w:pPr>
      <w:r>
        <w:rPr>
          <w:lang w:bidi="he-IL"/>
        </w:rPr>
        <w:t xml:space="preserve">Untuk kata pajak berasal dari bahasa Yunani </w:t>
      </w:r>
      <w:r>
        <w:rPr>
          <w:lang w:val="el-GR" w:bidi="he-IL"/>
        </w:rPr>
        <w:t>φόβον</w:t>
      </w:r>
      <w:r>
        <w:rPr>
          <w:lang w:bidi="he-IL"/>
        </w:rPr>
        <w:t xml:space="preserve"> (</w:t>
      </w:r>
      <w:r>
        <w:rPr>
          <w:i/>
          <w:iCs/>
          <w:lang w:bidi="he-IL"/>
        </w:rPr>
        <w:t>phoron</w:t>
      </w:r>
      <w:r>
        <w:rPr>
          <w:lang w:bidi="he-IL"/>
        </w:rPr>
        <w:t>) yang berarti pemberian kepada penguasa, baik yang dipungut atas kepemilikan dari seseorang, rumah atau tanah.</w:t>
      </w:r>
      <w:r>
        <w:rPr>
          <w:rStyle w:val="19"/>
          <w:lang w:bidi="he-IL"/>
        </w:rPr>
        <w:footnoteReference w:id="86"/>
      </w:r>
      <w:r>
        <w:rPr>
          <w:lang w:bidi="he-IL"/>
        </w:rPr>
        <w:t xml:space="preserve"> Dalam konteks ini, sebagai orang-orang Kristen yang hidup dibawah otoritas pemerintah Romawi, bilamana menjadi warga negara berarti tidak bisa lepas dari tanggung jawab sehingga Paulus memberikan nasihat tentang kewajiban untuk membayar pajak.</w:t>
      </w:r>
    </w:p>
    <w:p w14:paraId="0B05ED1C">
      <w:pPr>
        <w:ind w:firstLine="720"/>
        <w:jc w:val="both"/>
        <w:rPr>
          <w:lang w:bidi="he-IL"/>
        </w:rPr>
      </w:pPr>
      <w:r>
        <w:rPr>
          <w:lang w:bidi="he-IL"/>
        </w:rPr>
        <w:t xml:space="preserve">Selain pajak ada unsur lain yang perlu diperhatikan disini berkenaan tanggung jawab kepada negara yaitu soal cukai dalam bahasa aslinya menggunakan kata </w:t>
      </w:r>
      <w:r>
        <w:rPr>
          <w:lang w:val="el-GR" w:bidi="he-IL"/>
        </w:rPr>
        <w:t>τέλος</w:t>
      </w:r>
      <w:r>
        <w:rPr>
          <w:lang w:bidi="he-IL"/>
        </w:rPr>
        <w:t xml:space="preserve"> (</w:t>
      </w:r>
      <w:r>
        <w:rPr>
          <w:i/>
          <w:iCs/>
          <w:lang w:bidi="he-IL"/>
        </w:rPr>
        <w:t>telos</w:t>
      </w:r>
      <w:r>
        <w:rPr>
          <w:lang w:bidi="he-IL"/>
        </w:rPr>
        <w:t>). Hal yang membedakannya yaitu, kata pajak diberlakukan kepada orang asing atau orang yang tidak terhitung sebagai kewarganegaraan Roma, disini mereka wajib untuk membayar pajak. Sedangkan, untuk kata cukai diberlakukan kepada semua orang, entah orang itu adalah warga negara Roma, maupun orang bukan warga negara Roma wajib untuk mebayar cukai.</w:t>
      </w:r>
      <w:r>
        <w:rPr>
          <w:rStyle w:val="19"/>
          <w:lang w:bidi="he-IL"/>
        </w:rPr>
        <w:footnoteReference w:id="87"/>
      </w:r>
      <w:r>
        <w:rPr>
          <w:lang w:bidi="he-IL"/>
        </w:rPr>
        <w:t xml:space="preserve"> Dari hal ini, setiap orang mempunyai kewajiban untuk melaksanakan dari apa yang sudah ditetapkan dalam sistem pemerintahan Romawi.</w:t>
      </w:r>
    </w:p>
    <w:p w14:paraId="7D660876">
      <w:pPr>
        <w:ind w:firstLine="720"/>
        <w:jc w:val="both"/>
        <w:rPr>
          <w:lang w:bidi="he-IL"/>
        </w:rPr>
      </w:pPr>
      <w:r>
        <w:rPr>
          <w:lang w:bidi="he-IL"/>
        </w:rPr>
        <w:t>Peneliti menemukan pada ayat ini adanya keterkaitan dengan ayat-ayat sebelumnya, karena ada kata itulah sebabnya yang menunjukan pada bagian-bagian sebelumnya dimana Paulus menekankan ketundukan kepada pemerintah. Maka, yang perlu dilakukan oleh orang-orang Kristen Roma dalam hal bentuk ketundukan terhadap pemerintah sebagai salah satu contoh konkretnya yaitu membayar pajak. Jadi, atas dasar ini ternyata Paulus tidak hanya memberikan nasihat belaka, namun ia juga memberikan penerapan dibagian akhir teks ini agar hal itu dapat dipraktikan oleh jemaat di Roma. Dari sebelumnya, dalam nasihat Paulus disertai dengan alasan dalam ketundukan itu. Menyikapi dari ketundukan disertai bukti-bukti perilaku yang dapat terlihat oleh orang lain.</w:t>
      </w:r>
    </w:p>
    <w:p w14:paraId="4E5F8709">
      <w:pPr>
        <w:jc w:val="both"/>
        <w:rPr>
          <w:b/>
          <w:bCs/>
          <w:lang w:bidi="he-IL"/>
        </w:rPr>
      </w:pPr>
    </w:p>
    <w:p w14:paraId="41CC3AF6">
      <w:pPr>
        <w:jc w:val="both"/>
        <w:rPr>
          <w:i/>
          <w:iCs/>
          <w:lang w:bidi="he-IL"/>
        </w:rPr>
      </w:pPr>
      <w:r>
        <w:rPr>
          <w:i/>
          <w:iCs/>
          <w:lang w:bidi="he-IL"/>
        </w:rPr>
        <w:t>Memberi Hormat (7b)</w:t>
      </w:r>
    </w:p>
    <w:p w14:paraId="52FECF46">
      <w:pPr>
        <w:ind w:firstLine="720"/>
        <w:jc w:val="both"/>
        <w:rPr>
          <w:lang w:bidi="he-IL"/>
        </w:rPr>
      </w:pPr>
      <w:r>
        <w:rPr>
          <w:lang w:bidi="he-IL"/>
        </w:rPr>
        <w:t xml:space="preserve">Dalam ayat ini, Paulus menegaskan dalam hidup orang-orang Kristen di Roma betapa pentingnya untuk memberikan hormat kepada mereka yang layak dihormati. Konteksnya di sini mencakup kepada para pemimpin, penguasa, atau otoritas yang mempunyai tanggung jawab dalam menjaga ketertiban dalam suatu negara. Ketika memberikan hormat bukan saja karena adanya kewajiban moral, namun sebagai bentuk pengakuan akan otoritas yang sudah Allah tetapkan. Berikutnya, hal lain yang bisa diperhatikan dalam nasihat Paulus oleh orang-orang Kristen yang ada di Roma, perlu adanya tindakan secara nyata dalam kehidupan sehari-hari terhadap pemerintah, yakni berkaitan dengan memberikan rasa hormat dalam bahasa aslinya menggunakan kata </w:t>
      </w:r>
      <w:r>
        <w:rPr>
          <w:lang w:val="el-GR" w:bidi="he-IL"/>
        </w:rPr>
        <w:t>τιμὴν</w:t>
      </w:r>
      <w:r>
        <w:rPr>
          <w:lang w:bidi="he-IL"/>
        </w:rPr>
        <w:t xml:space="preserve"> (</w:t>
      </w:r>
      <w:r>
        <w:rPr>
          <w:i/>
          <w:iCs/>
          <w:lang w:bidi="he-IL"/>
        </w:rPr>
        <w:t>timen</w:t>
      </w:r>
      <w:r>
        <w:rPr>
          <w:lang w:bidi="he-IL"/>
        </w:rPr>
        <w:t>).</w:t>
      </w:r>
      <w:r>
        <w:rPr>
          <w:rStyle w:val="19"/>
          <w:lang w:bidi="he-IL"/>
        </w:rPr>
        <w:footnoteReference w:id="88"/>
      </w:r>
      <w:r>
        <w:rPr>
          <w:lang w:bidi="he-IL"/>
        </w:rPr>
        <w:t xml:space="preserve"> Pada saat seseorang melakukan hal ini bukan karena ada keterpaksaan, melainkan Paulus menyatakan bahwa memerlukan hati nurani. Menjadi orang Kristen dalam mentaati perintah-perintah Allah, maka ada hati nurani yang menggerakannya supaya taat kepada Allah.</w:t>
      </w:r>
      <w:r>
        <w:rPr>
          <w:rStyle w:val="19"/>
          <w:lang w:bidi="he-IL"/>
        </w:rPr>
        <w:footnoteReference w:id="89"/>
      </w:r>
      <w:r>
        <w:rPr>
          <w:lang w:bidi="he-IL"/>
        </w:rPr>
        <w:t xml:space="preserve"> Dari tindakan ini adanya keterkaitan pada ayat 5 dimana Paulus menyatakan kepada orang-orang Kristen di Roma dalam ketundukan terhadap pemerintah berlandaskan kepada hati nurani, jadi setiap individu dapat memberi rasa hormat kepada pemerintah bukan atas keadaan yang terpaksa.</w:t>
      </w:r>
    </w:p>
    <w:p w14:paraId="14629D74">
      <w:pPr>
        <w:ind w:firstLine="1080"/>
      </w:pPr>
    </w:p>
    <w:p w14:paraId="263F29A2">
      <w:pPr>
        <w:ind w:firstLine="1080"/>
      </w:pPr>
      <w:r>
        <mc:AlternateContent>
          <mc:Choice Requires="wpg">
            <w:drawing>
              <wp:anchor distT="0" distB="0" distL="114300" distR="114300" simplePos="0" relativeHeight="251661312" behindDoc="0" locked="0" layoutInCell="1" allowOverlap="1">
                <wp:simplePos x="0" y="0"/>
                <wp:positionH relativeFrom="column">
                  <wp:posOffset>910590</wp:posOffset>
                </wp:positionH>
                <wp:positionV relativeFrom="paragraph">
                  <wp:posOffset>88265</wp:posOffset>
                </wp:positionV>
                <wp:extent cx="3552825" cy="4438650"/>
                <wp:effectExtent l="0" t="0" r="28575" b="19050"/>
                <wp:wrapNone/>
                <wp:docPr id="21" name="Group 21"/>
                <wp:cNvGraphicFramePr/>
                <a:graphic xmlns:a="http://schemas.openxmlformats.org/drawingml/2006/main">
                  <a:graphicData uri="http://schemas.microsoft.com/office/word/2010/wordprocessingGroup">
                    <wpg:wgp>
                      <wpg:cNvGrpSpPr/>
                      <wpg:grpSpPr>
                        <a:xfrm>
                          <a:off x="0" y="0"/>
                          <a:ext cx="3552825" cy="4438650"/>
                          <a:chOff x="173536" y="0"/>
                          <a:chExt cx="3596047" cy="5181600"/>
                        </a:xfrm>
                      </wpg:grpSpPr>
                      <wps:wsp>
                        <wps:cNvPr id="2" name="Oval 2"/>
                        <wps:cNvSpPr/>
                        <wps:spPr>
                          <a:xfrm>
                            <a:off x="1133475" y="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06A78CF">
                              <w:pPr>
                                <w:jc w:val="center"/>
                              </w:pPr>
                              <w:r>
                                <w:t>Allah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 name="Oval 5"/>
                        <wps:cNvSpPr/>
                        <wps:spPr>
                          <a:xfrm>
                            <a:off x="1076325" y="196215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FA993BC">
                              <w:pPr>
                                <w:jc w:val="center"/>
                              </w:pPr>
                              <w:r>
                                <w:t>Pemerintah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Oval 6"/>
                        <wps:cNvSpPr/>
                        <wps:spPr>
                          <a:xfrm>
                            <a:off x="1009650" y="426720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57957AC6">
                              <w:pPr>
                                <w:jc w:val="center"/>
                              </w:pPr>
                              <w:r>
                                <w:t>Orang Percaya</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Rectangle 7"/>
                        <wps:cNvSpPr/>
                        <wps:spPr>
                          <a:xfrm>
                            <a:off x="173536" y="1257300"/>
                            <a:ext cx="1588589"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C93D1ED">
                              <w:pPr>
                                <w:jc w:val="center"/>
                              </w:pPr>
                              <w:r>
                                <w:t>Berasal dari Allah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Rectangle 9"/>
                        <wps:cNvSpPr/>
                        <wps:spPr>
                          <a:xfrm>
                            <a:off x="2200275" y="1257300"/>
                            <a:ext cx="1569308"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DE93C53">
                              <w:r>
                                <w:t>Ditetapkan oleh Allah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Rectangle 10"/>
                        <wps:cNvSpPr/>
                        <wps:spPr>
                          <a:xfrm>
                            <a:off x="1543050" y="3390900"/>
                            <a:ext cx="657225"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7BC2414">
                              <w:pPr>
                                <w:jc w:val="center"/>
                              </w:pPr>
                              <w:r>
                                <w:t>Taat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Arrow: Right 13"/>
                        <wps:cNvSpPr/>
                        <wps:spPr>
                          <a:xfrm rot="16200000">
                            <a:off x="1695451" y="30670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 name="Arrow: Right 14"/>
                        <wps:cNvSpPr/>
                        <wps:spPr>
                          <a:xfrm rot="16200000">
                            <a:off x="1695451" y="39433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 name="Arrow: Right 15"/>
                        <wps:cNvSpPr/>
                        <wps:spPr>
                          <a:xfrm rot="2735451">
                            <a:off x="2457450" y="981074"/>
                            <a:ext cx="390526"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 name="Arrow: Right 16"/>
                        <wps:cNvSpPr/>
                        <wps:spPr>
                          <a:xfrm rot="8731884">
                            <a:off x="1133475" y="962024"/>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 name="Arrow: Right 19"/>
                        <wps:cNvSpPr/>
                        <wps:spPr>
                          <a:xfrm rot="2735451">
                            <a:off x="1114425" y="179070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 name="Arrow: Right 20"/>
                        <wps:cNvSpPr/>
                        <wps:spPr>
                          <a:xfrm rot="8731884">
                            <a:off x="2276475" y="17716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71.7pt;margin-top:6.95pt;height:349.5pt;width:279.75pt;z-index:251661312;mso-width-relative:page;mso-height-relative:page;" coordorigin="173536,0" coordsize="3596047,5181600" o:gfxdata="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">
                <o:lock v:ext="edit" aspectratio="f"/>
                <v:shape id="_x0000_s1026" o:spid="_x0000_s1026" o:spt="3" type="#_x0000_t3" style="position:absolute;left:1133475;top:0;height:914400;width:1695450;v-text-anchor:middle;" fillcolor="#FFFFFF [3201]" filled="t" stroked="t" coordsize="21600,21600" o:gfxdata="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UmXz74A&#10;AADaAAAADwAAAAAAAAABACAAAAAiAAAAZHJzL2Rvd25yZXYueG1sUEsBAhQAFAAAAAgAh07iQDMv&#10;BZ47AAAAOQAAABAAAAAAAAAAAQAgAAAADQEAAGRycy9zaGFwZXhtbC54bWxQSwUGAAAAAAYABgBb&#10;AQAAtwMAAAAA&#10;">
                  <v:fill on="t" focussize="0,0"/>
                  <v:stroke weight="1.5pt" color="#000000 [3200]" joinstyle="round"/>
                  <v:imagedata o:title=""/>
                  <o:lock v:ext="edit" aspectratio="f"/>
                  <v:textbox>
                    <w:txbxContent>
                      <w:p w14:paraId="606A78CF">
                        <w:pPr>
                          <w:jc w:val="center"/>
                        </w:pPr>
                        <w:r>
                          <w:t>Allah</w:t>
                        </w:r>
                      </w:p>
                    </w:txbxContent>
                  </v:textbox>
                </v:shape>
                <v:shape id="_x0000_s1026" o:spid="_x0000_s1026" o:spt="3" type="#_x0000_t3" style="position:absolute;left:1076325;top:1962150;height:914400;width:1695450;v-text-anchor:middle;" fillcolor="#FFFFFF [3201]" filled="t" stroked="t" coordsize="21600,21600" o:gfxdata="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APu74A&#10;AADaAAAADwAAAAAAAAABACAAAAAiAAAAZHJzL2Rvd25yZXYueG1sUEsBAhQAFAAAAAgAh07iQDMv&#10;BZ47AAAAOQAAABAAAAAAAAAAAQAgAAAADQEAAGRycy9zaGFwZXhtbC54bWxQSwUGAAAAAAYABgBb&#10;AQAAtwMAAAAA&#10;">
                  <v:fill on="t" focussize="0,0"/>
                  <v:stroke weight="1.5pt" color="#000000 [3200]" joinstyle="round"/>
                  <v:imagedata o:title=""/>
                  <o:lock v:ext="edit" aspectratio="f"/>
                  <v:textbox>
                    <w:txbxContent>
                      <w:p w14:paraId="6FA993BC">
                        <w:pPr>
                          <w:jc w:val="center"/>
                        </w:pPr>
                        <w:r>
                          <w:t>Pemerintah</w:t>
                        </w:r>
                      </w:p>
                    </w:txbxContent>
                  </v:textbox>
                </v:shape>
                <v:shape id="_x0000_s1026" o:spid="_x0000_s1026" o:spt="3" type="#_x0000_t3" style="position:absolute;left:1009650;top:4267200;height:914400;width:1695450;v-text-anchor:middle;" fillcolor="#FFFFFF [3201]" filled="t" stroked="t" coordsize="21600,21600" o:gfxdata="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5ykcy/&#10;AAAA2gAAAA8AAAAAAAAAAQAgAAAAIgAAAGRycy9kb3ducmV2LnhtbFBLAQIUABQAAAAIAIdO4kAz&#10;LwWeOwAAADkAAAAQAAAAAAAAAAEAIAAAAA4BAABkcnMvc2hhcGV4bWwueG1sUEsFBgAAAAAGAAYA&#10;WwEAALgDAAAAAA==&#10;">
                  <v:fill on="t" focussize="0,0"/>
                  <v:stroke weight="1.5pt" color="#000000 [3200]" joinstyle="round"/>
                  <v:imagedata o:title=""/>
                  <o:lock v:ext="edit" aspectratio="f"/>
                  <v:textbox>
                    <w:txbxContent>
                      <w:p w14:paraId="57957AC6">
                        <w:pPr>
                          <w:jc w:val="center"/>
                        </w:pPr>
                        <w:r>
                          <w:t>Orang Percaya</w:t>
                        </w:r>
                      </w:p>
                    </w:txbxContent>
                  </v:textbox>
                </v:shape>
                <v:rect id="Rectangle 7" o:spid="_x0000_s1026" o:spt="1" style="position:absolute;left:173536;top:1257300;height:342900;width:1588589;v-text-anchor:middle;" fillcolor="#FFFFFF [3201]" filled="t" stroked="t" coordsize="21600,21600" o:gfxdata="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p4rqvQAA&#10;ANoAAAAPAAAAAAAAAAEAIAAAACIAAABkcnMvZG93bnJldi54bWxQSwECFAAUAAAACACHTuJAMy8F&#10;njsAAAA5AAAAEAAAAAAAAAABACAAAAAMAQAAZHJzL3NoYXBleG1sLnhtbFBLBQYAAAAABgAGAFsB&#10;AAC2AwAAAAA=&#10;">
                  <v:fill on="t" focussize="0,0"/>
                  <v:stroke weight="1.5pt" color="#000000 [3200]" joinstyle="round"/>
                  <v:imagedata o:title=""/>
                  <o:lock v:ext="edit" aspectratio="f"/>
                  <v:textbox>
                    <w:txbxContent>
                      <w:p w14:paraId="1C93D1ED">
                        <w:pPr>
                          <w:jc w:val="center"/>
                        </w:pPr>
                        <w:r>
                          <w:t>Berasal dari Allah</w:t>
                        </w:r>
                      </w:p>
                    </w:txbxContent>
                  </v:textbox>
                </v:rect>
                <v:rect id="Rectangle 9" o:spid="_x0000_s1026" o:spt="1" style="position:absolute;left:2200275;top:1257300;height:342900;width:1569308;v-text-anchor:middle;" fillcolor="#FFFFFF [3201]" filled="t" stroked="t" coordsize="21600,21600" o:gfxdata="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0uwO8AAAA&#10;2gAAAA8AAAAAAAAAAQAgAAAAIgAAAGRycy9kb3ducmV2LnhtbFBLAQIUABQAAAAIAIdO4kAzLwWe&#10;OwAAADkAAAAQAAAAAAAAAAEAIAAAAAsBAABkcnMvc2hhcGV4bWwueG1sUEsFBgAAAAAGAAYAWwEA&#10;ALUDAAAAAA==&#10;">
                  <v:fill on="t" focussize="0,0"/>
                  <v:stroke weight="1.5pt" color="#000000 [3200]" joinstyle="round"/>
                  <v:imagedata o:title=""/>
                  <o:lock v:ext="edit" aspectratio="f"/>
                  <v:textbox>
                    <w:txbxContent>
                      <w:p w14:paraId="6DE93C53">
                        <w:r>
                          <w:t>Ditetapkan oleh Allah</w:t>
                        </w:r>
                      </w:p>
                    </w:txbxContent>
                  </v:textbox>
                </v:rect>
                <v:rect id="Rectangle 10" o:spid="_x0000_s1026" o:spt="1" style="position:absolute;left:1543050;top:3390900;height:342900;width:657225;v-text-anchor:middle;" fillcolor="#FFFFFF [3201]" filled="t" stroked="t" coordsize="21600,21600" o:gfxdata="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4IzFvQAA&#10;ANsAAAAPAAAAAAAAAAEAIAAAACIAAABkcnMvZG93bnJldi54bWxQSwECFAAUAAAACACHTuJAMy8F&#10;njsAAAA5AAAAEAAAAAAAAAABACAAAAAMAQAAZHJzL3NoYXBleG1sLnhtbFBLBQYAAAAABgAGAFsB&#10;AAC2AwAAAAA=&#10;">
                  <v:fill on="t" focussize="0,0"/>
                  <v:stroke weight="1.5pt" color="#000000 [3200]" joinstyle="round"/>
                  <v:imagedata o:title=""/>
                  <o:lock v:ext="edit" aspectratio="f"/>
                  <v:textbox>
                    <w:txbxContent>
                      <w:p w14:paraId="27BC2414">
                        <w:pPr>
                          <w:jc w:val="center"/>
                        </w:pPr>
                        <w:r>
                          <w:t>Taat</w:t>
                        </w:r>
                      </w:p>
                    </w:txbxContent>
                  </v:textbox>
                </v:rect>
                <v:shape id="Arrow: Right 13" o:spid="_x0000_s1026" o:spt="13" type="#_x0000_t13" style="position:absolute;left:1695451;top:3067050;height:104775;width:390525;rotation:-5898240f;v-text-anchor:middle;" fillcolor="#000000 [3200]" filled="t" stroked="t" coordsize="21600,21600" o:gfxdata="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wLtAO5AAAA2wAA&#10;AA8AAAAAAAAAAQAgAAAAIgAAAGRycy9kb3ducmV2LnhtbFBLAQIUABQAAAAIAIdO4kAzLwWeOwAA&#10;ADkAAAAQAAAAAAAAAAEAIAAAAAgBAABkcnMvc2hhcGV4bWwueG1sUEsFBgAAAAAGAAYAWwEAALID&#10;AAAAAA==&#10;" adj="18703,5400">
                  <v:fill on="t" focussize="0,0"/>
                  <v:stroke weight="2pt" color="#000000 [3200]" joinstyle="round"/>
                  <v:imagedata o:title=""/>
                  <o:lock v:ext="edit" aspectratio="f"/>
                </v:shape>
                <v:shape id="Arrow: Right 14" o:spid="_x0000_s1026" o:spt="13" type="#_x0000_t13" style="position:absolute;left:1695451;top:3943350;height:104775;width:390525;rotation:-5898240f;v-text-anchor:middle;" fillcolor="#000000 [3200]" filled="t" stroked="t" coordsize="21600,21600" o:gfxdata="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4ix3ugAAANsA&#10;AAAPAAAAAAAAAAEAIAAAACIAAABkcnMvZG93bnJldi54bWxQSwECFAAUAAAACACHTuJAMy8FnjsA&#10;AAA5AAAAEAAAAAAAAAABACAAAAAJAQAAZHJzL3NoYXBleG1sLnhtbFBLBQYAAAAABgAGAFsBAACz&#10;AwAAAAA=&#10;" adj="18703,5400">
                  <v:fill on="t" focussize="0,0"/>
                  <v:stroke weight="2pt" color="#000000 [3200]" joinstyle="round"/>
                  <v:imagedata o:title=""/>
                  <o:lock v:ext="edit" aspectratio="f"/>
                </v:shape>
                <v:shape id="Arrow: Right 15" o:spid="_x0000_s1026" o:spt="13" type="#_x0000_t13" style="position:absolute;left:2457450;top:981074;height:104775;width:390526;rotation:2987842f;v-text-anchor:middle;" fillcolor="#000000 [3200]" filled="t" stroked="t" coordsize="21600,21600" o:gfxdata="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Ht+m5AAAA2wAA&#10;AA8AAAAAAAAAAQAgAAAAIgAAAGRycy9kb3ducmV2LnhtbFBLAQIUABQAAAAIAIdO4kAzLwWeOwAA&#10;ADkAAAAQAAAAAAAAAAEAIAAAAAgBAABkcnMvc2hhcGV4bWwueG1sUEsFBgAAAAAGAAYAWwEAALID&#10;AAAAAA==&#10;" adj="18703,5400">
                  <v:fill on="t" focussize="0,0"/>
                  <v:stroke weight="2pt" color="#000000 [3200]" joinstyle="round"/>
                  <v:imagedata o:title=""/>
                  <o:lock v:ext="edit" aspectratio="f"/>
                </v:shape>
                <v:shape id="Arrow: Right 16" o:spid="_x0000_s1026" o:spt="13" type="#_x0000_t13" style="position:absolute;left:1133475;top:962024;height:104775;width:390525;rotation:9537546f;v-text-anchor:middle;" fillcolor="#000000 [3200]" filled="t" stroked="t" coordsize="21600,21600" o:gfxdata="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dY4Pi2AAAA2wAAAA8A&#10;AAAAAAAAAQAgAAAAIgAAAGRycy9kb3ducmV2LnhtbFBLAQIUABQAAAAIAIdO4kAzLwWeOwAAADkA&#10;AAAQAAAAAAAAAAEAIAAAAAUBAABkcnMvc2hhcGV4bWwueG1sUEsFBgAAAAAGAAYAWwEAAK8DAAAA&#10;AA==&#10;" adj="18703,5400">
                  <v:fill on="t" focussize="0,0"/>
                  <v:stroke weight="2pt" color="#000000 [3200]" joinstyle="round"/>
                  <v:imagedata o:title=""/>
                  <o:lock v:ext="edit" aspectratio="f"/>
                </v:shape>
                <v:shape id="Arrow: Right 19" o:spid="_x0000_s1026" o:spt="13" type="#_x0000_t13" style="position:absolute;left:1114425;top:1790700;height:104775;width:390525;rotation:2987842f;v-text-anchor:middle;" fillcolor="#000000 [3200]" filled="t" stroked="t" coordsize="21600,21600" o:gfxdata="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gKvey5AAAA2wAA&#10;AA8AAAAAAAAAAQAgAAAAIgAAAGRycy9kb3ducmV2LnhtbFBLAQIUABQAAAAIAIdO4kAzLwWeOwAA&#10;ADkAAAAQAAAAAAAAAAEAIAAAAAgBAABkcnMvc2hhcGV4bWwueG1sUEsFBgAAAAAGAAYAWwEAALID&#10;AAAAAA==&#10;" adj="18703,5400">
                  <v:fill on="t" focussize="0,0"/>
                  <v:stroke weight="2pt" color="#000000 [3200]" joinstyle="round"/>
                  <v:imagedata o:title=""/>
                  <o:lock v:ext="edit" aspectratio="f"/>
                </v:shape>
                <v:shape id="Arrow: Right 20" o:spid="_x0000_s1026" o:spt="13" type="#_x0000_t13" style="position:absolute;left:2276475;top:1771650;height:104775;width:390525;rotation:9537546f;v-text-anchor:middle;" fillcolor="#000000 [3200]" filled="t" stroked="t" coordsize="21600,21600" o:gfxdata="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mRF6q2AAAA2wAAAA8A&#10;AAAAAAAAAQAgAAAAIgAAAGRycy9kb3ducmV2LnhtbFBLAQIUABQAAAAIAIdO4kAzLwWeOwAAADkA&#10;AAAQAAAAAAAAAAEAIAAAAAUBAABkcnMvc2hhcGV4bWwueG1sUEsFBgAAAAAGAAYAWwEAAK8DAAAA&#10;AA==&#10;" adj="18703,5400">
                  <v:fill on="t" focussize="0,0"/>
                  <v:stroke weight="2pt" color="#000000 [3200]" joinstyle="round"/>
                  <v:imagedata o:title=""/>
                  <o:lock v:ext="edit" aspectratio="f"/>
                </v:shape>
              </v:group>
            </w:pict>
          </mc:Fallback>
        </mc:AlternateContent>
      </w:r>
    </w:p>
    <w:p w14:paraId="602CF20F">
      <w:pPr>
        <w:rPr>
          <w:b/>
          <w:bCs/>
        </w:rPr>
      </w:pPr>
    </w:p>
    <w:p w14:paraId="374F0ADB"/>
    <w:p w14:paraId="6E60527D"/>
    <w:p w14:paraId="00498AF0"/>
    <w:p w14:paraId="2063C0AD"/>
    <w:p w14:paraId="2DE37C20"/>
    <w:p w14:paraId="0B1DA03C"/>
    <w:p w14:paraId="0A98D1A7"/>
    <w:p w14:paraId="23AF9B75"/>
    <w:p w14:paraId="22EB9C4A"/>
    <w:p w14:paraId="43D792FB"/>
    <w:p w14:paraId="402E87B1"/>
    <w:p w14:paraId="54186957"/>
    <w:p w14:paraId="478E18DB"/>
    <w:p w14:paraId="315C52C4"/>
    <w:p w14:paraId="3DDFEE70"/>
    <w:p w14:paraId="52CB123B"/>
    <w:p w14:paraId="53874F94"/>
    <w:p w14:paraId="12861BF1"/>
    <w:p w14:paraId="28D1F5C6"/>
    <w:p w14:paraId="218B36F5"/>
    <w:p w14:paraId="3D07D9AB"/>
    <w:p w14:paraId="4CB67712"/>
    <w:p w14:paraId="7AE68C0B"/>
    <w:p w14:paraId="41909120"/>
    <w:p w14:paraId="707554DA"/>
    <w:p w14:paraId="22833373"/>
    <w:p w14:paraId="3DEAB24F">
      <w:pPr>
        <w:rPr>
          <w:b/>
          <w:bCs/>
        </w:rPr>
      </w:pPr>
      <w:r>
        <w:rPr>
          <w:b/>
          <w:bCs/>
        </w:rPr>
        <w:t>KESIMPULAN</w:t>
      </w:r>
    </w:p>
    <w:p w14:paraId="6FC75EA8">
      <w:pPr>
        <w:ind w:firstLine="720"/>
      </w:pPr>
      <w:r>
        <w:t>Studi ini menegaskan bahwa Roma 13:1–7 tidak boleh dipahami sebagai legitimasi bagi otoritarianisme, melainkan sebagai pedoman etika politik yang menempatkan pemerintah di bawah kedaulatan Allah. Ketaatan orang percaya kepada pemerintah harus berlandaskan hati nurani yang benar, diwujudkan melalui kewajiban sosial, namun tetap kritis bila pemerintah menyimpang dari kehendak Allah. Dengan demikian, etika politik Paulus bukan sekadar menuntut ketaatan formal, tetapi mengarahkan orang percaya untuk melihat pemerintah sebagai alat Allah yang terbatas. Prinsip ini memberi keseimbangan antara ketaatan dan tanggung jawab profetis, sehingga orang Kristen tetap setia kepada Allah sambil menjalankan perannya di dunia ini.</w:t>
      </w:r>
    </w:p>
    <w:p w14:paraId="4E874AB1">
      <w:pPr>
        <w:rPr>
          <w:b/>
          <w:bCs/>
        </w:rPr>
      </w:pPr>
    </w:p>
    <w:p w14:paraId="3749454A">
      <w:pPr>
        <w:rPr>
          <w:b/>
          <w:bCs/>
        </w:rPr>
      </w:pPr>
      <w:r>
        <w:rPr>
          <w:b/>
          <w:bCs/>
        </w:rPr>
        <w:t>DAFTAR PUSTAKA</w:t>
      </w:r>
    </w:p>
    <w:p w14:paraId="10F3EB52">
      <w:pPr>
        <w:rPr>
          <w:b/>
          <w:bCs/>
        </w:rPr>
      </w:pPr>
    </w:p>
    <w:p w14:paraId="78976E8B">
      <w:pPr>
        <w:widowControl w:val="0"/>
        <w:autoSpaceDE w:val="0"/>
        <w:autoSpaceDN w:val="0"/>
        <w:adjustRightInd w:val="0"/>
        <w:ind w:left="480" w:hanging="480"/>
      </w:pPr>
      <w:r>
        <w:rPr>
          <w:b/>
          <w:bCs/>
        </w:rPr>
        <w:fldChar w:fldCharType="begin" w:fldLock="1"/>
      </w:r>
      <w:r>
        <w:rPr>
          <w:b/>
          <w:bCs/>
        </w:rPr>
        <w:instrText xml:space="preserve">ADDIN Mendeley Bibliography CSL_BIBLIOGRAPHY </w:instrText>
      </w:r>
      <w:r>
        <w:rPr>
          <w:b/>
          <w:bCs/>
        </w:rPr>
        <w:fldChar w:fldCharType="separate"/>
      </w:r>
      <w:r>
        <w:t xml:space="preserve">B. F. Drewes, Wilfrid Haubeck, Henrich von Siebental. </w:t>
      </w:r>
      <w:r>
        <w:rPr>
          <w:i/>
          <w:iCs/>
        </w:rPr>
        <w:t>Kunci Bahasa Yunani Perjanjian Baru: Surat Roma Hingga Kitab Wahyu</w:t>
      </w:r>
      <w:r>
        <w:t>. Jakarta: BPK Gunung Mulia, 2006.</w:t>
      </w:r>
    </w:p>
    <w:p w14:paraId="6478CED1">
      <w:pPr>
        <w:widowControl w:val="0"/>
        <w:autoSpaceDE w:val="0"/>
        <w:autoSpaceDN w:val="0"/>
        <w:adjustRightInd w:val="0"/>
        <w:ind w:left="480" w:hanging="480"/>
      </w:pPr>
      <w:r>
        <w:t xml:space="preserve">Balz, Horst and Gerhard Schneider. </w:t>
      </w:r>
      <w:r>
        <w:rPr>
          <w:i/>
          <w:iCs/>
        </w:rPr>
        <w:t>Exegetical Dictionary of the New Testament</w:t>
      </w:r>
      <w:r>
        <w:t>. Grand Rapids: William B. Eerdmans Publishing, 1990.</w:t>
      </w:r>
    </w:p>
    <w:p w14:paraId="09A31FBD">
      <w:pPr>
        <w:widowControl w:val="0"/>
        <w:autoSpaceDE w:val="0"/>
        <w:autoSpaceDN w:val="0"/>
        <w:adjustRightInd w:val="0"/>
        <w:ind w:left="480" w:hanging="480"/>
      </w:pPr>
      <w:r>
        <w:t xml:space="preserve">Barclay, William. </w:t>
      </w:r>
      <w:r>
        <w:rPr>
          <w:i/>
          <w:iCs/>
        </w:rPr>
        <w:t>Pemahaman Alkitab Setiap Hari: Surat Galatia Dan Surat Efesus</w:t>
      </w:r>
      <w:r>
        <w:t>. Jakarta: BPK Gunung Mulia, 1999.</w:t>
      </w:r>
    </w:p>
    <w:p w14:paraId="52055A25">
      <w:pPr>
        <w:widowControl w:val="0"/>
        <w:autoSpaceDE w:val="0"/>
        <w:autoSpaceDN w:val="0"/>
        <w:adjustRightInd w:val="0"/>
        <w:ind w:left="480" w:hanging="480"/>
      </w:pPr>
      <w:r>
        <w:t xml:space="preserve">Bird, Michael F. </w:t>
      </w:r>
      <w:r>
        <w:rPr>
          <w:i/>
          <w:iCs/>
        </w:rPr>
        <w:t>One Who Will Arise to Rule Over the Nations: Paul’s Letter to the Romans and the Roman Empire</w:t>
      </w:r>
      <w:r>
        <w:t>. Downers Grove: Intervarsity Press, 2013.</w:t>
      </w:r>
    </w:p>
    <w:p w14:paraId="32601808">
      <w:pPr>
        <w:widowControl w:val="0"/>
        <w:autoSpaceDE w:val="0"/>
        <w:autoSpaceDN w:val="0"/>
        <w:adjustRightInd w:val="0"/>
        <w:ind w:left="480" w:hanging="480"/>
      </w:pPr>
      <w:r>
        <w:t xml:space="preserve">———. </w:t>
      </w:r>
      <w:r>
        <w:rPr>
          <w:i/>
          <w:iCs/>
        </w:rPr>
        <w:t>The Story of God Bible Commentary: Romans</w:t>
      </w:r>
      <w:r>
        <w:t>. Grand Rapids: Zondervan, 2016.</w:t>
      </w:r>
    </w:p>
    <w:p w14:paraId="2B86B589">
      <w:pPr>
        <w:widowControl w:val="0"/>
        <w:autoSpaceDE w:val="0"/>
        <w:autoSpaceDN w:val="0"/>
        <w:adjustRightInd w:val="0"/>
        <w:ind w:left="480" w:hanging="480"/>
      </w:pPr>
      <w:r>
        <w:t xml:space="preserve">Brauch, Manfred T. </w:t>
      </w:r>
      <w:r>
        <w:rPr>
          <w:i/>
          <w:iCs/>
        </w:rPr>
        <w:t>Ucapan Paulus Yang Sulit</w:t>
      </w:r>
      <w:r>
        <w:t>. Malang: Literatur SAAT, 2012.</w:t>
      </w:r>
    </w:p>
    <w:p w14:paraId="69EF1F4F">
      <w:pPr>
        <w:widowControl w:val="0"/>
        <w:autoSpaceDE w:val="0"/>
        <w:autoSpaceDN w:val="0"/>
        <w:adjustRightInd w:val="0"/>
        <w:ind w:left="480" w:hanging="480"/>
      </w:pPr>
      <w:r>
        <w:t xml:space="preserve">Bruce, F. F. </w:t>
      </w:r>
      <w:r>
        <w:rPr>
          <w:i/>
          <w:iCs/>
        </w:rPr>
        <w:t>An Introduction and Commentary: Romans</w:t>
      </w:r>
      <w:r>
        <w:t>. Nottingham: Intervarsity Press, 1985.</w:t>
      </w:r>
    </w:p>
    <w:p w14:paraId="15911209">
      <w:pPr>
        <w:widowControl w:val="0"/>
        <w:autoSpaceDE w:val="0"/>
        <w:autoSpaceDN w:val="0"/>
        <w:adjustRightInd w:val="0"/>
        <w:ind w:left="480" w:hanging="480"/>
      </w:pPr>
      <w:r>
        <w:t xml:space="preserve">Carter, Warren. </w:t>
      </w:r>
      <w:r>
        <w:rPr>
          <w:i/>
          <w:iCs/>
        </w:rPr>
        <w:t>The Roman Empire and The New Testament: An Essential Guide</w:t>
      </w:r>
      <w:r>
        <w:t>. Nashville: TN Abingdon Press, 2006.</w:t>
      </w:r>
    </w:p>
    <w:p w14:paraId="796DB22A">
      <w:pPr>
        <w:widowControl w:val="0"/>
        <w:autoSpaceDE w:val="0"/>
        <w:autoSpaceDN w:val="0"/>
        <w:adjustRightInd w:val="0"/>
        <w:ind w:left="480" w:hanging="480"/>
      </w:pPr>
      <w:r>
        <w:t xml:space="preserve">Danker, Frederick W. William Arndt, dan Walter Bauer. </w:t>
      </w:r>
      <w:r>
        <w:rPr>
          <w:i/>
          <w:iCs/>
        </w:rPr>
        <w:t>Greek English Lexicon Of The New Testament</w:t>
      </w:r>
      <w:r>
        <w:t>. Chicago: University of Chicago, 2000.</w:t>
      </w:r>
    </w:p>
    <w:p w14:paraId="0058FFBB">
      <w:pPr>
        <w:widowControl w:val="0"/>
        <w:autoSpaceDE w:val="0"/>
        <w:autoSpaceDN w:val="0"/>
        <w:adjustRightInd w:val="0"/>
        <w:ind w:left="480" w:hanging="480"/>
      </w:pPr>
      <w:r>
        <w:t xml:space="preserve">David Ibrahim. </w:t>
      </w:r>
      <w:r>
        <w:rPr>
          <w:i/>
          <w:iCs/>
        </w:rPr>
        <w:t>Tafsiran Surat Roma</w:t>
      </w:r>
      <w:r>
        <w:t>. Yogyakarta: Andi Offset, 2011.</w:t>
      </w:r>
    </w:p>
    <w:p w14:paraId="71574FD2">
      <w:pPr>
        <w:widowControl w:val="0"/>
        <w:autoSpaceDE w:val="0"/>
        <w:autoSpaceDN w:val="0"/>
        <w:adjustRightInd w:val="0"/>
        <w:ind w:left="480" w:hanging="480"/>
      </w:pPr>
      <w:r>
        <w:t xml:space="preserve">Deffinbaugh, Robert. </w:t>
      </w:r>
      <w:r>
        <w:rPr>
          <w:i/>
          <w:iCs/>
        </w:rPr>
        <w:t>Romans the Righteousness of God</w:t>
      </w:r>
      <w:r>
        <w:t>. Biblical Studies Press, 1997.</w:t>
      </w:r>
    </w:p>
    <w:p w14:paraId="3D9E0F8C">
      <w:pPr>
        <w:widowControl w:val="0"/>
        <w:autoSpaceDE w:val="0"/>
        <w:autoSpaceDN w:val="0"/>
        <w:adjustRightInd w:val="0"/>
        <w:ind w:left="480" w:hanging="480"/>
      </w:pPr>
      <w:r>
        <w:t xml:space="preserve">Drane, John. </w:t>
      </w:r>
      <w:r>
        <w:rPr>
          <w:i/>
          <w:iCs/>
        </w:rPr>
        <w:t>Memahami Perjanjian Baru</w:t>
      </w:r>
      <w:r>
        <w:t>. Jakarta: BPK Gunung Mulia, 2012.</w:t>
      </w:r>
    </w:p>
    <w:p w14:paraId="73C73111">
      <w:pPr>
        <w:widowControl w:val="0"/>
        <w:autoSpaceDE w:val="0"/>
        <w:autoSpaceDN w:val="0"/>
        <w:adjustRightInd w:val="0"/>
        <w:ind w:left="480" w:hanging="480"/>
      </w:pPr>
      <w:r>
        <w:t xml:space="preserve">Dunn, James D. G. </w:t>
      </w:r>
      <w:r>
        <w:rPr>
          <w:i/>
          <w:iCs/>
        </w:rPr>
        <w:t>Romans 9-16 Word Biblical Commentary</w:t>
      </w:r>
      <w:r>
        <w:t>. Vol. 38B. Dallas: Word Books Publisher, 1988.</w:t>
      </w:r>
    </w:p>
    <w:p w14:paraId="3BB256C2">
      <w:pPr>
        <w:widowControl w:val="0"/>
        <w:autoSpaceDE w:val="0"/>
        <w:autoSpaceDN w:val="0"/>
        <w:adjustRightInd w:val="0"/>
        <w:ind w:left="480" w:hanging="480"/>
      </w:pPr>
      <w:r>
        <w:t xml:space="preserve">Everet F. Harrison, dan Charles F. Pfeifer. </w:t>
      </w:r>
      <w:r>
        <w:rPr>
          <w:i/>
          <w:iCs/>
        </w:rPr>
        <w:t>Tafsiran Alkitab Wycliffe Perjanjian Baru</w:t>
      </w:r>
      <w:r>
        <w:t>. Volume 3. Malang: Gandum Mas, 2001.</w:t>
      </w:r>
    </w:p>
    <w:p w14:paraId="43B71470">
      <w:pPr>
        <w:widowControl w:val="0"/>
        <w:autoSpaceDE w:val="0"/>
        <w:autoSpaceDN w:val="0"/>
        <w:adjustRightInd w:val="0"/>
        <w:ind w:left="480" w:hanging="480"/>
      </w:pPr>
      <w:r>
        <w:t xml:space="preserve">Friberg, Barbara and Timothy Friberg, and Neva F. Miller. </w:t>
      </w:r>
      <w:r>
        <w:rPr>
          <w:i/>
          <w:iCs/>
        </w:rPr>
        <w:t>Analytical Lexicon of the Greek New Testament</w:t>
      </w:r>
      <w:r>
        <w:t>. Grand Rapids: Baker, 2000.</w:t>
      </w:r>
    </w:p>
    <w:p w14:paraId="6197DCDC">
      <w:pPr>
        <w:widowControl w:val="0"/>
        <w:autoSpaceDE w:val="0"/>
        <w:autoSpaceDN w:val="0"/>
        <w:adjustRightInd w:val="0"/>
        <w:ind w:left="480" w:hanging="480"/>
      </w:pPr>
      <w:r>
        <w:t xml:space="preserve">Green, Joel B. and Lee Martin McDonald. </w:t>
      </w:r>
      <w:r>
        <w:rPr>
          <w:i/>
          <w:iCs/>
        </w:rPr>
        <w:t>The World of the New Testament: Cultural, Social, and Historical Context</w:t>
      </w:r>
      <w:r>
        <w:t>. Grand Rapids: Baker Academic, 2013.</w:t>
      </w:r>
    </w:p>
    <w:p w14:paraId="1A00CB67">
      <w:pPr>
        <w:widowControl w:val="0"/>
        <w:autoSpaceDE w:val="0"/>
        <w:autoSpaceDN w:val="0"/>
        <w:adjustRightInd w:val="0"/>
        <w:ind w:left="480" w:hanging="480"/>
      </w:pPr>
      <w:r>
        <w:t xml:space="preserve">Groenen, C. </w:t>
      </w:r>
      <w:r>
        <w:rPr>
          <w:i/>
          <w:iCs/>
        </w:rPr>
        <w:t>Pengantar Ke Dalam Perjanjian Baru</w:t>
      </w:r>
      <w:r>
        <w:t>. Yogyakarta: Kanisius, 1986.</w:t>
      </w:r>
    </w:p>
    <w:p w14:paraId="2B87DBFA">
      <w:pPr>
        <w:widowControl w:val="0"/>
        <w:autoSpaceDE w:val="0"/>
        <w:autoSpaceDN w:val="0"/>
        <w:adjustRightInd w:val="0"/>
        <w:ind w:left="480" w:hanging="480"/>
      </w:pPr>
      <w:r>
        <w:t xml:space="preserve">Guthrie, Donald. </w:t>
      </w:r>
      <w:r>
        <w:rPr>
          <w:i/>
          <w:iCs/>
        </w:rPr>
        <w:t>Tafsiran Alkitab Masa Kini 3: Matius-Wahyu</w:t>
      </w:r>
      <w:r>
        <w:t>. Jakarta: BPK Gunung Mulia, 1981.</w:t>
      </w:r>
    </w:p>
    <w:p w14:paraId="160ECA15">
      <w:pPr>
        <w:widowControl w:val="0"/>
        <w:autoSpaceDE w:val="0"/>
        <w:autoSpaceDN w:val="0"/>
        <w:adjustRightInd w:val="0"/>
        <w:ind w:left="480" w:hanging="480"/>
      </w:pPr>
      <w:r>
        <w:t xml:space="preserve">Hagelberg, Dave. </w:t>
      </w:r>
      <w:r>
        <w:rPr>
          <w:i/>
          <w:iCs/>
        </w:rPr>
        <w:t>Tafsiran Roma Dari Bahasa Yunani</w:t>
      </w:r>
      <w:r>
        <w:t>. Bandung: Kalam Hidup, 2004.</w:t>
      </w:r>
    </w:p>
    <w:p w14:paraId="506B4D50">
      <w:pPr>
        <w:widowControl w:val="0"/>
        <w:autoSpaceDE w:val="0"/>
        <w:autoSpaceDN w:val="0"/>
        <w:adjustRightInd w:val="0"/>
        <w:ind w:left="480" w:hanging="480"/>
      </w:pPr>
      <w:r>
        <w:t xml:space="preserve">Henry George Liddell, dan Robert Scott, H. Stuart Jones, Roderick McKenzie. </w:t>
      </w:r>
      <w:r>
        <w:rPr>
          <w:i/>
          <w:iCs/>
        </w:rPr>
        <w:t>A Greek English Lexicon</w:t>
      </w:r>
      <w:r>
        <w:t>. Oxford: Clarendon Press, 1996.</w:t>
      </w:r>
    </w:p>
    <w:p w14:paraId="3F81CD0E">
      <w:pPr>
        <w:widowControl w:val="0"/>
        <w:autoSpaceDE w:val="0"/>
        <w:autoSpaceDN w:val="0"/>
        <w:adjustRightInd w:val="0"/>
        <w:ind w:left="480" w:hanging="480"/>
      </w:pPr>
      <w:r>
        <w:t xml:space="preserve">Hill, Craig C. </w:t>
      </w:r>
      <w:r>
        <w:rPr>
          <w:i/>
          <w:iCs/>
        </w:rPr>
        <w:t>Romans: The Pauline Epistles Oxford Bible Commentary</w:t>
      </w:r>
      <w:r>
        <w:t>. New York: Oxford University Press, 2001.</w:t>
      </w:r>
    </w:p>
    <w:p w14:paraId="71A46780">
      <w:pPr>
        <w:widowControl w:val="0"/>
        <w:autoSpaceDE w:val="0"/>
        <w:autoSpaceDN w:val="0"/>
        <w:adjustRightInd w:val="0"/>
        <w:ind w:left="480" w:hanging="480"/>
      </w:pPr>
      <w:r>
        <w:t xml:space="preserve">Jacobs, Tom. </w:t>
      </w:r>
      <w:r>
        <w:rPr>
          <w:i/>
          <w:iCs/>
        </w:rPr>
        <w:t>Paulus: Hidup, Karya Dan Teologinya</w:t>
      </w:r>
      <w:r>
        <w:t>. Yogyakarta: Kanisius, 1983.</w:t>
      </w:r>
    </w:p>
    <w:p w14:paraId="4B239C66">
      <w:pPr>
        <w:widowControl w:val="0"/>
        <w:autoSpaceDE w:val="0"/>
        <w:autoSpaceDN w:val="0"/>
        <w:adjustRightInd w:val="0"/>
        <w:ind w:left="480" w:hanging="480"/>
      </w:pPr>
      <w:r>
        <w:t xml:space="preserve">Keener, Craig S. </w:t>
      </w:r>
      <w:r>
        <w:rPr>
          <w:i/>
          <w:iCs/>
        </w:rPr>
        <w:t>Bible Background Commentary New Testament</w:t>
      </w:r>
      <w:r>
        <w:t>. Downers Grove: Intervarsity Press, 2014.</w:t>
      </w:r>
    </w:p>
    <w:p w14:paraId="3033DB7C">
      <w:pPr>
        <w:widowControl w:val="0"/>
        <w:autoSpaceDE w:val="0"/>
        <w:autoSpaceDN w:val="0"/>
        <w:adjustRightInd w:val="0"/>
        <w:ind w:left="480" w:hanging="480"/>
      </w:pPr>
      <w:r>
        <w:t xml:space="preserve">Lea, Thomas D. </w:t>
      </w:r>
      <w:r>
        <w:rPr>
          <w:i/>
          <w:iCs/>
        </w:rPr>
        <w:t>The New Testament: Its Background and Message</w:t>
      </w:r>
      <w:r>
        <w:t>. Nashville: Broadman &amp; Holman, 1996.</w:t>
      </w:r>
    </w:p>
    <w:p w14:paraId="5077E323">
      <w:pPr>
        <w:widowControl w:val="0"/>
        <w:autoSpaceDE w:val="0"/>
        <w:autoSpaceDN w:val="0"/>
        <w:adjustRightInd w:val="0"/>
        <w:ind w:left="480" w:hanging="480"/>
      </w:pPr>
      <w:r>
        <w:t xml:space="preserve">Longenecker, Richard N. </w:t>
      </w:r>
      <w:r>
        <w:rPr>
          <w:i/>
          <w:iCs/>
        </w:rPr>
        <w:t>The Epistle to the Romans: A Commentary on the Greek Text</w:t>
      </w:r>
      <w:r>
        <w:t>. Grand Rapids: William B. Eerdmans Publishing, 2016.</w:t>
      </w:r>
    </w:p>
    <w:p w14:paraId="22518D4F">
      <w:pPr>
        <w:widowControl w:val="0"/>
        <w:autoSpaceDE w:val="0"/>
        <w:autoSpaceDN w:val="0"/>
        <w:adjustRightInd w:val="0"/>
        <w:ind w:left="480" w:hanging="480"/>
      </w:pPr>
      <w:r>
        <w:t xml:space="preserve">Lust, Johan., dan Erik Eynikel, dan Katrin Hauspie. </w:t>
      </w:r>
      <w:r>
        <w:rPr>
          <w:i/>
          <w:iCs/>
        </w:rPr>
        <w:t>Greek-English Lexicon of the Septuagint</w:t>
      </w:r>
      <w:r>
        <w:t>. Stuttgart: Bibelgesellschaft, 2003.</w:t>
      </w:r>
    </w:p>
    <w:p w14:paraId="2DA6D024">
      <w:pPr>
        <w:widowControl w:val="0"/>
        <w:autoSpaceDE w:val="0"/>
        <w:autoSpaceDN w:val="0"/>
        <w:adjustRightInd w:val="0"/>
        <w:ind w:left="480" w:hanging="480"/>
      </w:pPr>
      <w:r>
        <w:t xml:space="preserve">Matera, Frank J. </w:t>
      </w:r>
      <w:r>
        <w:rPr>
          <w:i/>
          <w:iCs/>
        </w:rPr>
        <w:t>Romans: Comentaries on the New Testament</w:t>
      </w:r>
      <w:r>
        <w:t>. Grand Rapids: Baker Academic, 2010.</w:t>
      </w:r>
    </w:p>
    <w:p w14:paraId="738BB0A5">
      <w:pPr>
        <w:widowControl w:val="0"/>
        <w:autoSpaceDE w:val="0"/>
        <w:autoSpaceDN w:val="0"/>
        <w:adjustRightInd w:val="0"/>
        <w:ind w:left="480" w:hanging="480"/>
      </w:pPr>
      <w:r>
        <w:t xml:space="preserve">Moo, Douglas. </w:t>
      </w:r>
      <w:r>
        <w:rPr>
          <w:i/>
          <w:iCs/>
        </w:rPr>
        <w:t>The Epistle to the Romans</w:t>
      </w:r>
      <w:r>
        <w:t>. Grand Rapids: William B. Eerdmans Publishing, 1996.</w:t>
      </w:r>
    </w:p>
    <w:p w14:paraId="5104934A">
      <w:pPr>
        <w:widowControl w:val="0"/>
        <w:autoSpaceDE w:val="0"/>
        <w:autoSpaceDN w:val="0"/>
        <w:adjustRightInd w:val="0"/>
        <w:ind w:left="480" w:hanging="480"/>
      </w:pPr>
      <w:r>
        <w:t xml:space="preserve">Moo, Douglas J. </w:t>
      </w:r>
      <w:r>
        <w:rPr>
          <w:i/>
          <w:iCs/>
        </w:rPr>
        <w:t>Illustrated Bible Background Commentary Romans to Philemon</w:t>
      </w:r>
      <w:r>
        <w:t>. Grand Rapids: Zondervan, 2002.</w:t>
      </w:r>
    </w:p>
    <w:p w14:paraId="379366B5">
      <w:pPr>
        <w:widowControl w:val="0"/>
        <w:autoSpaceDE w:val="0"/>
        <w:autoSpaceDN w:val="0"/>
        <w:adjustRightInd w:val="0"/>
        <w:ind w:left="480" w:hanging="480"/>
      </w:pPr>
      <w:r>
        <w:t xml:space="preserve">Morris, Leon. </w:t>
      </w:r>
      <w:r>
        <w:rPr>
          <w:i/>
          <w:iCs/>
        </w:rPr>
        <w:t>The Epistle to the Romans</w:t>
      </w:r>
      <w:r>
        <w:t>. Grand Rapids: Eerdmans, 1988.</w:t>
      </w:r>
    </w:p>
    <w:p w14:paraId="2CD80C04">
      <w:pPr>
        <w:widowControl w:val="0"/>
        <w:autoSpaceDE w:val="0"/>
        <w:autoSpaceDN w:val="0"/>
        <w:adjustRightInd w:val="0"/>
        <w:ind w:left="480" w:hanging="480"/>
      </w:pPr>
      <w:r>
        <w:t xml:space="preserve">Moulton, J. H, and G. Milligan. </w:t>
      </w:r>
      <w:r>
        <w:rPr>
          <w:i/>
          <w:iCs/>
        </w:rPr>
        <w:t>Vocabulary of the Greek Testament</w:t>
      </w:r>
      <w:r>
        <w:t>. London: Hodder and Stoughton, 1930.</w:t>
      </w:r>
    </w:p>
    <w:p w14:paraId="7751BC42">
      <w:pPr>
        <w:widowControl w:val="0"/>
        <w:autoSpaceDE w:val="0"/>
        <w:autoSpaceDN w:val="0"/>
        <w:adjustRightInd w:val="0"/>
        <w:ind w:left="480" w:hanging="480"/>
      </w:pPr>
      <w:r>
        <w:t xml:space="preserve">Petrusek, Matthew R. “The Image of God and Moral Action: Challenging the Practicality of the Imago Dei.” </w:t>
      </w:r>
      <w:r>
        <w:rPr>
          <w:i/>
          <w:iCs/>
        </w:rPr>
        <w:t>Studies in Christian Ethics</w:t>
      </w:r>
      <w:r>
        <w:t xml:space="preserve"> 30, no. 1 (2017): 60–82. https://doi.org/10.1177/0953946816674150.</w:t>
      </w:r>
    </w:p>
    <w:p w14:paraId="15B022C5">
      <w:pPr>
        <w:widowControl w:val="0"/>
        <w:autoSpaceDE w:val="0"/>
        <w:autoSpaceDN w:val="0"/>
        <w:adjustRightInd w:val="0"/>
        <w:ind w:left="480" w:hanging="480"/>
      </w:pPr>
      <w:r>
        <w:t xml:space="preserve">Potter, David S. </w:t>
      </w:r>
      <w:r>
        <w:rPr>
          <w:i/>
          <w:iCs/>
        </w:rPr>
        <w:t>A Companion to the Roman Empire</w:t>
      </w:r>
      <w:r>
        <w:t>. Malden: Blackwell Publishing, 2006.</w:t>
      </w:r>
    </w:p>
    <w:p w14:paraId="21329D89">
      <w:pPr>
        <w:widowControl w:val="0"/>
        <w:autoSpaceDE w:val="0"/>
        <w:autoSpaceDN w:val="0"/>
        <w:adjustRightInd w:val="0"/>
        <w:ind w:left="480" w:hanging="480"/>
      </w:pPr>
      <w:r>
        <w:t xml:space="preserve">Rambitan, Stanley Refly. </w:t>
      </w:r>
      <w:r>
        <w:rPr>
          <w:i/>
          <w:iCs/>
        </w:rPr>
        <w:t>Haruskah Orang Kristen Takluk Dan Takut Kepada Pemerintah?</w:t>
      </w:r>
      <w:r>
        <w:t xml:space="preserve"> Jakarta: UKI Press, 2019.</w:t>
      </w:r>
    </w:p>
    <w:p w14:paraId="2DD24C90">
      <w:pPr>
        <w:widowControl w:val="0"/>
        <w:autoSpaceDE w:val="0"/>
        <w:autoSpaceDN w:val="0"/>
        <w:adjustRightInd w:val="0"/>
        <w:ind w:left="480" w:hanging="480"/>
      </w:pPr>
      <w:r>
        <w:t xml:space="preserve">Schreiner, Thomas R. </w:t>
      </w:r>
      <w:r>
        <w:rPr>
          <w:i/>
          <w:iCs/>
        </w:rPr>
        <w:t>Romans</w:t>
      </w:r>
      <w:r>
        <w:t>. Grand Rapids: Baker Books, 1998.</w:t>
      </w:r>
    </w:p>
    <w:p w14:paraId="77D00833">
      <w:pPr>
        <w:widowControl w:val="0"/>
        <w:autoSpaceDE w:val="0"/>
        <w:autoSpaceDN w:val="0"/>
        <w:adjustRightInd w:val="0"/>
        <w:ind w:left="480" w:hanging="480"/>
      </w:pPr>
      <w:r>
        <w:t xml:space="preserve">Setyawan, B. Yusak. </w:t>
      </w:r>
      <w:r>
        <w:rPr>
          <w:i/>
          <w:iCs/>
        </w:rPr>
        <w:t>Pengantar Untuk Studi Hermeneutik Perjanjian Baru</w:t>
      </w:r>
      <w:r>
        <w:t>. Salatiga: Fakultas Teologi UKSW, 2015.</w:t>
      </w:r>
    </w:p>
    <w:p w14:paraId="02D78F35">
      <w:pPr>
        <w:widowControl w:val="0"/>
        <w:autoSpaceDE w:val="0"/>
        <w:autoSpaceDN w:val="0"/>
        <w:adjustRightInd w:val="0"/>
        <w:ind w:left="480" w:hanging="480"/>
      </w:pPr>
      <w:r>
        <w:t xml:space="preserve">Stambaugh, John dan David Balch. </w:t>
      </w:r>
      <w:r>
        <w:rPr>
          <w:i/>
          <w:iCs/>
        </w:rPr>
        <w:t>Dunia Sosial Kekristenan Mula-Mula</w:t>
      </w:r>
      <w:r>
        <w:t>. Jakarta: BPK Gunung Mulia, 1994.</w:t>
      </w:r>
    </w:p>
    <w:p w14:paraId="229D8F57">
      <w:pPr>
        <w:widowControl w:val="0"/>
        <w:autoSpaceDE w:val="0"/>
        <w:autoSpaceDN w:val="0"/>
        <w:adjustRightInd w:val="0"/>
        <w:ind w:left="480" w:hanging="480"/>
      </w:pPr>
      <w:r>
        <w:t>Sumual, Ivonne Sandra, Lois Hasudunga, Aldi Abdillah, Ferdinand Edu, Sekolah Tinggi, and Teologi Bethel. “Peran Dan Kerjasama Gereja Bethel Indonesia Torsina Dengan Pemerintah Dalam Mensejahterakan Masyarakat Di Daerah Olafuliha ’ a , Pantai Baru , Rote Ndao : Implementasi Roma 13 : 1 - 7” 4, no. 2 (2021): 1–7.</w:t>
      </w:r>
    </w:p>
    <w:p w14:paraId="1190C118">
      <w:pPr>
        <w:widowControl w:val="0"/>
        <w:autoSpaceDE w:val="0"/>
        <w:autoSpaceDN w:val="0"/>
        <w:adjustRightInd w:val="0"/>
        <w:ind w:left="480" w:hanging="480"/>
      </w:pPr>
      <w:r>
        <w:t xml:space="preserve">Sutanto, Hasan. </w:t>
      </w:r>
      <w:r>
        <w:rPr>
          <w:i/>
          <w:iCs/>
        </w:rPr>
        <w:t>Perjanjian Baru Interlinear Yunani-Indonesia Dan Konkordansi Perjanjian Baru Jilid II</w:t>
      </w:r>
      <w:r>
        <w:t>. Jakarta: Lembaga Alkitab Indonesia, 2010.</w:t>
      </w:r>
    </w:p>
    <w:p w14:paraId="794C80F2">
      <w:pPr>
        <w:widowControl w:val="0"/>
        <w:autoSpaceDE w:val="0"/>
        <w:autoSpaceDN w:val="0"/>
        <w:adjustRightInd w:val="0"/>
        <w:ind w:left="480" w:hanging="480"/>
      </w:pPr>
      <w:r>
        <w:t xml:space="preserve">Teney, Merrill C. </w:t>
      </w:r>
      <w:r>
        <w:rPr>
          <w:i/>
          <w:iCs/>
        </w:rPr>
        <w:t>Survei Perjanjian Baru</w:t>
      </w:r>
      <w:r>
        <w:t>. Malang: Gandum Mas, 2003.</w:t>
      </w:r>
    </w:p>
    <w:p w14:paraId="06FBABD8">
      <w:pPr>
        <w:widowControl w:val="0"/>
        <w:autoSpaceDE w:val="0"/>
        <w:autoSpaceDN w:val="0"/>
        <w:adjustRightInd w:val="0"/>
        <w:ind w:left="480" w:hanging="480"/>
      </w:pPr>
      <w:r>
        <w:t xml:space="preserve">Van, dn End Thomas. </w:t>
      </w:r>
      <w:r>
        <w:rPr>
          <w:i/>
          <w:iCs/>
        </w:rPr>
        <w:t>Tafsiran Alkitab Surat Roma</w:t>
      </w:r>
      <w:r>
        <w:t>. Jakarta: Gunung Mulia, 2008.</w:t>
      </w:r>
    </w:p>
    <w:p w14:paraId="7FFC2E8B">
      <w:pPr>
        <w:widowControl w:val="0"/>
        <w:autoSpaceDE w:val="0"/>
        <w:autoSpaceDN w:val="0"/>
        <w:adjustRightInd w:val="0"/>
        <w:ind w:left="480" w:hanging="480"/>
      </w:pPr>
      <w:r>
        <w:t xml:space="preserve">Worden, Blair. </w:t>
      </w:r>
      <w:r>
        <w:rPr>
          <w:i/>
          <w:iCs/>
        </w:rPr>
        <w:t>God’s Instrument: Political Conduct in the England of Oliver Crownwell</w:t>
      </w:r>
      <w:r>
        <w:t>. New York: Oxford University Press, 2012.</w:t>
      </w:r>
    </w:p>
    <w:p w14:paraId="089289BA">
      <w:pPr>
        <w:widowControl w:val="0"/>
        <w:autoSpaceDE w:val="0"/>
        <w:autoSpaceDN w:val="0"/>
        <w:adjustRightInd w:val="0"/>
        <w:ind w:left="480" w:hanging="480"/>
      </w:pPr>
      <w:r>
        <w:t xml:space="preserve">Wowor, Alter I. “Teologi Dan Etika Politik Dalam Gereja Di Zaman Post-Modern.” </w:t>
      </w:r>
      <w:r>
        <w:rPr>
          <w:i/>
          <w:iCs/>
        </w:rPr>
        <w:t>BIA’: Jurnal Teologi Dan Pendidikan Kristen Kontekstual</w:t>
      </w:r>
      <w:r>
        <w:t xml:space="preserve"> 1, no. 1 (2018): 112–23. https://doi.org/10.34307/b.v1i1.23.</w:t>
      </w:r>
    </w:p>
    <w:p w14:paraId="78BA6887">
      <w:pPr>
        <w:widowControl w:val="0"/>
        <w:autoSpaceDE w:val="0"/>
        <w:autoSpaceDN w:val="0"/>
        <w:adjustRightInd w:val="0"/>
        <w:ind w:left="480" w:hanging="480"/>
      </w:pPr>
      <w:r>
        <w:t xml:space="preserve">Wright, N. T. </w:t>
      </w:r>
      <w:r>
        <w:rPr>
          <w:i/>
          <w:iCs/>
        </w:rPr>
        <w:t>Paul in Fresh Perspective</w:t>
      </w:r>
      <w:r>
        <w:t>. Minneapolis: Fortress Press, 2005.</w:t>
      </w:r>
    </w:p>
    <w:p w14:paraId="6B71F03F">
      <w:pPr>
        <w:jc w:val="both"/>
      </w:pPr>
      <w:r>
        <w:rPr>
          <w:b/>
          <w:bCs/>
        </w:rPr>
        <w:fldChar w:fldCharType="end"/>
      </w:r>
    </w:p>
    <w:sectPr>
      <w:headerReference r:id="rId7" w:type="first"/>
      <w:footerReference r:id="rId10" w:type="first"/>
      <w:footerReference r:id="rId8" w:type="default"/>
      <w:headerReference r:id="rId6" w:type="even"/>
      <w:footerReference r:id="rId9" w:type="even"/>
      <w:pgSz w:w="11906" w:h="16838"/>
      <w:pgMar w:top="1418" w:right="1133" w:bottom="1418" w:left="1701" w:header="708" w:footer="708"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hor" w:date="" w:initials="A">
    <w:p w14:paraId="6C452642">
      <w:pPr>
        <w:pStyle w:val="15"/>
      </w:pPr>
      <w:r>
        <w:t>Penulisan judul menggunakan model: Kapital Huruf Depan Setiap Kata (terkecuali kata sambung atau penghubung).</w:t>
      </w:r>
    </w:p>
  </w:comment>
  <w:comment w:id="1" w:author="Author" w:date="2026-02-25T18:56:31Z" w:initials="A">
    <w:p w14:paraId="6FDBC2A4">
      <w:pPr>
        <w:pStyle w:val="15"/>
        <w:rPr>
          <w:rFonts w:hint="default"/>
          <w:lang w:val="en-US"/>
        </w:rPr>
      </w:pPr>
      <w:r>
        <w:rPr>
          <w:rFonts w:hint="default"/>
          <w:lang w:val="en-US"/>
        </w:rPr>
        <w:t>Terima kasih, sudah diperbaiki</w:t>
      </w:r>
    </w:p>
  </w:comment>
  <w:comment w:id="2" w:author="Author" w:date="" w:initials="A">
    <w:p w14:paraId="5358EB35">
      <w:pPr>
        <w:pStyle w:val="15"/>
      </w:pPr>
      <w:r>
        <w:t xml:space="preserve">Pendahuluan harus termuat unsur-unsur berikut: Pentingnya Topik, Kesenjangan antara ideal dan faktual, kesenjangan literatur, Kebaharuan, Tujuan dan Pertanyaan Penelitian. </w:t>
      </w:r>
    </w:p>
  </w:comment>
  <w:comment w:id="3" w:author="Author" w:date="2026-02-25T18:56:07Z" w:initials="A">
    <w:p w14:paraId="399D3377">
      <w:pPr>
        <w:pStyle w:val="15"/>
        <w:rPr>
          <w:rFonts w:hint="default"/>
          <w:lang w:val="en-US"/>
        </w:rPr>
      </w:pPr>
      <w:r>
        <w:rPr>
          <w:rFonts w:hint="default"/>
          <w:lang w:val="en-US"/>
        </w:rPr>
        <w:t>Terima kasih, sudah diperbaiki</w:t>
      </w:r>
    </w:p>
  </w:comment>
  <w:comment w:id="4" w:author="Author" w:date="" w:initials="A">
    <w:p w14:paraId="5901AEC7">
      <w:pPr>
        <w:pStyle w:val="15"/>
      </w:pPr>
      <w:r>
        <w:t>Mohon diperhatikan dan dipaparkan dengan menyertakan referensi juga.</w:t>
      </w:r>
    </w:p>
  </w:comment>
  <w:comment w:id="5" w:author="Author" w:date="2026-02-25T18:57:58Z" w:initials="A">
    <w:p w14:paraId="0D924CBA">
      <w:pPr>
        <w:pStyle w:val="15"/>
        <w:rPr>
          <w:rFonts w:hint="default"/>
          <w:lang w:val="en-US"/>
        </w:rPr>
      </w:pPr>
      <w:r>
        <w:rPr>
          <w:rFonts w:hint="default"/>
          <w:lang w:val="en-US"/>
        </w:rPr>
        <w:t>Terima kasih, sudah diperbaiki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C452642" w15:done="0"/>
  <w15:commentEx w15:paraId="6FDBC2A4" w15:done="0" w15:paraIdParent="6C452642"/>
  <w15:commentEx w15:paraId="5358EB35" w15:done="0"/>
  <w15:commentEx w15:paraId="399D3377" w15:done="0" w15:paraIdParent="5358EB35"/>
  <w15:commentEx w15:paraId="5901AEC7" w15:done="0"/>
  <w15:commentEx w15:paraId="0D924CBA" w15:done="0" w15:paraIdParent="5901AEC7"/>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1A8DE98D-5A42-40DA-B4EF-DF0C77CE06DD}"/>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075CFD8F-C77B-420D-AB03-8EBDE5001DD3}"/>
  </w:font>
  <w:font w:name="Wingdings">
    <w:panose1 w:val="05000000000000000000"/>
    <w:charset w:val="02"/>
    <w:family w:val="auto"/>
    <w:pitch w:val="default"/>
    <w:sig w:usb0="00000000" w:usb1="00000000" w:usb2="00000000" w:usb3="00000000" w:csb0="80000000" w:csb1="00000000"/>
    <w:embedRegular r:id="rId3" w:fontKey="{97E397F4-D34C-48B0-B904-ACF9AE38F953}"/>
  </w:font>
  <w:font w:name="Calibri">
    <w:panose1 w:val="020F0502020204030204"/>
    <w:charset w:val="00"/>
    <w:family w:val="swiss"/>
    <w:pitch w:val="default"/>
    <w:sig w:usb0="E4002EFF" w:usb1="C000247B" w:usb2="00000009" w:usb3="00000000" w:csb0="200001FF" w:csb1="00000000"/>
    <w:embedRegular r:id="rId4" w:fontKey="{C4E2E21D-D870-489A-B539-A7F09C5F9F55}"/>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embedRegular r:id="rId5" w:fontKey="{AA67DA6D-B6C0-4FB8-B030-16B52C99A58B}"/>
  </w:font>
  <w:font w:name="Georgia">
    <w:panose1 w:val="02040502050405020303"/>
    <w:charset w:val="00"/>
    <w:family w:val="roman"/>
    <w:pitch w:val="default"/>
    <w:sig w:usb0="00000287" w:usb1="00000000" w:usb2="00000000" w:usb3="00000000" w:csb0="2000009F" w:csb1="00000000"/>
    <w:embedRegular r:id="rId6" w:fontKey="{2D124120-A515-4225-81EB-A2B76FA26D31}"/>
  </w:font>
  <w:font w:name="Calisto MT">
    <w:panose1 w:val="02040603050505030304"/>
    <w:charset w:val="00"/>
    <w:family w:val="roman"/>
    <w:pitch w:val="default"/>
    <w:sig w:usb0="00000003" w:usb1="00000000" w:usb2="00000000" w:usb3="00000000" w:csb0="20000001" w:csb1="00000000"/>
    <w:embedRegular r:id="rId7" w:fontKey="{70B0D596-02CB-46D3-A775-62C15827FF1B}"/>
  </w:font>
  <w:font w:name="Minion Pro">
    <w:altName w:val="Segoe Print"/>
    <w:panose1 w:val="00000000000000000000"/>
    <w:charset w:val="00"/>
    <w:family w:val="roman"/>
    <w:pitch w:val="default"/>
    <w:sig w:usb0="00000000" w:usb1="00000000" w:usb2="00000000" w:usb3="00000000" w:csb0="00000000" w:csb1="00000000"/>
  </w:font>
  <w:font w:name="Lustria">
    <w:altName w:val="Cambria"/>
    <w:panose1 w:val="00000000000000000000"/>
    <w:charset w:val="00"/>
    <w:family w:val="auto"/>
    <w:pitch w:val="default"/>
    <w:sig w:usb0="00000000" w:usb1="00000000" w:usb2="00000000" w:usb3="00000000" w:csb0="00000000" w:csb1="00000000"/>
  </w:font>
  <w:font w:name="EB Garamond">
    <w:panose1 w:val="00000500000000000000"/>
    <w:charset w:val="00"/>
    <w:family w:val="auto"/>
    <w:pitch w:val="default"/>
    <w:sig w:usb0="E00002FF" w:usb1="02000413" w:usb2="00000000" w:usb3="00000000" w:csb0="2000019F" w:csb1="00000000"/>
    <w:embedRegular r:id="rId8" w:fontKey="{3403E574-330F-4725-A4E7-16DDB1F5A83D}"/>
  </w:font>
  <w:font w:name="Cambria">
    <w:panose1 w:val="02040503050406030204"/>
    <w:charset w:val="00"/>
    <w:family w:val="roman"/>
    <w:pitch w:val="default"/>
    <w:sig w:usb0="E00006FF" w:usb1="420024FF" w:usb2="02000000" w:usb3="00000000" w:csb0="2000019F" w:csb1="00000000"/>
    <w:embedRegular r:id="rId9" w:fontKey="{DD98D3D8-979C-4EE9-962C-CB8002D01251}"/>
  </w:font>
  <w:font w:name="Verdana">
    <w:panose1 w:val="020B0604030504040204"/>
    <w:charset w:val="00"/>
    <w:family w:val="swiss"/>
    <w:pitch w:val="default"/>
    <w:sig w:usb0="A00006FF" w:usb1="4000205B" w:usb2="00000010" w:usb3="00000000" w:csb0="2000019F" w:csb1="00000000"/>
    <w:embedRegular r:id="rId10" w:fontKey="{AD22D18F-5E05-4351-A964-399070E1F9E5}"/>
  </w:font>
  <w:font w:name="Corben">
    <w:altName w:val="Segoe Print"/>
    <w:panose1 w:val="00000000000000000000"/>
    <w:charset w:val="00"/>
    <w:family w:val="auto"/>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embedRegular r:id="rId11" w:fontKey="{047A465F-0C9B-483D-B491-200F44E5BBD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embedRegular r:id="rId12" w:fontKey="{043A635F-ABB7-4F42-9CD8-533C8180E7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A863">
    <w:pPr>
      <w:pBdr>
        <w:top w:val="single" w:color="000000" w:sz="4" w:space="1"/>
        <w:left w:val="none" w:color="auto" w:sz="0" w:space="0"/>
        <w:bottom w:val="none" w:color="auto" w:sz="0" w:space="0"/>
        <w:right w:val="none" w:color="auto" w:sz="0" w:space="0"/>
        <w:between w:val="none" w:color="auto" w:sz="0" w:space="0"/>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 xml:space="preserve">PAGE</w:instrText>
    </w:r>
    <w:r>
      <w:rPr>
        <w:rFonts w:eastAsia="Times New Roman"/>
        <w:color w:val="000000"/>
        <w:sz w:val="22"/>
        <w:szCs w:val="22"/>
      </w:rPr>
      <w:fldChar w:fldCharType="separate"/>
    </w:r>
    <w:r>
      <w:rPr>
        <w:rFonts w:eastAsia="Times New Roman"/>
        <w:color w:val="000000"/>
        <w:sz w:val="22"/>
        <w:szCs w:val="22"/>
      </w:rPr>
      <w:t>1</w:t>
    </w:r>
    <w:r>
      <w:rPr>
        <w:rFonts w:eastAsia="Times New Roman"/>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C18F1">
    <w:pPr>
      <w:pBdr>
        <w:top w:val="single" w:color="000000" w:sz="4" w:space="1"/>
        <w:left w:val="none" w:color="auto" w:sz="0" w:space="0"/>
        <w:bottom w:val="none" w:color="auto" w:sz="0" w:space="0"/>
        <w:right w:val="none" w:color="auto" w:sz="0" w:space="0"/>
        <w:between w:val="none" w:color="auto" w:sz="0" w:space="0"/>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 xml:space="preserve">PAGE</w:instrText>
    </w:r>
    <w:r>
      <w:rPr>
        <w:rFonts w:eastAsia="Times New Roman"/>
        <w:color w:val="000000"/>
        <w:sz w:val="22"/>
        <w:szCs w:val="22"/>
      </w:rPr>
      <w:fldChar w:fldCharType="separate"/>
    </w:r>
    <w:r>
      <w:rPr>
        <w:rFonts w:eastAsia="Times New Roman"/>
        <w:color w:val="000000"/>
        <w:sz w:val="22"/>
        <w:szCs w:val="22"/>
      </w:rPr>
      <w:t>2</w:t>
    </w:r>
    <w:r>
      <w:rPr>
        <w:rFonts w:eastAsia="Times New Roman"/>
        <w:color w:val="000000"/>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4803B">
    <w:pPr>
      <w:pBdr>
        <w:top w:val="single" w:color="000000" w:sz="4" w:space="1"/>
        <w:left w:val="none" w:color="auto" w:sz="0" w:space="0"/>
        <w:bottom w:val="none" w:color="auto" w:sz="0" w:space="0"/>
        <w:right w:val="none" w:color="auto" w:sz="0" w:space="0"/>
        <w:between w:val="none" w:color="auto" w:sz="0" w:space="0"/>
      </w:pBdr>
      <w:tabs>
        <w:tab w:val="center" w:pos="4513"/>
        <w:tab w:val="right" w:pos="9026"/>
      </w:tabs>
      <w:jc w:val="right"/>
      <w:rPr>
        <w:rFonts w:ascii="Verdana" w:hAnsi="Verdana" w:eastAsia="Verdana" w:cs="Verdana"/>
        <w:b/>
        <w:color w:val="000000"/>
        <w:sz w:val="22"/>
        <w:szCs w:val="22"/>
      </w:rPr>
    </w:pPr>
    <w:r>
      <w:rPr>
        <w:rFonts w:ascii="Corben" w:hAnsi="Corben" w:eastAsia="Corben" w:cs="Corben"/>
        <w:color w:val="000000"/>
        <w:sz w:val="22"/>
        <w:szCs w:val="22"/>
      </w:rPr>
      <w:fldChar w:fldCharType="begin"/>
    </w:r>
    <w:r>
      <w:rPr>
        <w:rFonts w:ascii="Corben" w:hAnsi="Corben" w:eastAsia="Corben" w:cs="Corben"/>
        <w:color w:val="000000"/>
        <w:sz w:val="22"/>
        <w:szCs w:val="22"/>
      </w:rPr>
      <w:instrText xml:space="preserve">PAGE</w:instrText>
    </w:r>
    <w:r>
      <w:rPr>
        <w:rFonts w:ascii="Corben" w:hAnsi="Corben" w:eastAsia="Corben" w:cs="Corben"/>
        <w:color w:val="00000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0">
    <w:p>
      <w:r>
        <w:separator/>
      </w:r>
    </w:p>
  </w:footnote>
  <w:footnote w:type="continuationSeparator" w:id="181">
    <w:p>
      <w:r>
        <w:continuationSeparator/>
      </w:r>
    </w:p>
  </w:footnote>
  <w:footnote w:id="0">
    <w:p w14:paraId="74CEB075">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{"citationItems":[{"id":"ITEM-1","itemData":{"author":[{"dropping-particle":"","family":"Brauch","given":"Manfred T.","non-dropping-particle":"","parse-names":false,"suffix":""}],"id":"ITEM-1","issued":{"date-parts":[["2005"]]},"number-of-pages":"70","publisher":"Literatur SAAT","publisher-place":"Malang","title":"Ucapan Paulus yang Sulit","type":"book"},"uris":["http://www.mendeley.com/documents/?uuid=f48d5093-77e2-4cd7-a457-dc6b85e01ed6"]}],"mendeley":{"formattedCitation":"Manfred T. Brauch, &lt;i&gt;Ucapan Paulus Yang Sulit&lt;/i&gt; (Malang: Literatur SAAT, 2005).","manualFormatting":"Manfred T. Brauch, Ucapan Paulus Yang Sulit (Malang: Literatur SAAT, 2005), 70.","plainTextFormattedCitation":"Manfred T. Brauch, Ucapan Paulus Yang Sulit (Malang: Literatur SAAT, 2005).","previouslyFormattedCitation":"Manfred T. Brauch, &lt;i&gt;Ucapan Paulus Yang Sulit&lt;/i&gt; (Malang: Literatur SAAT, 2005)."},"properties":{"noteIndex":6},"schema":"https://github.com/citation-style-language/schema/raw/master/csl-citation.json"}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Manfred T. Brauch, </w:t>
      </w:r>
      <w:r>
        <w:rPr>
          <w:rFonts w:ascii="Times New Roman" w:hAnsi="Times New Roman" w:cs="Times New Roman"/>
          <w:i/>
        </w:rPr>
        <w:t>Ucapan Paulus Yang Sulit</w:t>
      </w:r>
      <w:r>
        <w:rPr>
          <w:rFonts w:ascii="Times New Roman" w:hAnsi="Times New Roman" w:cs="Times New Roman"/>
        </w:rPr>
        <w:t xml:space="preserve"> (Malang: Literatur SAAT, 2005), 70.</w:t>
      </w:r>
      <w:r>
        <w:rPr>
          <w:rFonts w:ascii="Times New Roman" w:hAnsi="Times New Roman" w:cs="Times New Roman"/>
        </w:rPr>
        <w:fldChar w:fldCharType="end"/>
      </w:r>
    </w:p>
  </w:footnote>
  <w:footnote w:id="1">
    <w:p w14:paraId="19B91FBF">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lang w:val="en-US"/>
        </w:rPr>
        <w:fldChar w:fldCharType="begin" w:fldLock="1"/>
      </w:r>
      <w:r>
        <w:rPr>
          <w:rFonts w:ascii="Times New Roman" w:hAnsi="Times New Roman" w:cs="Times New Roman"/>
          <w:lang w:val="en-US"/>
        </w:rPr>
        <w:instrText xml:space="preserve">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Pemerintah?","type":"book"},"uris":["http://www.mendeley.com/documents/?uuid=0e5f5891-262e-450a-853d-47c65b6bd1e1"]}],"mendeley":{"formattedCitation":"Rambitan, &lt;i&gt;Haruskah Orang Kristen Takluk Dan Takut Kepada Pemerintah?&lt;/i&gt;","plainTextFormattedCitation":"Rambitan, Haruskah Orang Kristen Takluk Dan Takut Kepada Pemerintah?","previouslyFormattedCitation":"Rambitan, &lt;i&gt;Haruskah Orang Kristen Takluk Dan Takut Kepada Pemerintah?&lt;/i&gt;"},"properties":{"noteIndex":7},"schema":"https://github.com/citation-style-language/schema/raw/master/csl-citation.json"}</w:instrText>
      </w:r>
      <w:r>
        <w:rPr>
          <w:rFonts w:ascii="Times New Roman" w:hAnsi="Times New Roman" w:cs="Times New Roman"/>
          <w:lang w:val="en-US"/>
        </w:rPr>
        <w:fldChar w:fldCharType="separate"/>
      </w:r>
      <w:r>
        <w:rPr>
          <w:rFonts w:ascii="Times New Roman" w:hAnsi="Times New Roman" w:cs="Times New Roman"/>
          <w:lang w:val="en-US"/>
        </w:rPr>
        <w:t xml:space="preserve">Rambitan, </w:t>
      </w:r>
      <w:r>
        <w:rPr>
          <w:rFonts w:ascii="Times New Roman" w:hAnsi="Times New Roman" w:cs="Times New Roman"/>
          <w:i/>
          <w:lang w:val="en-US"/>
        </w:rPr>
        <w:t>Haruskah Orang Kristen Takluk Dan Takut Kepada Pemerintah?</w:t>
      </w:r>
      <w:r>
        <w:rPr>
          <w:rFonts w:ascii="Times New Roman" w:hAnsi="Times New Roman" w:cs="Times New Roman"/>
          <w:lang w:val="en-US"/>
        </w:rPr>
        <w:fldChar w:fldCharType="end"/>
      </w:r>
      <w:r>
        <w:rPr>
          <w:rFonts w:ascii="Times New Roman" w:hAnsi="Times New Roman" w:cs="Times New Roman"/>
          <w:lang w:val="en-US"/>
        </w:rPr>
        <w:t>, 28-29.</w:t>
      </w:r>
    </w:p>
  </w:footnote>
  <w:footnote w:id="2">
    <w:p w14:paraId="6E03AEA9">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lang w:val="en-US"/>
        </w:rPr>
        <w:fldChar w:fldCharType="begin" w:fldLock="1"/>
      </w:r>
      <w:r>
        <w:rPr>
          <w:rFonts w:ascii="Times New Roman" w:hAnsi="Times New Roman" w:cs="Times New Roman"/>
          <w:lang w:val="en-US"/>
        </w:rPr>
        <w:instrText xml:space="preserve">ADDIN CSL_CITATION {"citationItems":[{"id":"ITEM-1","itemData":{"author":[{"dropping-particle":"","family":"Jacobs","given":"Tom","non-dropping-particle":"","parse-names":false,"suffix":""}],"id":"ITEM-1","issued":{"date-parts":[["1983"]]},"number-of-pages":"93-94","publisher":"BPK Gunung Mulia &amp; Kanisius","publisher-place":"Jakarta &amp; Yogyakarta","title":"Paulus: Hidup, Karya dan Teologinya","type":"book"},"uris":["http://www.mendeley.com/documents/?uuid=11d37b97-07a5-4d39-b5c9-a7db9db305d7"]}],"mendeley":{"formattedCitation":"Tom Jacobs, &lt;i&gt;Paulus: Hidup, Karya Dan Teologinya&lt;/i&gt; (Jakarta &amp; Yogyakarta: BPK Gunung Mulia &amp; Kanisius, 1983).","manualFormatting":"Tom Jacobs, Paulus: Hidup, Karya Dan Teologinya (Jakarta &amp; Yogyakarta: BPK Gunung Mulia &amp; Kanisius, 1983), 93-94.\r","plainTextFormattedCitation":"Tom Jacobs, Paulus: Hidup, Karya Dan Teologinya (Jakarta &amp; Yogyakarta: BPK Gunung Mulia &amp; Kanisius, 1983).","previouslyFormattedCitation":"Tom Jacobs, &lt;i&gt;Paulus: Hidup, Karya Dan Teologinya&lt;/i&gt; (Jakarta &amp; Yogyakarta: BPK Gunung Mulia &amp; Kanisius, 1983)."},"properties":{"noteIndex":8},"schema":"https://github.com/citation-style-language/schema/raw/master/csl-citation.json"}</w:instrText>
      </w:r>
      <w:r>
        <w:rPr>
          <w:rFonts w:ascii="Times New Roman" w:hAnsi="Times New Roman" w:cs="Times New Roman"/>
          <w:lang w:val="en-US"/>
        </w:rPr>
        <w:fldChar w:fldCharType="separate"/>
      </w:r>
      <w:r>
        <w:rPr>
          <w:rFonts w:ascii="Times New Roman" w:hAnsi="Times New Roman" w:cs="Times New Roman"/>
          <w:lang w:val="en-US"/>
        </w:rPr>
        <w:t xml:space="preserve">Tom Jacobs, </w:t>
      </w:r>
      <w:r>
        <w:rPr>
          <w:rFonts w:ascii="Times New Roman" w:hAnsi="Times New Roman" w:cs="Times New Roman"/>
          <w:i/>
          <w:lang w:val="en-US"/>
        </w:rPr>
        <w:t>Paulus: Hidup, Karya Dan Teologinya</w:t>
      </w:r>
      <w:r>
        <w:rPr>
          <w:rFonts w:ascii="Times New Roman" w:hAnsi="Times New Roman" w:cs="Times New Roman"/>
          <w:lang w:val="en-US"/>
        </w:rPr>
        <w:t xml:space="preserve"> (Jakarta &amp; Yogyakarta: BPK Gunung Mulia &amp; Kanisius, 1983), 93-94.</w:t>
      </w:r>
    </w:p>
    <w:p w14:paraId="1E508627">
      <w:pPr>
        <w:pStyle w:val="20"/>
        <w:rPr>
          <w:rFonts w:ascii="Times New Roman" w:hAnsi="Times New Roman" w:cs="Times New Roman"/>
          <w:lang w:val="en-US"/>
        </w:rPr>
      </w:pPr>
      <w:r>
        <w:rPr>
          <w:rFonts w:ascii="Times New Roman" w:hAnsi="Times New Roman" w:cs="Times New Roman"/>
          <w:lang w:val="en-US"/>
        </w:rPr>
        <w:fldChar w:fldCharType="end"/>
      </w:r>
    </w:p>
  </w:footnote>
  <w:footnote w:id="3">
    <w:p w14:paraId="6E2963E7">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{"citationItems":[{"id":"ITEM-1","itemData":{"author":[{"dropping-particle":"","family":"Moore","given":"Richard D. Land dan Louise A.","non-dropping-particle":"","parse-names":false,"suffix":""}],"id":"ITEM-1","issued":{"date-parts":[["1994"]]},"number-of-pages":"6","publisher":"Broadman &amp; Holman","publisher-place":"Nashville","title":"Citizen Christians: The Right and Responsibilities of Dual Citizenship","type":"book"},"uris":["http://www.mendeley.com/documents/?uuid=f890d943-7d8d-45c4-9070-861d14a2f389"]}],"mendeley":{"formattedCitation":"Richard D. Land dan Louise A. Moore, &lt;i&gt;Citizen Christians: The Right and Responsibilities of Dual Citizenship&lt;/i&gt; (Nashville: Broadman &amp; Holman, 1994).","manualFormatting":"Richard D. Land dan Louise A. Moore, Citizen Christians: The Right and Responsibilities of Dual Citizenship (Nashville: Broadman &amp; Holman, 1994), ","plainTextFormattedCitation":"Richard D. Land dan Louise A. Moore, Citizen Christians: The Right and Responsibilities of Dual Citizenship (Nashville: Broadman &amp; Holman, 1994).","previouslyFormattedCitation":"Richard D. Land dan Louise A. Moore, &lt;i&gt;Citizen Christians: The Right and Responsibilities of Dual Citizenship&lt;/i&gt; (Nashville: Broadman &amp; Holman, 1994)."},"properties":{"noteIndex":9},"schema":"https://github.com/citation-style-language/schema/raw/master/csl-citation.json"}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Richard D. Land dan Louise A. Moore, </w:t>
      </w:r>
      <w:r>
        <w:rPr>
          <w:rFonts w:ascii="Times New Roman" w:hAnsi="Times New Roman" w:cs="Times New Roman"/>
          <w:i/>
        </w:rPr>
        <w:t>Citizen Christians: The Right and Responsibilities of Dual Citizenship</w:t>
      </w:r>
      <w:r>
        <w:rPr>
          <w:rFonts w:ascii="Times New Roman" w:hAnsi="Times New Roman" w:cs="Times New Roman"/>
        </w:rPr>
        <w:t xml:space="preserve"> (Nashville: Broadman &amp; Holman, 1994), </w:t>
      </w:r>
      <w:r>
        <w:rPr>
          <w:rFonts w:ascii="Times New Roman" w:hAnsi="Times New Roman" w:cs="Times New Roman"/>
        </w:rPr>
        <w:fldChar w:fldCharType="end"/>
      </w:r>
      <w:r>
        <w:rPr>
          <w:rFonts w:ascii="Times New Roman" w:hAnsi="Times New Roman" w:cs="Times New Roman"/>
        </w:rPr>
        <w:t>6.</w:t>
      </w:r>
    </w:p>
  </w:footnote>
  <w:footnote w:id="4">
    <w:p w14:paraId="7176D0E9">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{"citationItems":[{"id":"ITEM-1","itemData":{"author":[{"dropping-particle":"","family":"Singgih","given":"Emanuel Gerrit","non-dropping-particle":"","parse-names":false,"suffix":""}],"id":"ITEM-1","issued":{"date-parts":[["2000"]]},"number-of-pages":"5-6","publisher":"Gunung Mulia","publisher-place":"Jakarta","title":"Iman dan Politik dalam Era Reformasi di Indonesia","type":"book"},"uris":["http://www.mendeley.com/documents/?uuid=e22fccae-d20d-4737-9d3a-10a0ea5aa9f5"]}],"mendeley":{"formattedCitation":"Emanuel Gerrit Singgih, &lt;i&gt;Iman Dan Politik Dalam Era Reformasi Di Indonesia&lt;/i&gt; (Jakarta: Gunung Mulia, 2000).","manualFormatting":"Emanuel Gerrit Singgih, Iman Dan Politik Dalam Era Reformasi Di Indonesia (Jakarta: Gunung Mulia, 2000),","plainTextFormattedCitation":"Emanuel Gerrit Singgih, Iman Dan Politik Dalam Era Reformasi Di Indonesia (Jakarta: Gunung Mulia, 2000).","previouslyFormattedCitation":"Emanuel Gerrit Singgih, &lt;i&gt;Iman Dan Politik Dalam Era Reformasi Di Indonesia&lt;/i&gt; (Jakarta: Gunung Mulia, 2000)."},"properties":{"noteIndex":10},"schema":"https://github.com/citation-style-language/schema/raw/master/csl-citation.json"}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Emanuel Gerrit Singgih, </w:t>
      </w:r>
      <w:r>
        <w:rPr>
          <w:rFonts w:ascii="Times New Roman" w:hAnsi="Times New Roman" w:cs="Times New Roman"/>
          <w:i/>
        </w:rPr>
        <w:t>Iman Dan Politik Dalam Era Reformasi Di Indonesia</w:t>
      </w:r>
      <w:r>
        <w:rPr>
          <w:rFonts w:ascii="Times New Roman" w:hAnsi="Times New Roman" w:cs="Times New Roman"/>
        </w:rPr>
        <w:t xml:space="preserve"> (Jakarta: Gunung Mulia, 2000),</w:t>
      </w:r>
      <w:r>
        <w:rPr>
          <w:rFonts w:ascii="Times New Roman" w:hAnsi="Times New Roman" w:cs="Times New Roman"/>
        </w:rPr>
        <w:fldChar w:fldCharType="end"/>
      </w:r>
      <w:r>
        <w:rPr>
          <w:rFonts w:ascii="Times New Roman" w:hAnsi="Times New Roman" w:cs="Times New Roman"/>
        </w:rPr>
        <w:t xml:space="preserve"> 5-6.</w:t>
      </w:r>
    </w:p>
  </w:footnote>
  <w:footnote w:id="5">
    <w:p w14:paraId="12EBEE08">
      <w:pPr>
        <w:pStyle w:val="20"/>
        <w:ind w:left="0" w:leftChars="0" w:firstLine="720" w:firstLineChars="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Wogaman, </w:t>
      </w:r>
      <w:r>
        <w:rPr>
          <w:rFonts w:ascii="Times New Roman" w:hAnsi="Times New Roman" w:cs="Times New Roman"/>
          <w:i/>
          <w:iCs/>
        </w:rPr>
        <w:t xml:space="preserve">Christian </w:t>
      </w:r>
      <w:r>
        <w:rPr>
          <w:rFonts w:ascii="Times New Roman" w:hAnsi="Times New Roman" w:cs="Times New Roman"/>
        </w:rPr>
        <w:t>45-46; bdk. Donald Jay Losher, “Gereja dan Negara: Tipe-tipe Sikap dalam Sejarah Gereja,” (1990), 76-77.</w:t>
      </w:r>
    </w:p>
  </w:footnote>
  <w:footnote w:id="6">
    <w:p w14:paraId="1D8A52E5">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{"citationItems":[{"id":"ITEM-1","itemData":{"abstract":"Pembangkangan terhadap pemerintah dapat diwujudkan dengan dua cara. Pertama dengan cara damai dan kedua dengan melawan menggunakan kekerasan. Hal ini terjadi karena kepentingan masyarakat dikorbankan dan atau terbaikan sehingga terjadi krisis hubungan antara masyarakat dengan pemerintah. Artikel ini membahas tentang seluk beluk terjadinya pembangkangan (civil disobedience) dan cara menyikapinya ditinjau dari sudut pandang etika Kristen. Sekalipun pembenaran Alkitabiah hanya memihak pada penentangan bersyarat, tetapi kenyataan-nya, berbagai bentuk dan praktek penentangan terhadap pemerintah, berlangsung disekeliling kita. Terutama jika kita berada di dalam sebuah situasi kritis seperti penindasan atau tindakan represif, natur manusiawi kita langsung memberikan responnya. Maka sebagai orang Kristen, tentu saja respon kita harus berbeda. Pertimbangan Alkitabiah menjadi satu- satunya pilihan kita saat berada di dalam krisis dan penindasan. Dari sanalah kita menentukan sikap terhadap pemerintah. Kata","author":[{"dropping-particle":"","family":"Oktober","given":"Nomor","non-dropping-particle":"","parse-names":false,"suffix":""},{"dropping-particle":"","family":"Zaluchu","given":"Sonny Eli","non-dropping-particle":"","parse-names":false,"suffix":""}],"id":"ITEM-1","issue":"1","issued":{"date-parts":[["2018"]]},"page":"24-36","title":"Dunamis : Jurnal Teologi dan Pendidikan Kristiani Sudut Pandang Etika Keristen Menyikapi Pembangkangan Sipil ( Civil Disobedience )","type":"article-journal","volume":"3"},"uris":["http://www.mendeley.com/documents/?uuid=34e3dc23-8782-4308-8322-b34e9033002b"]}],"mendeley":{"formattedCitation":"Nomor Oktober and Sonny Eli Zaluchu, “Dunamis : Jurnal Teologi Dan Pendidikan Kristiani Sudut Pandang Etika Keristen Menyikapi Pembangkangan Sipil ( Civil Disobedience )” 3, no. 1 (2018): 24–36.","manualFormatting":"Sonny Eli Zaluchu, “Dunamis : Jurnal Teologi Dan Pendidikan Kristiani Sudut Pandang Etika Keristen Menyikapi Pembangkangan Sipil ( Civil Disobedience )” 3, no. 1 (2018): 24–36.","plainTextFormattedCitation":"Nomor Oktober and Sonny Eli Zaluchu, “Dunamis : Jurnal Teologi Dan Pendidikan Kristiani Sudut Pandang Etika Keristen Menyikapi Pembangkangan Sipil ( Civil Disobedience )” 3, no. 1 (2018): 24–36.","previouslyFormattedCitation":"Nomor Oktober and Sonny Eli Zaluchu, “Dunamis : Jurnal Teologi Dan Pendidikan Kristiani Sudut Pandang Etika Keristen Menyikapi Pembangkangan Sipil ( Civil Disobedience )” 3, no. 1 (2018): 24–36."},"properties":{"noteIndex":12},"schema":"https://github.com/citation-style-language/schema/raw/master/csl-citation.json"}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Sonny Eli Zaluchu, “Dunamis : Jurnal Teologi Dan Pendidikan Kristiani Sudut Pandang Etika Keristen Menyikapi Pembangkangan Sipil ( Civil Disobedience )” 3, no. 1 (2018): 24–36.</w:t>
      </w:r>
      <w:r>
        <w:rPr>
          <w:rFonts w:ascii="Times New Roman" w:hAnsi="Times New Roman" w:cs="Times New Roman"/>
        </w:rPr>
        <w:fldChar w:fldCharType="end"/>
      </w:r>
    </w:p>
  </w:footnote>
  <w:footnote w:id="7">
    <w:p w14:paraId="5E9AD184">
      <w:pPr>
        <w:pStyle w:val="20"/>
        <w:tabs>
          <w:tab w:val="left" w:pos="0"/>
        </w:tabs>
        <w:ind w:left="0" w:leftChars="0" w:firstLine="720" w:firstLineChars="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{"citationItems":[{"id":"ITEM-1","itemData":{"author":[{"dropping-particle":"","family":"Stam","given":"C. R.","non-dropping-particle":"","parse-names":false,"suffix":""}],"id":"ITEM-1","issued":{"date-parts":[["2011"]]},"number-of-pages":"41-42","publisher":"Berean Bible Society","publisher-place":"Chicago","title":"Commentary On The Epistle of Paul To The Romans","type":"book"},"uris":["http://www.mendeley.com/documents/?uuid=bee09e3a-8548-4c57-b41b-709de6e849a8"]}],"mendeley":{"formattedCitation":"C. R. Stam, &lt;i&gt;Commentary On The Epistle of Paul To The Romans&lt;/i&gt; (Chicago: Berean Bible Society, 2011).","manualFormatting":"C. R. Stam, Commentary On The Epistle of Paul To The Romans (Chicago: Berean Bible Society, 2011),","plainTextFormattedCitation":"C. R. Stam, Commentary On The Epistle of Paul To The Romans (Chicago: Berean Bible Society, 2011).","previouslyFormattedCitation":"C. R. Stam, &lt;i&gt;Commentary On The Epistle of Paul To The Romans&lt;/i&gt; (Chicago: Berean Bible Society, 2011)."},"properties":{"noteIndex":13},"schema":"https://github.com/citation-style-language/schema/raw/master/csl-citation.json"}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C. R. Stam, </w:t>
      </w:r>
      <w:r>
        <w:rPr>
          <w:rFonts w:ascii="Times New Roman" w:hAnsi="Times New Roman" w:cs="Times New Roman"/>
          <w:i/>
        </w:rPr>
        <w:t>Commentary On The Epistle of Paul To The Romans</w:t>
      </w:r>
      <w:r>
        <w:rPr>
          <w:rFonts w:ascii="Times New Roman" w:hAnsi="Times New Roman" w:cs="Times New Roman"/>
        </w:rPr>
        <w:t xml:space="preserve"> (Chicago: Berean Bible Society, 2011),</w:t>
      </w:r>
      <w:r>
        <w:rPr>
          <w:rFonts w:ascii="Times New Roman" w:hAnsi="Times New Roman" w:cs="Times New Roman"/>
        </w:rPr>
        <w:fldChar w:fldCharType="end"/>
      </w:r>
      <w:r>
        <w:rPr>
          <w:rFonts w:ascii="Times New Roman" w:hAnsi="Times New Roman" w:cs="Times New Roman"/>
        </w:rPr>
        <w:t xml:space="preserve">  41-42.</w:t>
      </w:r>
    </w:p>
  </w:footnote>
  <w:footnote w:id="8">
    <w:p w14:paraId="5108F071">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t xml:space="preserve">Wogaman, </w:t>
      </w:r>
      <w:r>
        <w:rPr>
          <w:rFonts w:ascii="Times New Roman" w:hAnsi="Times New Roman" w:cs="Times New Roman"/>
          <w:i/>
          <w:iCs/>
        </w:rPr>
        <w:t xml:space="preserve">Christian </w:t>
      </w:r>
      <w:r>
        <w:rPr>
          <w:rFonts w:ascii="Times New Roman" w:hAnsi="Times New Roman" w:cs="Times New Roman"/>
        </w:rPr>
        <w:t>35.</w:t>
      </w:r>
    </w:p>
  </w:footnote>
  <w:footnote w:id="9">
    <w:p w14:paraId="340C3EB9">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{"citationItems":[{"id":"ITEM-1","itemData":{"author":[{"dropping-particle":"","family":"Moleong","given":"Lexy J.","non-dropping-particle":"","parse-names":false,"suffix":""}],"id":"ITEM-1","issued":{"date-parts":[["2007"]]},"number-of-pages":"6","publisher":"PT Remaja Rosdakarya","publisher-place":"Bandung","title":"Metode Penelitian Kualitatif","type":"book"},"uris":["http://www.mendeley.com/documents/?uuid=024df76c-363b-4d17-9f15-62a16246db26"]}],"mendeley":{"formattedCitation":"Lexy J. Moleong, &lt;i&gt;Metode Penelitian Kualitatif&lt;/i&gt; (Bandung: PT Remaja Rosdakarya, 2007).","manualFormatting":"Lexy J. Moleong, Metode Penelitian Kualitatif (Bandung: PT Remaja Rosdakarya, 2007),","plainTextFormattedCitation":"Lexy J. Moleong, Metode Penelitian Kualitatif (Bandung: PT Remaja Rosdakarya, 2007).","previouslyFormattedCitation":"Lexy J. Moleong, &lt;i&gt;Metode Penelitian Kualitatif&lt;/i&gt; (Bandung: PT Remaja Rosdakarya, 2007)."},"properties":{"noteIndex":58},"schema":"https://github.com/citation-style-language/schema/raw/master/csl-citation.json"}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Lexy J. Moleong, </w:t>
      </w:r>
      <w:r>
        <w:rPr>
          <w:rFonts w:ascii="Times New Roman" w:hAnsi="Times New Roman" w:cs="Times New Roman"/>
          <w:i/>
        </w:rPr>
        <w:t>Metode Penelitian Kualitatif</w:t>
      </w:r>
      <w:r>
        <w:rPr>
          <w:rFonts w:ascii="Times New Roman" w:hAnsi="Times New Roman" w:cs="Times New Roman"/>
        </w:rPr>
        <w:t xml:space="preserve"> (Bandung: PT Remaja Rosdakarya, 2007),</w:t>
      </w:r>
      <w:r>
        <w:rPr>
          <w:rFonts w:ascii="Times New Roman" w:hAnsi="Times New Roman" w:cs="Times New Roman"/>
        </w:rPr>
        <w:fldChar w:fldCharType="end"/>
      </w:r>
      <w:r>
        <w:rPr>
          <w:rFonts w:ascii="Times New Roman" w:hAnsi="Times New Roman" w:cs="Times New Roman"/>
        </w:rPr>
        <w:t xml:space="preserve"> 6.</w:t>
      </w:r>
    </w:p>
  </w:footnote>
  <w:footnote w:id="10">
    <w:p w14:paraId="54CEFFCB">
      <w:pPr>
        <w:pStyle w:val="20"/>
        <w:ind w:left="0" w:leftChars="0" w:firstLine="720" w:firstLineChars="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{"citationItems":[{"id":"ITEM-1","itemData":{"author":[{"dropping-particle":"","family":"Margono","given":"S.","non-dropping-particle":"","parse-names":false,"suffix":""}],"id":"ITEM-1","issued":{"date-parts":[["2003"]]},"number-of-pages":"39","publisher":"Rineka Cipta","publisher-place":"Jakarta","title":"Metode Penelitian Pendidikan","type":"book"},"uris":["http://www.mendeley.com/documents/?uuid=1a9fc854-98dd-410b-a683-b1bf057e36b0"]}],"mendeley":{"formattedCitation":"S. Margono, &lt;i&gt;Metode Penelitian Pendidikan&lt;/i&gt; (Jakarta: Rineka Cipta, 2003).","manualFormatting":"S. Margono, Metode Penelitian Pendidikan (Jakarta: Rineka Cipta, 2003),","plainTextFormattedCitation":"S. Margono, Metode Penelitian Pendidikan (Jakarta: Rineka Cipta, 2003).","previouslyFormattedCitation":"S. Margono, &lt;i&gt;Metode Penelitian Pendidikan&lt;/i&gt; (Jakarta: Rineka Cipta, 2003)."},"properties":{"noteIndex":59},"schema":"https://github.com/citation-style-language/schema/raw/master/csl-citation.json"}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 Margono, </w:t>
      </w:r>
      <w:r>
        <w:rPr>
          <w:rFonts w:ascii="Times New Roman" w:hAnsi="Times New Roman" w:cs="Times New Roman"/>
          <w:i/>
        </w:rPr>
        <w:t>Metode Penelitian Pendidikan</w:t>
      </w:r>
      <w:r>
        <w:rPr>
          <w:rFonts w:ascii="Times New Roman" w:hAnsi="Times New Roman" w:cs="Times New Roman"/>
        </w:rPr>
        <w:t xml:space="preserve"> (Jakarta: Rineka Cipta, 2003),</w:t>
      </w:r>
      <w:r>
        <w:rPr>
          <w:rFonts w:ascii="Times New Roman" w:hAnsi="Times New Roman" w:cs="Times New Roman"/>
        </w:rPr>
        <w:fldChar w:fldCharType="end"/>
      </w:r>
      <w:r>
        <w:rPr>
          <w:rFonts w:ascii="Times New Roman" w:hAnsi="Times New Roman" w:cs="Times New Roman"/>
        </w:rPr>
        <w:t xml:space="preserve"> 39.</w:t>
      </w:r>
    </w:p>
  </w:footnote>
  <w:footnote w:id="11">
    <w:p w14:paraId="7EE23222">
      <w:pPr>
        <w:pStyle w:val="20"/>
        <w:ind w:firstLine="720"/>
        <w:rPr>
          <w:rFonts w:ascii="Times New Roman" w:hAnsi="Times New Roman" w:cs="Times New Roman"/>
          <w:lang w:val="en-US"/>
        </w:rPr>
      </w:pPr>
      <w:r>
        <w:rPr>
          <w:rStyle w:val="19"/>
          <w:rFonts w:ascii="Times New Roman" w:hAnsi="Times New Roman" w:cs="Times New Roman"/>
        </w:rPr>
        <w:footnoteRef/>
      </w:r>
      <w:r>
        <w:rPr>
          <w:rFonts w:ascii="Times New Roman" w:hAnsi="Times New Roman" w:cs="Times New Roman"/>
          <w:lang w:val="en-US"/>
        </w:rPr>
        <w:fldChar w:fldCharType="begin" w:fldLock="1"/>
      </w:r>
      <w:r>
        <w:rPr>
          <w:rFonts w:ascii="Times New Roman" w:hAnsi="Times New Roman" w:cs="Times New Roman"/>
          <w:lang w:val="en-US"/>
        </w:rPr>
        <w:instrText xml:space="preserve">ADDIN CSL_CITATION {"citationItems":[{"id":"ITEM-1","itemData":{"author":[{"dropping-particle":"","family":"Jacobs","given":"Tom","non-dropping-particle":"","parse-names":false,"suffix":""}],"id":"ITEM-1","issued":{"date-parts":[["1983"]]},"publisher":"Kanisius","publisher-place":"Yogyakarta","title":"Paulus: Hidup, Karya dan Teologinya","type":"book"},"uris":["http://www.mendeley.com/documents/?uuid=2e14069b-f519-4cc7-ba10-bc8650470257"]}],"mendeley":{"formattedCitation":"Tom Jacobs, &lt;i&gt;Paulus: Hidup, Karya Dan Teologinya&lt;/i&gt; (Yogyakarta: Kanisius, 1983).","manualFormatting":"Tom Jacobs, Paulus: Hidup, Karya Dan Teologinya (Jakarta &amp; Yogyakarta: BPK Gunung Mulia &amp; Kanisius, 1983), 93-94.\r","plainTextFormattedCitation":"Tom Jacobs, Paulus: Hidup, Karya Dan Teologinya (Yogyakarta: Kanisius, 1983).","previouslyFormattedCitation":"Tom Jacobs, &lt;i&gt;Paulus: Hidup, Karya Dan Teologinya&lt;/i&gt; (Jakarta &amp; Yogyakarta: BPK Gunung Mulia &amp; Kanisius, 1983)."},"properties":{"noteIndex":3},"schema":"https://github.com/citation-style-language/schema/raw/master/csl-citation.json"}</w:instrText>
      </w:r>
      <w:r>
        <w:rPr>
          <w:rFonts w:ascii="Times New Roman" w:hAnsi="Times New Roman" w:cs="Times New Roman"/>
          <w:lang w:val="en-US"/>
        </w:rPr>
        <w:fldChar w:fldCharType="separate"/>
      </w:r>
      <w:r>
        <w:rPr>
          <w:rFonts w:ascii="Times New Roman" w:hAnsi="Times New Roman" w:cs="Times New Roman"/>
          <w:lang w:val="en-US"/>
        </w:rPr>
        <w:t xml:space="preserve">Tom Jacobs, </w:t>
      </w:r>
      <w:r>
        <w:rPr>
          <w:rFonts w:ascii="Times New Roman" w:hAnsi="Times New Roman" w:cs="Times New Roman"/>
          <w:i/>
          <w:lang w:val="en-US"/>
        </w:rPr>
        <w:t>Paulus: Hidup, Karya Dan Teologinya</w:t>
      </w:r>
      <w:r>
        <w:rPr>
          <w:rFonts w:ascii="Times New Roman" w:hAnsi="Times New Roman" w:cs="Times New Roman"/>
          <w:lang w:val="en-US"/>
        </w:rPr>
        <w:t xml:space="preserve"> (Jakarta &amp; Yogyakarta: BPK Gunung Mulia &amp; Kanisius, 1983), 93-94.</w:t>
      </w:r>
    </w:p>
    <w:p w14:paraId="46AA3B49">
      <w:pPr>
        <w:pStyle w:val="20"/>
        <w:rPr>
          <w:rFonts w:ascii="Times New Roman" w:hAnsi="Times New Roman" w:cs="Times New Roman"/>
          <w:lang w:val="en-US"/>
        </w:rPr>
      </w:pPr>
      <w:r>
        <w:rPr>
          <w:rFonts w:ascii="Times New Roman" w:hAnsi="Times New Roman" w:cs="Times New Roman"/>
          <w:lang w:val="en-US"/>
        </w:rPr>
        <w:fldChar w:fldCharType="end"/>
      </w:r>
    </w:p>
  </w:footnote>
  <w:footnote w:id="12">
    <w:p w14:paraId="0BB13FF5">
      <w:pPr>
        <w:pStyle w:val="20"/>
        <w:ind w:firstLine="720" w:firstLineChars="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{"citationItems":[{"id":"ITEM-1","itemData":{"author":[{"dropping-particle":"","family":"Teney","given":"Merrill C.","non-dropping-particle":"","parse-names":false,"suffix":""}],"id":"ITEM-1","issued":{"date-parts":[["2003"]]},"publisher":"Gandum Mas","publisher-place":"Malang","title":"Survei Perjanjian Baru","type":"book"},"uris":["http://www.mendeley.com/documents/?uuid=edc1931f-0bf5-4457-8172-90c8fa2d925f","http://www.mendeley.com/documents/?uuid=a46f6809-3268-441f-8af0-b6de3eb52683"]}],"mendeley":{"formattedCitation":"Merrill C. Teney, &lt;i&gt;Survei Perjanjian Baru&lt;/i&gt; (Malang: Gandum Mas, 2003).","manualFormatting":"Merrill C. Teney, Survei Perjanjian Baru (Malang: Gandum Mas, 2003), 375.","plainTextFormattedCitation":"Merrill C. Teney, Survei Perjanjian Baru (Malang: Gandum Mas, 2003).","previouslyFormattedCitation":"Merrill C. Teney, &lt;i&gt;Survei Perjanjian Baru&lt;/i&gt; (Malang: Gandum Mas, 2003)."},"properties":{"noteIndex":4},"schema":"https://github.com/citation-style-language/schema/raw/master/csl-citation.json"}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Merrill C. Teney, </w:t>
      </w:r>
      <w:r>
        <w:rPr>
          <w:rFonts w:ascii="Times New Roman" w:hAnsi="Times New Roman" w:cs="Times New Roman"/>
          <w:i/>
        </w:rPr>
        <w:t>Survei Perjanjian Baru</w:t>
      </w:r>
      <w:r>
        <w:rPr>
          <w:rFonts w:ascii="Times New Roman" w:hAnsi="Times New Roman" w:cs="Times New Roman"/>
        </w:rPr>
        <w:t xml:space="preserve"> (Malang: Gandum Mas, 2003), 375.</w:t>
      </w:r>
      <w:r>
        <w:rPr>
          <w:rFonts w:ascii="Times New Roman" w:hAnsi="Times New Roman" w:cs="Times New Roman"/>
        </w:rPr>
        <w:fldChar w:fldCharType="end"/>
      </w:r>
    </w:p>
  </w:footnote>
  <w:footnote w:id="13">
    <w:p w14:paraId="29EF44B7">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{"citationItems":[{"id":"ITEM-1","itemData":{"author":[{"dropping-particle":"","family":"Drane","given":"John","non-dropping-particle":"","parse-names":false,"suffix":""}],"id":"ITEM-1","issued":{"date-parts":[["2012"]]},"number-of-pages":"400","publisher":"BPK Gunung Mulia","publisher-place":"Jakarta","title":"Memahami Perjanjian Baru","type":"book"},"uris":["http://www.mendeley.com/documents/?uuid=01d7df42-494c-4ace-8586-48007de30495"]}],"mendeley":{"formattedCitation":"John Drane, &lt;i&gt;Memahami Perjanjian Baru&lt;/i&gt; (Jakarta: BPK Gunung Mulia, 2012).","manualFormatting":"John Drane, Memahami Perjanjian Baru (Jakarta: BPK Gunung Mulia, 2012), 369-372.","plainTextFormattedCitation":"John Drane, Memahami Perjanjian Baru (Jakarta: BPK Gunung Mulia, 2012).","previouslyFormattedCitation":"John Drane, &lt;i&gt;Memahami Perjanjian Baru&lt;/i&gt; (Jakarta: BPK Gunung Mulia, 2012)."},"properties":{"noteIndex":5},"schema":"https://github.com/citation-style-language/schema/raw/master/csl-citation.json"}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John Drane, </w:t>
      </w:r>
      <w:r>
        <w:rPr>
          <w:rFonts w:ascii="Times New Roman" w:hAnsi="Times New Roman" w:cs="Times New Roman"/>
          <w:i/>
        </w:rPr>
        <w:t>Memahami Perjanjian Baru</w:t>
      </w:r>
      <w:r>
        <w:rPr>
          <w:rFonts w:ascii="Times New Roman" w:hAnsi="Times New Roman" w:cs="Times New Roman"/>
        </w:rPr>
        <w:t xml:space="preserve"> (Jakarta: BPK Gunung Mulia, 2012), 369-372.</w:t>
      </w:r>
      <w:r>
        <w:rPr>
          <w:rFonts w:ascii="Times New Roman" w:hAnsi="Times New Roman" w:cs="Times New Roman"/>
        </w:rPr>
        <w:fldChar w:fldCharType="end"/>
      </w:r>
    </w:p>
  </w:footnote>
  <w:footnote w:id="14">
    <w:p w14:paraId="5B2BE87C">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{"citationItems":[{"id":"ITEM-1","itemData":{"author":[{"dropping-particle":"","family":"Lea","given":"Thomas D.","non-dropping-particle":"","parse-names":false,"suffix":""}],"id":"ITEM-1","issued":{"date-parts":[["1996"]]},"publisher":"Broadman &amp; Holman","publisher-place":"Nashville","title":"The New Testament: Its Background and Message","type":"book"},"uris":["http://www.mendeley.com/documents/?uuid=c355db04-1c52-4639-9164-06dba96741d4","http://www.mendeley.com/documents/?uuid=da73ea8f-77fa-4439-a096-909685e3ebcf"]}],"mendeley":{"formattedCitation":"Thomas D. Lea, &lt;i&gt;The New Testament: Its Background and Message&lt;/i&gt; (Nashville: Broadman &amp; Holman, 1996).","manualFormatting":"Thomas D. Lea, The New Testament: Its Background and Message (Nashville: Broadman &amp; Holman, 1996), 34.","plainTextFormattedCitation":"Thomas D. Lea, The New Testament: Its Background and Message (Nashville: Broadman &amp; Holman, 1996).","previouslyFormattedCitation":"Thomas D. Lea, &lt;i&gt;The New Testament: Its Background and Message&lt;/i&gt; (Nashville: Broadman &amp; Holman, 1996)."},"properties":{"noteIndex":6},"schema":"https://github.com/citation-style-language/schema/raw/master/csl-citation.json"}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Thomas D. Lea, </w:t>
      </w:r>
      <w:r>
        <w:rPr>
          <w:rFonts w:ascii="Times New Roman" w:hAnsi="Times New Roman" w:cs="Times New Roman"/>
          <w:i/>
        </w:rPr>
        <w:t>The New Testament: Its Background and Message</w:t>
      </w:r>
      <w:r>
        <w:rPr>
          <w:rFonts w:ascii="Times New Roman" w:hAnsi="Times New Roman" w:cs="Times New Roman"/>
        </w:rPr>
        <w:t xml:space="preserve"> (Nashville: Broadman &amp; Holman, 1996), 34.</w:t>
      </w:r>
      <w:r>
        <w:rPr>
          <w:rFonts w:ascii="Times New Roman" w:hAnsi="Times New Roman" w:cs="Times New Roman"/>
        </w:rPr>
        <w:fldChar w:fldCharType="end"/>
      </w:r>
    </w:p>
  </w:footnote>
  <w:footnote w:id="15">
    <w:p w14:paraId="3E82CC3E">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{"citationItems":[{"id":"ITEM-1","itemData":{"author":[{"dropping-particle":"","family":"Stambaugh","given":"John dan David Balch","non-dropping-particle":"","parse-names":false,"suffix":""}],"id":"ITEM-1","issued":{"date-parts":[["1994"]]},"publisher":"BPK Gunung Mulia","publisher-place":"Jakarta","title":"Dunia Sosial Kekristenan Mula-mula","type":"book"},"uris":["http://www.mendeley.com/documents/?uuid=f420f016-1e40-4614-a7d8-ff6b0c319d58","http://www.mendeley.com/documents/?uuid=a92bb7e7-35a4-4faf-a94c-b13773607a65"]}],"mendeley":{"formattedCitation":"John dan David Balch Stambaugh, &lt;i&gt;Dunia Sosial Kekristenan Mula-Mula&lt;/i&gt; (Jakarta: BPK Gunung Mulia, 1994).","manualFormatting":"John Stambaugh, dan David Balch, Dunia Sosial Kekristenan Mula-Mula (Jakarta: BPK Gunung Mulia, 1994).","plainTextFormattedCitation":"John dan David Balch Stambaugh, Dunia Sosial Kekristenan Mula-Mula (Jakarta: BPK Gunung Mulia, 1994).","previouslyFormattedCitation":"John dan David Balch Stambaugh, &lt;i&gt;Dunia Sosial Kekristenan Mula-Mula&lt;/i&gt; (Jakarta: BPK Gunung Mulia, 1994)."},"properties":{"noteIndex":7},"schema":"https://github.com/citation-style-language/schema/raw/master/csl-citation.json"}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John Stambaugh, dan David Balch, </w:t>
      </w:r>
      <w:r>
        <w:rPr>
          <w:rFonts w:ascii="Times New Roman" w:hAnsi="Times New Roman" w:cs="Times New Roman"/>
          <w:i/>
        </w:rPr>
        <w:t>Dunia Sosial Kekristenan Mula-Mula</w:t>
      </w:r>
      <w:r>
        <w:rPr>
          <w:rFonts w:ascii="Times New Roman" w:hAnsi="Times New Roman" w:cs="Times New Roman"/>
        </w:rPr>
        <w:t xml:space="preserve"> (Jakarta: BPK Gunung Mulia, 1994).</w:t>
      </w:r>
      <w:r>
        <w:rPr>
          <w:rFonts w:ascii="Times New Roman" w:hAnsi="Times New Roman" w:cs="Times New Roman"/>
        </w:rPr>
        <w:fldChar w:fldCharType="end"/>
      </w:r>
    </w:p>
  </w:footnote>
  <w:footnote w:id="16">
    <w:p w14:paraId="3AE22F48">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{"citationItems":[{"id":"ITEM-1","itemData":{"author":[{"dropping-particle":"","family":"Lea","given":"Thomas D.","non-dropping-particle":"","parse-names":false,"suffix":""}],"id":"ITEM-1","issued":{"date-parts":[["1996"]]},"publisher":"Broadman &amp; Holman","publisher-place":"Nashville","title":"The New Testament: Its Background and Message","type":"book"},"uris":["http://www.mendeley.com/documents/?uuid=da73ea8f-77fa-4439-a096-909685e3ebcf","http://www.mendeley.com/documents/?uuid=c355db04-1c52-4639-9164-06dba96741d4"]}],"mendeley":{"formattedCitation":"Lea, &lt;i&gt;The New Testament: Its Background and Message&lt;/i&gt;.","manualFormatting":"Lea, The New Testament: Its Background and Message, 33.","plainTextFormattedCitation":"Lea, The New Testament: Its Background and Message.","previouslyFormattedCitation":"Lea, &lt;i&gt;The New Testament: Its Background and Message&lt;/i&gt;."},"properties":{"noteIndex":8},"schema":"https://github.com/citation-style-language/schema/raw/master/csl-citation.json"}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Lea, </w:t>
      </w:r>
      <w:r>
        <w:rPr>
          <w:rFonts w:ascii="Times New Roman" w:hAnsi="Times New Roman" w:cs="Times New Roman"/>
          <w:i/>
        </w:rPr>
        <w:t>The New Testament: Its Background and Message</w:t>
      </w:r>
      <w:r>
        <w:rPr>
          <w:rFonts w:ascii="Times New Roman" w:hAnsi="Times New Roman" w:cs="Times New Roman"/>
          <w:iCs/>
        </w:rPr>
        <w:t>, 33</w:t>
      </w:r>
      <w:r>
        <w:rPr>
          <w:rFonts w:ascii="Times New Roman" w:hAnsi="Times New Roman" w:cs="Times New Roman"/>
        </w:rPr>
        <w:t>.</w:t>
      </w:r>
      <w:r>
        <w:rPr>
          <w:rFonts w:ascii="Times New Roman" w:hAnsi="Times New Roman" w:cs="Times New Roman"/>
        </w:rPr>
        <w:fldChar w:fldCharType="end"/>
      </w:r>
    </w:p>
  </w:footnote>
  <w:footnote w:id="17">
    <w:p w14:paraId="123C9EF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{"citationItems":[{"id":"ITEM-1","itemData":{"author":[{"dropping-particle":"","family":"Setyawan","given":"B. Yusak","non-dropping-particle":"","parse-names":false,"suffix":""}],"id":"ITEM-1","issued":{"date-parts":[["2015"]]},"publisher":"Fakultas Teologi UKSW","publisher-place":"Salatiga","title":"Pengantar untuk Studi Hermeneutik Perjanjian Baru","type":"book"},"uris":["http://www.mendeley.com/documents/?uuid=db8b8b64-bc0d-47cb-adc4-ff6cca22cdbf"]}],"mendeley":{"formattedCitation":"B. Yusak Setyawan, &lt;i&gt;Pengantar Untuk Studi Hermeneutik Perjanjian Baru&lt;/i&gt; (Salatiga: Fakultas Teologi UKSW, 2015).","manualFormatting":"Yusak B. Setyawan, Pengantar Untuk Studi Hermeneutik Perjanjian Baru (Salatiga: UKSW, 2015), 50-51.","plainTextFormattedCitation":"B. Yusak Setyawan, Pengantar Untuk Studi Hermeneutik Perjanjian Baru (Salatiga: Fakultas Teologi UKSW, 2015).","previouslyFormattedCitation":"Yusak B. Setyawan, &lt;i&gt;Pengantar Untuk Studi Hermeneutik Perjanjian Baru&lt;/i&gt; (Salatiga: UKSW, 2015)."},"properties":{"noteIndex":9},"schema":"https://github.com/citation-style-language/schema/raw/master/csl-citation.json"}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Yusak B. Setyawan, </w:t>
      </w:r>
      <w:r>
        <w:rPr>
          <w:rFonts w:ascii="Times New Roman" w:hAnsi="Times New Roman" w:cs="Times New Roman"/>
          <w:i/>
        </w:rPr>
        <w:t>Pengantar Untuk Studi Hermeneutik Perjanjian Baru</w:t>
      </w:r>
      <w:r>
        <w:rPr>
          <w:rFonts w:ascii="Times New Roman" w:hAnsi="Times New Roman" w:cs="Times New Roman"/>
        </w:rPr>
        <w:t xml:space="preserve"> (Salatiga: UKSW, 2015), 50-51.</w:t>
      </w:r>
      <w:r>
        <w:rPr>
          <w:rFonts w:ascii="Times New Roman" w:hAnsi="Times New Roman" w:cs="Times New Roman"/>
        </w:rPr>
        <w:fldChar w:fldCharType="end"/>
      </w:r>
    </w:p>
  </w:footnote>
  <w:footnote w:id="18">
    <w:p w14:paraId="3AAA6FD3">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Context","type":"book"},"uris":["http://www.mendeley.com/documents/?uuid=619efdc2-ef1a-46dd-980a-53e41b4fa6a9","http://www.mendeley.com/documents/?uuid=c41ed969-8220-407b-a96a-16b393f70402"]}],"mendeley":{"formattedCitation":"Joel B. and Lee Martin McDonald Green, &lt;i&gt;The World of the New Testament: Cultural, Social, and Historical Context&lt;/i&gt; (Grand Rapids: Baker Academic, 2013).","manualFormatting":"Joel B. Green, and Lee Martin McDonald, The World of the New Testament: Cultural, Social, and Historical Context (Grand Rapids: Baker Academic, 2013), 565.","plainTextFormattedCitation":"Joel B. and Lee Martin McDonald Green, The World of the New Testament: Cultural, Social, and Historical Context (Grand Rapids: Baker Academic, 2013).","previouslyFormattedCitation":"Joel B. and Lee Martin McDonald Green, &lt;i&gt;The World of the New Testament: Cultural, Social, and Historical Context&lt;/i&gt; (Grand Rapids: Baker Academic, 2013)."},"properties":{"noteIndex":10},"schema":"https://github.com/citation-style-language/schema/raw/master/csl-citation.json"}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Joel B. Green, and Lee Martin McDonald, </w:t>
      </w:r>
      <w:r>
        <w:rPr>
          <w:rFonts w:ascii="Times New Roman" w:hAnsi="Times New Roman" w:cs="Times New Roman"/>
          <w:i/>
        </w:rPr>
        <w:t>The World of the New Testament: Cultural, Social, and Historical Context</w:t>
      </w:r>
      <w:r>
        <w:rPr>
          <w:rFonts w:ascii="Times New Roman" w:hAnsi="Times New Roman" w:cs="Times New Roman"/>
        </w:rPr>
        <w:t xml:space="preserve"> (Grand Rapids: Baker Academic, 2013), 565.</w:t>
      </w:r>
      <w:r>
        <w:rPr>
          <w:rFonts w:ascii="Times New Roman" w:hAnsi="Times New Roman" w:cs="Times New Roman"/>
        </w:rPr>
        <w:fldChar w:fldCharType="end"/>
      </w:r>
    </w:p>
  </w:footnote>
  <w:footnote w:id="19">
    <w:p w14:paraId="3790B730">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Guide","type":"book"},"uris":["http://www.mendeley.com/documents/?uuid=6cc17b52-20bf-43b0-b531-4b8343da07bb","http://www.mendeley.com/documents/?uuid=3fedeac4-119c-44d8-b404-024be6776972"]}],"mendeley":{"formattedCitation":"Warren Carter, &lt;i&gt;The Roman Empire and The New Testament: An Essential Guide&lt;/i&gt; (Nashville: TN Abingdon Press, 2006).","manualFormatting":"Warren Carter, The Roman Empire and The New Testament: An Essential Guide (Nashville: TN Abingdon Press, 2006), 5-6.","plainTextFormattedCitation":"Warren Carter, The Roman Empire and The New Testament: An Essential Guide (Nashville: TN Abingdon Press, 2006).","previouslyFormattedCitation":"Warren Carter, &lt;i&gt;The Roman Empire and The New Testament: An Essential Guide&lt;/i&gt; (Nashville: TN Abingdon Press, 2006)."},"properties":{"noteIndex":11},"schema":"https://github.com/citation-style-language/schema/raw/master/csl-citation.json"}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Warren Carter, </w:t>
      </w:r>
      <w:r>
        <w:rPr>
          <w:rFonts w:ascii="Times New Roman" w:hAnsi="Times New Roman" w:cs="Times New Roman"/>
          <w:i/>
        </w:rPr>
        <w:t>The Roman Empire and The New Testament: An Essential Guide</w:t>
      </w:r>
      <w:r>
        <w:rPr>
          <w:rFonts w:ascii="Times New Roman" w:hAnsi="Times New Roman" w:cs="Times New Roman"/>
        </w:rPr>
        <w:t xml:space="preserve"> (Nashville: TN Abingdon Press, 2006), 5-6.</w:t>
      </w:r>
      <w:r>
        <w:rPr>
          <w:rFonts w:ascii="Times New Roman" w:hAnsi="Times New Roman" w:cs="Times New Roman"/>
        </w:rPr>
        <w:fldChar w:fldCharType="end"/>
      </w:r>
    </w:p>
  </w:footnote>
  <w:footnote w:id="20">
    <w:p w14:paraId="45D0757E">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Ibid., 8</w:t>
      </w:r>
    </w:p>
  </w:footnote>
  <w:footnote w:id="21">
    <w:p w14:paraId="6938406E">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Guide","type":"book"},"uris":["http://www.mendeley.com/documents/?uuid=3fedeac4-119c-44d8-b404-024be6776972","http://www.mendeley.com/documents/?uuid=6cc17b52-20bf-43b0-b531-4b8343da07bb"]}],"mendeley":{"formattedCitation":"Carter, &lt;i&gt;The Roman Empire and The New Testament: An Essential Guide&lt;/i&gt;.","manualFormatting":"Carter, The Roman Empire and The New Testament: An Essential Guide, 10.","plainTextFormattedCitation":"Carter, The Roman Empire and The New Testament: An Essential Guide.","previouslyFormattedCitation":"Carter, &lt;i&gt;The Roman Empire and The New Testament: An Essential Guide&lt;/i&gt;."},"properties":{"noteIndex":13},"schema":"https://github.com/citation-style-language/schema/raw/master/csl-citation.json"}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Carter, </w:t>
      </w:r>
      <w:r>
        <w:rPr>
          <w:rFonts w:ascii="Times New Roman" w:hAnsi="Times New Roman" w:cs="Times New Roman"/>
          <w:i/>
        </w:rPr>
        <w:t>The Roman Empire and The New Testament: An Essential Guide</w:t>
      </w:r>
      <w:r>
        <w:rPr>
          <w:rFonts w:ascii="Times New Roman" w:hAnsi="Times New Roman" w:cs="Times New Roman"/>
          <w:iCs/>
        </w:rPr>
        <w:t>, 10</w:t>
      </w:r>
      <w:r>
        <w:rPr>
          <w:rFonts w:ascii="Times New Roman" w:hAnsi="Times New Roman" w:cs="Times New Roman"/>
        </w:rPr>
        <w:t>.</w:t>
      </w:r>
      <w:r>
        <w:rPr>
          <w:rFonts w:ascii="Times New Roman" w:hAnsi="Times New Roman" w:cs="Times New Roman"/>
        </w:rPr>
        <w:fldChar w:fldCharType="end"/>
      </w:r>
    </w:p>
  </w:footnote>
  <w:footnote w:id="22">
    <w:p w14:paraId="2E0CBE1D">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565.","plainTextFormattedCitation":"Green, The World of the New Testament: Cultural, Social, and Historical Context.","previouslyFormattedCitation":"Green, &lt;i&gt;The World of the New Testament: Cultural, Social, and Historical Context&lt;/i&gt;."},"properties":{"noteIndex":14},"schema":"https://github.com/citation-style-language/schema/raw/master/csl-citation.json"}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Green, </w:t>
      </w:r>
      <w:r>
        <w:rPr>
          <w:rFonts w:ascii="Times New Roman" w:hAnsi="Times New Roman" w:cs="Times New Roman"/>
          <w:i/>
        </w:rPr>
        <w:t>The World of the New Testament: Cultural, Social, and Historical Context</w:t>
      </w:r>
      <w:r>
        <w:rPr>
          <w:rFonts w:ascii="Times New Roman" w:hAnsi="Times New Roman" w:cs="Times New Roman"/>
          <w:iCs/>
        </w:rPr>
        <w:t>, 565</w:t>
      </w:r>
      <w:r>
        <w:rPr>
          <w:rFonts w:ascii="Times New Roman" w:hAnsi="Times New Roman" w:cs="Times New Roman"/>
        </w:rPr>
        <w:t>.</w:t>
      </w:r>
      <w:r>
        <w:rPr>
          <w:rFonts w:ascii="Times New Roman" w:hAnsi="Times New Roman" w:cs="Times New Roman"/>
        </w:rPr>
        <w:fldChar w:fldCharType="end"/>
      </w:r>
    </w:p>
  </w:footnote>
  <w:footnote w:id="23">
    <w:p w14:paraId="39E62591">
      <w:pPr>
        <w:pStyle w:val="20"/>
        <w:ind w:left="360" w:firstLine="36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Ibid., 559.</w:t>
      </w:r>
    </w:p>
  </w:footnote>
  <w:footnote w:id="24">
    <w:p w14:paraId="4D3C0D0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Guide","type":"book"},"uris":["http://www.mendeley.com/documents/?uuid=3fedeac4-119c-44d8-b404-024be6776972","http://www.mendeley.com/documents/?uuid=6cc17b52-20bf-43b0-b531-4b8343da07bb"]}],"mendeley":{"formattedCitation":"Carter, &lt;i&gt;The Roman Empire and The New Testament: An Essential Guide&lt;/i&gt;.","manualFormatting":"Carter, The Roman Empire and The New Testament: An Essential Guide, 4-5.","plainTextFormattedCitation":"Carter, The Roman Empire and The New Testament: An Essential Guide.","previouslyFormattedCitation":"Carter, &lt;i&gt;The Roman Empire and The New Testament: An Essential Guide&lt;/i&gt;."},"properties":{"noteIndex":16},"schema":"https://github.com/citation-style-language/schema/raw/master/csl-citation.json"}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Carter, </w:t>
      </w:r>
      <w:r>
        <w:rPr>
          <w:rFonts w:ascii="Times New Roman" w:hAnsi="Times New Roman" w:cs="Times New Roman"/>
          <w:i/>
        </w:rPr>
        <w:t>The Roman Empire and The New Testament: An Essential Guide</w:t>
      </w:r>
      <w:r>
        <w:rPr>
          <w:rFonts w:ascii="Times New Roman" w:hAnsi="Times New Roman" w:cs="Times New Roman"/>
          <w:iCs/>
        </w:rPr>
        <w:t>, 4-5</w:t>
      </w:r>
      <w:r>
        <w:rPr>
          <w:rFonts w:ascii="Times New Roman" w:hAnsi="Times New Roman" w:cs="Times New Roman"/>
        </w:rPr>
        <w:t>.</w:t>
      </w:r>
      <w:r>
        <w:rPr>
          <w:rFonts w:ascii="Times New Roman" w:hAnsi="Times New Roman" w:cs="Times New Roman"/>
        </w:rPr>
        <w:fldChar w:fldCharType="end"/>
      </w:r>
    </w:p>
  </w:footnote>
  <w:footnote w:id="25">
    <w:p w14:paraId="13CBDDB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561.","plainTextFormattedCitation":"Green, The World of the New Testament: Cultural, Social, and Historical Context.","previouslyFormattedCitation":"Green, &lt;i&gt;The World of the New Testament: Cultural, Social, and Historical Context&lt;/i&gt;."},"properties":{"noteIndex":17},"schema":"https://github.com/citation-style-language/schema/raw/master/csl-citation.json"}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Green, </w:t>
      </w:r>
      <w:r>
        <w:rPr>
          <w:rFonts w:ascii="Times New Roman" w:hAnsi="Times New Roman" w:cs="Times New Roman"/>
          <w:i/>
        </w:rPr>
        <w:t>The World of the New Testament: Cultural, Social, and Historical Context</w:t>
      </w:r>
      <w:r>
        <w:rPr>
          <w:rFonts w:ascii="Times New Roman" w:hAnsi="Times New Roman" w:cs="Times New Roman"/>
          <w:iCs/>
        </w:rPr>
        <w:t>, 561</w:t>
      </w:r>
      <w:r>
        <w:rPr>
          <w:rFonts w:ascii="Times New Roman" w:hAnsi="Times New Roman" w:cs="Times New Roman"/>
        </w:rPr>
        <w:t>.</w:t>
      </w:r>
      <w:r>
        <w:rPr>
          <w:rFonts w:ascii="Times New Roman" w:hAnsi="Times New Roman" w:cs="Times New Roman"/>
        </w:rPr>
        <w:fldChar w:fldCharType="end"/>
      </w:r>
    </w:p>
  </w:footnote>
  <w:footnote w:id="26">
    <w:p w14:paraId="0F04B296">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{"citationItems":[{"id":"ITEM-1","itemData":{"author":[{"dropping-particle":"","family":"Stambaugh","given":"John dan David Balch","non-dropping-particle":"","parse-names":false,"suffix":""}],"id":"ITEM-1","issued":{"date-parts":[["1994"]]},"publisher":"BPK Gunung Mulia","publisher-place":"Jakarta","title":"Dunia Sosial Kekristenan Mula-mula","type":"book"},"uris":["http://www.mendeley.com/documents/?uuid=a92bb7e7-35a4-4faf-a94c-b13773607a65","http://www.mendeley.com/documents/?uuid=f420f016-1e40-4614-a7d8-ff6b0c319d58"]}],"mendeley":{"formattedCitation":"Stambaugh, &lt;i&gt;Dunia Sosial Kekristenan Mula-Mula&lt;/i&gt;.","manualFormatting":"Stambaugh, Dunia Sosial Kekristenan Mula-Mula, 85.","plainTextFormattedCitation":"Stambaugh, Dunia Sosial Kekristenan Mula-Mula.","previouslyFormattedCitation":"Stambaugh, &lt;i&gt;Dunia Sosial Kekristenan Mula-Mula&lt;/i&gt;."},"properties":{"noteIndex":18},"schema":"https://github.com/citation-style-language/schema/raw/master/csl-citation.json"}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Stambaugh, </w:t>
      </w:r>
      <w:r>
        <w:rPr>
          <w:rFonts w:ascii="Times New Roman" w:hAnsi="Times New Roman" w:cs="Times New Roman"/>
          <w:i/>
        </w:rPr>
        <w:t>Dunia Sosial Kekristenan Mula-Mula, 85</w:t>
      </w:r>
      <w:r>
        <w:rPr>
          <w:rFonts w:ascii="Times New Roman" w:hAnsi="Times New Roman" w:cs="Times New Roman"/>
        </w:rPr>
        <w:t>.</w:t>
      </w:r>
      <w:r>
        <w:rPr>
          <w:rFonts w:ascii="Times New Roman" w:hAnsi="Times New Roman" w:cs="Times New Roman"/>
        </w:rPr>
        <w:fldChar w:fldCharType="end"/>
      </w:r>
    </w:p>
  </w:footnote>
  <w:footnote w:id="27">
    <w:p w14:paraId="4243CB75">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Ibid., 28-29.</w:t>
      </w:r>
    </w:p>
  </w:footnote>
  <w:footnote w:id="28">
    <w:p w14:paraId="3DE10C5D">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567.","plainTextFormattedCitation":"Green, The World of the New Testament: Cultural, Social, and Historical Context.","previouslyFormattedCitation":"Green, &lt;i&gt;The World of the New Testament: Cultural, Social, and Historical Context&lt;/i&gt;."},"properties":{"noteIndex":20},"schema":"https://github.com/citation-style-language/schema/raw/master/csl-citation.json"}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Green, </w:t>
      </w:r>
      <w:r>
        <w:rPr>
          <w:rFonts w:ascii="Times New Roman" w:hAnsi="Times New Roman" w:cs="Times New Roman"/>
          <w:i/>
        </w:rPr>
        <w:t>The World of the New Testament: Cultural, Social, and Historical Context</w:t>
      </w:r>
      <w:r>
        <w:rPr>
          <w:rFonts w:ascii="Times New Roman" w:hAnsi="Times New Roman" w:cs="Times New Roman"/>
          <w:iCs/>
        </w:rPr>
        <w:t>, 567</w:t>
      </w:r>
      <w:r>
        <w:rPr>
          <w:rFonts w:ascii="Times New Roman" w:hAnsi="Times New Roman" w:cs="Times New Roman"/>
        </w:rPr>
        <w:t>.</w:t>
      </w:r>
      <w:r>
        <w:rPr>
          <w:rFonts w:ascii="Times New Roman" w:hAnsi="Times New Roman" w:cs="Times New Roman"/>
        </w:rPr>
        <w:fldChar w:fldCharType="end"/>
      </w:r>
    </w:p>
  </w:footnote>
  <w:footnote w:id="29">
    <w:p w14:paraId="7DA422D9">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{"citationItems":[{"id":"ITEM-1","itemData":{"author":[{"dropping-particle":"","family":"Potter","given":"David S.","non-dropping-particle":"","parse-names":false,"suffix":""}],"id":"ITEM-1","issued":{"date-parts":[["2006"]]},"publisher":"Blackwell Publishing","publisher-place":"Malden","title":"A Companion to the Roman Empire","type":"book"},"uris":["http://www.mendeley.com/documents/?uuid=54f0bce6-5a4d-46b7-9078-19a9adec92d9","http://www.mendeley.com/documents/?uuid=884d546d-778d-4c4f-95d5-9aa4796fb01f"]}],"mendeley":{"formattedCitation":"David S. Potter, &lt;i&gt;A Companion to the Roman Empire&lt;/i&gt; (Malden: Blackwell Publishing, 2006).","manualFormatting":"David S. Potter, A Companion to the Roman Empire (Malden: Blackwell Publishing, 2006), 569.","plainTextFormattedCitation":"David S. Potter, A Companion to the Roman Empire (Malden: Blackwell Publishing, 2006).","previouslyFormattedCitation":"David S. Potter, &lt;i&gt;A Companion to the Roman Empire&lt;/i&gt; (Malden: Blackwell Publishing, 2006)."},"properties":{"noteIndex":21},"schema":"https://github.com/citation-style-language/schema/raw/master/csl-citation.json"}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David S. Potter, </w:t>
      </w:r>
      <w:r>
        <w:rPr>
          <w:rFonts w:ascii="Times New Roman" w:hAnsi="Times New Roman" w:cs="Times New Roman"/>
          <w:i/>
        </w:rPr>
        <w:t>A Companion to the Roman Empire</w:t>
      </w:r>
      <w:r>
        <w:rPr>
          <w:rFonts w:ascii="Times New Roman" w:hAnsi="Times New Roman" w:cs="Times New Roman"/>
        </w:rPr>
        <w:t xml:space="preserve"> (Malden: Blackwell Publishing, 2006), 569.</w:t>
      </w:r>
      <w:r>
        <w:rPr>
          <w:rFonts w:ascii="Times New Roman" w:hAnsi="Times New Roman" w:cs="Times New Roman"/>
        </w:rPr>
        <w:fldChar w:fldCharType="end"/>
      </w:r>
    </w:p>
  </w:footnote>
  <w:footnote w:id="30">
    <w:p w14:paraId="1CD9E196">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{"citationItems":[{"id":"ITEM-1","itemData":{"author":[{"dropping-particle":"","family":"Wright","given":"N. T","non-dropping-particle":"","parse-names":false,"suffix":""}],"id":"ITEM-1","issued":{"date-parts":[["2005"]]},"publisher":"Fortress Press","publisher-place":"Minneapolis","title":"Paul in Fresh Perspective","type":"book"},"uris":["http://www.mendeley.com/documents/?uuid=55d2d27e-bc26-4c8f-bb16-3d72c4dc6991","http://www.mendeley.com/documents/?uuid=1798b64e-4387-46c6-8d5d-df175696afda"]}],"mendeley":{"formattedCitation":"N. T Wright, &lt;i&gt;Paul in Fresh Perspective&lt;/i&gt; (Minneapolis: Fortress Press, 2005).","manualFormatting":"N. T Wright, Paul in Fresh Perspective (Minneapolis: Fortress Press, 2005), 69.","plainTextFormattedCitation":"N. T Wright, Paul in Fresh Perspective (Minneapolis: Fortress Press, 2005).","previouslyFormattedCitation":"N. T Wright, &lt;i&gt;Paul in Fresh Perspective&lt;/i&gt; (Minneapolis: Fortress Press, 2005)."},"properties":{"noteIndex":22},"schema":"https://github.com/citation-style-language/schema/raw/master/csl-citation.json"}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N. T Wright, </w:t>
      </w:r>
      <w:r>
        <w:rPr>
          <w:rFonts w:ascii="Times New Roman" w:hAnsi="Times New Roman" w:cs="Times New Roman"/>
          <w:i/>
        </w:rPr>
        <w:t>Paul in Fresh Perspective</w:t>
      </w:r>
      <w:r>
        <w:rPr>
          <w:rFonts w:ascii="Times New Roman" w:hAnsi="Times New Roman" w:cs="Times New Roman"/>
        </w:rPr>
        <w:t xml:space="preserve"> (Minneapolis: Fortress Press, 2005), 69.</w:t>
      </w:r>
      <w:r>
        <w:rPr>
          <w:rFonts w:ascii="Times New Roman" w:hAnsi="Times New Roman" w:cs="Times New Roman"/>
        </w:rPr>
        <w:fldChar w:fldCharType="end"/>
      </w:r>
    </w:p>
  </w:footnote>
  <w:footnote w:id="31">
    <w:p w14:paraId="6DAFE99E">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roenen","given":"C.","non-dropping-particle":"","parse-names":false,"suffix":""}],"id":"ITEM-1","issued":{"date-parts":[["1986"]]},"publisher":"Kanisius","publisher-place":"Yogyakarta","title":"Pengantar Ke Dalam Perjanjian Baru","type":"book"},"uris":["http://www.mendeley.com/documents/?uuid=45f0bf72-627a-46fc-b0fb-7cf29f5e857a","http://www.mendeley.com/documents/?uuid=016fa361-b770-44ce-acac-825f1226b9d5"]}],"mendeley":{"formattedCitation":"C. Groenen, &lt;i&gt;Pengantar Ke Dalam Perjanjian Baru&lt;/i&gt; (Yogyakarta: Kanisius, 1986).","manualFormatting":"Groenen, Pengantar Ke Dalam Perjanjian Baru, 62.","plainTextFormattedCitation":"C. Groenen, Pengantar Ke Dalam Perjanjian Baru (Yogyakarta: Kanisius, 1986).","previouslyFormattedCitation":"Groenen, &lt;i&gt;Pengantar Ke Dalam Perjanjian Baru&lt;/i&gt;."},"properties":{"noteIndex":23},"schema":"https://github.com/citation-style-language/schema/raw/master/csl-citation.json"}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Groenen, </w:t>
      </w:r>
      <w:r>
        <w:rPr>
          <w:rFonts w:ascii="Times New Roman" w:hAnsi="Times New Roman" w:cs="Times New Roman"/>
          <w:i/>
        </w:rPr>
        <w:t>Pengantar Ke Dalam Perjanjian Baru</w:t>
      </w:r>
      <w:r>
        <w:rPr>
          <w:rFonts w:ascii="Times New Roman" w:hAnsi="Times New Roman" w:cs="Times New Roman"/>
          <w:iCs/>
        </w:rPr>
        <w:t>, 62</w:t>
      </w:r>
      <w:r>
        <w:rPr>
          <w:rFonts w:ascii="Times New Roman" w:hAnsi="Times New Roman" w:cs="Times New Roman"/>
        </w:rPr>
        <w:t>.</w:t>
      </w:r>
      <w:r>
        <w:rPr>
          <w:rFonts w:ascii="Times New Roman" w:hAnsi="Times New Roman" w:cs="Times New Roman"/>
        </w:rPr>
        <w:fldChar w:fldCharType="end"/>
      </w:r>
    </w:p>
  </w:footnote>
  <w:footnote w:id="32">
    <w:p w14:paraId="10A24019">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{"citationItems":[{"id":"ITEM-1","itemData":{"author":[{"dropping-particle":"","family":"David Ibrahim","given":"","non-dropping-particle":"","parse-names":false,"suffix":""}],"id":"ITEM-1","issued":{"date-parts":[["2011"]]},"number-of-pages":"400","publisher":"Andi Offset","publisher-place":"Yogyakarta","title":"Tafsiran Surat Roma","type":"book"},"uris":["http://www.mendeley.com/documents/?uuid=c96c3419-ea3a-4fa4-8217-a854c74936bf"]}],"mendeley":{"formattedCitation":"David Ibrahim, &lt;i&gt;Tafsiran Surat Roma&lt;/i&gt; (Yogyakarta: Andi Offset, 2011).","manualFormatting":"David Ibrahim, Tafsiran Surat Roma (Yogyakarta: ANDI, 2011), 272-273.","plainTextFormattedCitation":"David Ibrahim, Tafsiran Surat Roma (Yogyakarta: Andi Offset, 2011).","previouslyFormattedCitation":"David Ibrahim, &lt;i&gt;Tafsiran Surat Roma&lt;/i&gt; (Yogyakarta: ANDI, 2011)."},"properties":{"noteIndex":24},"schema":"https://github.com/citation-style-language/schema/raw/master/csl-citation.json"}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David Ibrahim, </w:t>
      </w:r>
      <w:r>
        <w:rPr>
          <w:rFonts w:ascii="Times New Roman" w:hAnsi="Times New Roman" w:cs="Times New Roman"/>
          <w:i/>
        </w:rPr>
        <w:t>Tafsiran Surat Roma</w:t>
      </w:r>
      <w:r>
        <w:rPr>
          <w:rFonts w:ascii="Times New Roman" w:hAnsi="Times New Roman" w:cs="Times New Roman"/>
        </w:rPr>
        <w:t xml:space="preserve"> (Yogyakarta: ANDI, 2011), 272-273.</w:t>
      </w:r>
      <w:r>
        <w:rPr>
          <w:rFonts w:ascii="Times New Roman" w:hAnsi="Times New Roman" w:cs="Times New Roman"/>
        </w:rPr>
        <w:fldChar w:fldCharType="end"/>
      </w:r>
    </w:p>
  </w:footnote>
  <w:footnote w:id="33">
    <w:p w14:paraId="3B81AF90">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Romans","type":"book"},"uris":["http://www.mendeley.com/documents/?uuid=1eead6a3-a6b7-44b5-8912-cbd803fc5985","http://www.mendeley.com/documents/?uuid=959dc268-f182-49f1-9c84-c75c894460e5"]}],"mendeley":{"formattedCitation":"Michael F. Bird, &lt;i&gt;The Story of God Bible Commentary: Romans&lt;/i&gt; (Grand Rapids: Zondervan, 2016).","manualFormatting":"Michael F. Bird, The Story of God Bible Commentary: Romans (Grand Rapids: Zondervan, 2016), 444.","plainTextFormattedCitation":"Michael F. Bird, The Story of God Bible Commentary: Romans (Grand Rapids: Zondervan, 2016).","previouslyFormattedCitation":"Michael F. Bird, &lt;i&gt;The Story of God Bible Commentary: Romans&lt;/i&gt; (Grand Rapids: Zondervan, 2016)."},"properties":{"noteIndex":25},"schema":"https://github.com/citation-style-language/schema/raw/master/csl-citation.json"}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Michael F. Bird, </w:t>
      </w:r>
      <w:r>
        <w:rPr>
          <w:rFonts w:ascii="Times New Roman" w:hAnsi="Times New Roman" w:cs="Times New Roman"/>
          <w:i/>
        </w:rPr>
        <w:t>The Story of God Bible Commentary: Romans</w:t>
      </w:r>
      <w:r>
        <w:rPr>
          <w:rFonts w:ascii="Times New Roman" w:hAnsi="Times New Roman" w:cs="Times New Roman"/>
        </w:rPr>
        <w:t xml:space="preserve"> (Grand Rapids: Zondervan, 2016), 444.</w:t>
      </w:r>
      <w:r>
        <w:rPr>
          <w:rFonts w:ascii="Times New Roman" w:hAnsi="Times New Roman" w:cs="Times New Roman"/>
        </w:rPr>
        <w:fldChar w:fldCharType="end"/>
      </w:r>
    </w:p>
  </w:footnote>
  <w:footnote w:id="34">
    <w:p w14:paraId="7938EECA">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{"citationItems":[{"id":"ITEM-1","itemData":{"author":[{"dropping-particle":"","family":"Matera","given":"Frank J.","non-dropping-particle":"","parse-names":false,"suffix":""}],"id":"ITEM-1","issued":{"date-parts":[["2010"]]},"publisher":"Baker Academic","publisher-place":"Grand Rapids","title":"Romans: Comentaries on the New Testament","type":"book"},"uris":["http://www.mendeley.com/documents/?uuid=d5a303c7-e416-476d-a493-8822003b2f95","http://www.mendeley.com/documents/?uuid=dde8cd39-2d2a-4cae-ad4d-f72678a844e4"]}],"mendeley":{"formattedCitation":"Frank J. Matera, &lt;i&gt;Romans: Comentaries on the New Testament&lt;/i&gt; (Grand Rapids: Baker Academic, 2010).","manualFormatting":"Frank J. Matera, Romans: Comentaries on the New Testament (Grand Rapids: Baker Academic, 2010), 294.","plainTextFormattedCitation":"Frank J. Matera, Romans: Comentaries on the New Testament (Grand Rapids: Baker Academic, 2010).","previouslyFormattedCitation":"Frank J. Matera, &lt;i&gt;Romans: Comentaries on the New Testament&lt;/i&gt; (Grand Rapids: Baker Academic, 2010)."},"properties":{"noteIndex":26},"schema":"https://github.com/citation-style-language/schema/raw/master/csl-citation.json"}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Frank J. Matera, </w:t>
      </w:r>
      <w:r>
        <w:rPr>
          <w:rFonts w:ascii="Times New Roman" w:hAnsi="Times New Roman" w:cs="Times New Roman"/>
          <w:i/>
        </w:rPr>
        <w:t>Romans: Comentaries on the New Testament</w:t>
      </w:r>
      <w:r>
        <w:rPr>
          <w:rFonts w:ascii="Times New Roman" w:hAnsi="Times New Roman" w:cs="Times New Roman"/>
        </w:rPr>
        <w:t xml:space="preserve"> (Grand Rapids: Baker Academic, 2010), 294.</w:t>
      </w:r>
      <w:r>
        <w:rPr>
          <w:rFonts w:ascii="Times New Roman" w:hAnsi="Times New Roman" w:cs="Times New Roman"/>
        </w:rPr>
        <w:fldChar w:fldCharType="end"/>
      </w:r>
    </w:p>
  </w:footnote>
  <w:footnote w:id="35">
    <w:p w14:paraId="182DC687">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Romans","type":"book"},"uris":["http://www.mendeley.com/documents/?uuid=959dc268-f182-49f1-9c84-c75c894460e5","http://www.mendeley.com/documents/?uuid=1eead6a3-a6b7-44b5-8912-cbd803fc5985"]}],"mendeley":{"formattedCitation":"Bird, &lt;i&gt;The Story of God Bible Commentary: Romans&lt;/i&gt;.","manualFormatting":"Bird, The Story of God Bible Commentary: Romans, 444.","plainTextFormattedCitation":"Bird, The Story of God Bible Commentary: Romans.","previouslyFormattedCitation":"Bird, &lt;i&gt;The Story of God Bible Commentary: Romans&lt;/i&gt;."},"properties":{"noteIndex":27},"schema":"https://github.com/citation-style-language/schema/raw/master/csl-citation.json"}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Bird, </w:t>
      </w:r>
      <w:r>
        <w:rPr>
          <w:rFonts w:ascii="Times New Roman" w:hAnsi="Times New Roman" w:cs="Times New Roman"/>
          <w:i/>
        </w:rPr>
        <w:t>The Story of God Bible Commentary: Romans</w:t>
      </w:r>
      <w:r>
        <w:rPr>
          <w:rFonts w:ascii="Times New Roman" w:hAnsi="Times New Roman" w:cs="Times New Roman"/>
          <w:iCs/>
        </w:rPr>
        <w:t>, 444</w:t>
      </w:r>
      <w:r>
        <w:rPr>
          <w:rFonts w:ascii="Times New Roman" w:hAnsi="Times New Roman" w:cs="Times New Roman"/>
        </w:rPr>
        <w:t>.</w:t>
      </w:r>
      <w:r>
        <w:rPr>
          <w:rFonts w:ascii="Times New Roman" w:hAnsi="Times New Roman" w:cs="Times New Roman"/>
        </w:rPr>
        <w:fldChar w:fldCharType="end"/>
      </w:r>
    </w:p>
  </w:footnote>
  <w:footnote w:id="36">
    <w:p w14:paraId="2F25E85C">
      <w:pPr>
        <w:pStyle w:val="20"/>
        <w:ind w:left="360" w:firstLine="36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{"citationItems":[{"id":"ITEM-1","itemData":{"author":[{"dropping-particle":"","family":"Morris","given":"Leon","non-dropping-particle":"","parse-names":false,"suffix":""}],"id":"ITEM-1","issued":{"date-parts":[["1988"]]},"publisher":"Eerdmans","publisher-place":"Grand Rapids","title":"The Epistle to the Romans","type":"book"},"uris":["http://www.mendeley.com/documents/?uuid=865e6447-c173-4dc5-9c48-d6a94c5793af","http://www.mendeley.com/documents/?uuid=71479fe1-10fb-4265-9e77-92bd855baafd"]}],"mendeley":{"formattedCitation":"Leon Morris, &lt;i&gt;The Epistle to the Romans&lt;/i&gt; (Grand Rapids: Eerdmans, 1988).","manualFormatting":"Leon Morris, The Epistle to the Romans (Grand Rapids: Eerdmans, 1988), 442.","plainTextFormattedCitation":"Leon Morris, The Epistle to the Romans (Grand Rapids: Eerdmans, 1988).","previouslyFormattedCitation":"Leon Morris, &lt;i&gt;The Epistle to the Romans&lt;/i&gt; (Grand Rapids: Eerdmans, 1988)."},"properties":{"noteIndex":28},"schema":"https://github.com/citation-style-language/schema/raw/master/csl-citation.json"}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Leon Morris, </w:t>
      </w:r>
      <w:r>
        <w:rPr>
          <w:rFonts w:ascii="Times New Roman" w:hAnsi="Times New Roman" w:cs="Times New Roman"/>
          <w:i/>
        </w:rPr>
        <w:t>The Epistle to the Romans</w:t>
      </w:r>
      <w:r>
        <w:rPr>
          <w:rFonts w:ascii="Times New Roman" w:hAnsi="Times New Roman" w:cs="Times New Roman"/>
        </w:rPr>
        <w:t xml:space="preserve"> (Grand Rapids: Eerdmans, 1988), 442.</w:t>
      </w:r>
      <w:r>
        <w:rPr>
          <w:rFonts w:ascii="Times New Roman" w:hAnsi="Times New Roman" w:cs="Times New Roman"/>
        </w:rPr>
        <w:fldChar w:fldCharType="end"/>
      </w:r>
    </w:p>
  </w:footnote>
  <w:footnote w:id="37">
    <w:p w14:paraId="5C4FD78E">
      <w:pPr>
        <w:pStyle w:val="20"/>
        <w:ind w:left="360" w:firstLine="36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{"citationItems":[{"id":"ITEM-1","itemData":{"author":[{"dropping-particle":"","family":"Van","given":"dn End Thomas","non-dropping-particle":"","parse-names":false,"suffix":""}],"id":"ITEM-1","issued":{"date-parts":[["2008"]]},"publisher":"Gunung Mulia","publisher-place":"Jakarta","title":"Tafsiran Alkitab Surat Roma","type":"book"},"uris":["http://www.mendeley.com/documents/?uuid=47405836-f262-4b41-a3cb-c08a00218208","http://www.mendeley.com/documents/?uuid=eecb9fd3-4e68-4639-8f45-1254f86cb1c2"]}],"mendeley":{"formattedCitation":"dn End Thomas Van, &lt;i&gt;Tafsiran Alkitab Surat Roma&lt;/i&gt; (Jakarta: Gunung Mulia, 2008).","manualFormatting":"Van, Tafsiran Alkitab Surat Roma, 599.","plainTextFormattedCitation":"dn End Thomas Van, Tafsiran Alkitab Surat Roma (Jakarta: Gunung Mulia, 2008).","previouslyFormattedCitation":"Van, &lt;i&gt;Tafsiran Alkitab Surat Roma&lt;/i&gt;."},"properties":{"noteIndex":29},"schema":"https://github.com/citation-style-language/schema/raw/master/csl-citation.json"}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Van, </w:t>
      </w:r>
      <w:r>
        <w:rPr>
          <w:rFonts w:ascii="Times New Roman" w:hAnsi="Times New Roman" w:cs="Times New Roman"/>
          <w:i/>
        </w:rPr>
        <w:t>Tafsiran Alkitab Surat Roma</w:t>
      </w:r>
      <w:r>
        <w:rPr>
          <w:rFonts w:ascii="Times New Roman" w:hAnsi="Times New Roman" w:cs="Times New Roman"/>
          <w:iCs/>
        </w:rPr>
        <w:t>, 599</w:t>
      </w:r>
      <w:r>
        <w:rPr>
          <w:rFonts w:ascii="Times New Roman" w:hAnsi="Times New Roman" w:cs="Times New Roman"/>
        </w:rPr>
        <w:t>.</w:t>
      </w:r>
      <w:r>
        <w:rPr>
          <w:rFonts w:ascii="Times New Roman" w:hAnsi="Times New Roman" w:cs="Times New Roman"/>
        </w:rPr>
        <w:fldChar w:fldCharType="end"/>
      </w:r>
    </w:p>
  </w:footnote>
  <w:footnote w:id="38">
    <w:p w14:paraId="7E0D3D05">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{"citationItems":[{"id":"ITEM-1","itemData":{"author":[{"dropping-particle":"","family":"Moo","given":"Douglas J.","non-dropping-particle":"","parse-names":false,"suffix":""}],"id":"ITEM-1","issued":{"date-parts":[["2002"]]},"publisher":"Zondervan","publisher-place":"Grand Rapids","title":"Illustrated Bible Background Commentary Romans to Philemon","type":"book"},"uris":["http://www.mendeley.com/documents/?uuid=607a2f58-2e18-4771-9bc4-4b6c526f4fd0","http://www.mendeley.com/documents/?uuid=f67f44b0-fe69-45ad-9e01-6f6e8519f73a"]}],"mendeley":{"formattedCitation":"Douglas J. Moo, &lt;i&gt;Illustrated Bible Background Commentary Romans to Philemon&lt;/i&gt; (Grand Rapids: Zondervan, 2002).","manualFormatting":"Douglas J. Moo, Illustrated Bible Background Commentary Romans to Philemon (Grand Rapids: Zondervan, 2002), 39.","plainTextFormattedCitation":"Douglas J. Moo, Illustrated Bible Background Commentary Romans to Philemon (Grand Rapids: Zondervan, 2002).","previouslyFormattedCitation":"Douglas J. Moo, &lt;i&gt;Illustrated Bible Background Commentary Romans to Philemon&lt;/i&gt; (Grand Rapids: Zondervan, 2002)."},"properties":{"noteIndex":30},"schema":"https://github.com/citation-style-language/schema/raw/master/csl-citation.json"}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Douglas J. Moo, </w:t>
      </w:r>
      <w:r>
        <w:rPr>
          <w:rFonts w:ascii="Times New Roman" w:hAnsi="Times New Roman" w:cs="Times New Roman"/>
          <w:i/>
        </w:rPr>
        <w:t>Illustrated Bible Background Commentary Romans to Philemon</w:t>
      </w:r>
      <w:r>
        <w:rPr>
          <w:rFonts w:ascii="Times New Roman" w:hAnsi="Times New Roman" w:cs="Times New Roman"/>
        </w:rPr>
        <w:t xml:space="preserve"> (Grand Rapids: Zondervan, 2002), 39.</w:t>
      </w:r>
      <w:r>
        <w:rPr>
          <w:rFonts w:ascii="Times New Roman" w:hAnsi="Times New Roman" w:cs="Times New Roman"/>
        </w:rPr>
        <w:fldChar w:fldCharType="end"/>
      </w:r>
    </w:p>
  </w:footnote>
  <w:footnote w:id="39">
    <w:p w14:paraId="5CEAF23C">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{"citationItems":[{"id":"ITEM-1","itemData":{"author":[{"dropping-particle":"","family":"Barclay","given":"William","non-dropping-particle":"","parse-names":false,"suffix":""}],"id":"ITEM-1","issued":{"date-parts":[["1999"]]},"number-of-pages":"160","publisher":"BPK Gunung Mulia","publisher-place":"Jakarta","title":"Pemahaman Alkitab Setiap Hari: Surat Galatia dan Surat Efesus","type":"book"},"uris":["http://www.mendeley.com/documents/?uuid=08741056-338f-47cc-a4b4-ef06dfb92e7a","http://www.mendeley.com/documents/?uuid=3a22ca5c-15d1-4983-b61e-d9557a619079"]}],"mendeley":{"formattedCitation":"William Barclay, &lt;i&gt;Pemahaman Alkitab Setiap Hari: Surat Galatia Dan Surat Efesus&lt;/i&gt; (Jakarta: BPK Gunung Mulia, 1999).","manualFormatting":"William Barclay, Pemahaman Alkitab Setiap Hari: Surat Galatia Dan Surat Efesus (Jakarta: BPK Gunung Mulia, 1999), 258.","plainTextFormattedCitation":"William Barclay, Pemahaman Alkitab Setiap Hari: Surat Galatia Dan Surat Efesus (Jakarta: BPK Gunung Mulia, 1999).","previouslyFormattedCitation":"William Barclay, &lt;i&gt;Pemahaman Alkitab Setiap Hari: Surat Galatia Dan Surat Efesus&lt;/i&gt; (Jakarta: BPK Gunung Mulia, 1999)."},"properties":{"noteIndex":31},"schema":"https://github.com/citation-style-language/schema/raw/master/csl-citation.json"}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William Barclay, </w:t>
      </w:r>
      <w:r>
        <w:rPr>
          <w:rFonts w:ascii="Times New Roman" w:hAnsi="Times New Roman" w:cs="Times New Roman"/>
          <w:i/>
        </w:rPr>
        <w:t>Pemahaman Alkitab Setiap Hari: Surat Galatia Dan Surat Efesus</w:t>
      </w:r>
      <w:r>
        <w:rPr>
          <w:rFonts w:ascii="Times New Roman" w:hAnsi="Times New Roman" w:cs="Times New Roman"/>
        </w:rPr>
        <w:t xml:space="preserve"> (Jakarta: BPK Gunung Mulia, 1999), 258.</w:t>
      </w:r>
      <w:r>
        <w:rPr>
          <w:rFonts w:ascii="Times New Roman" w:hAnsi="Times New Roman" w:cs="Times New Roman"/>
        </w:rPr>
        <w:fldChar w:fldCharType="end"/>
      </w:r>
    </w:p>
  </w:footnote>
  <w:footnote w:id="40">
    <w:p w14:paraId="3C5BC6B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{"citationItems":[{"id":"ITEM-1","itemData":{"author":[{"dropping-particle":"","family":"Hill","given":"Craig C.","non-dropping-particle":"","parse-names":false,"suffix":""}],"id":"ITEM-1","issued":{"date-parts":[["2001"]]},"publisher":"Oxford University Press","publisher-place":"New York","title":"Romans: The Pauline Epistles Oxford Bible Commentary","type":"book"},"uris":["http://www.mendeley.com/documents/?uuid=176645a9-946a-425e-9f09-06cd9f26daef","http://www.mendeley.com/documents/?uuid=37f356b3-20f6-4075-8acf-8e89b27c84db"]}],"mendeley":{"formattedCitation":"Craig C. Hill, &lt;i&gt;Romans: The Pauline Epistles Oxford Bible Commentary&lt;/i&gt; (New York: Oxford University Press, 2001).","manualFormatting":"Craig C. Hill, Romans: The Pauline Epistles Oxford Bible Commentary (New York: Oxford University Press, 2001), 58.","plainTextFormattedCitation":"Craig C. Hill, Romans: The Pauline Epistles Oxford Bible Commentary (New York: Oxford University Press, 2001).","previouslyFormattedCitation":"Craig C. Hill, &lt;i&gt;Romans: The Pauline Epistles Oxford Bible Commentary&lt;/i&gt; (New York: Oxford University Press, 2001)."},"properties":{"noteIndex":32},"schema":"https://github.com/citation-style-language/schema/raw/master/csl-citation.json"}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Craig C. Hill, </w:t>
      </w:r>
      <w:r>
        <w:rPr>
          <w:rFonts w:ascii="Times New Roman" w:hAnsi="Times New Roman" w:cs="Times New Roman"/>
          <w:i/>
        </w:rPr>
        <w:t>Romans: The Pauline Epistles Oxford Bible Commentary</w:t>
      </w:r>
      <w:r>
        <w:rPr>
          <w:rFonts w:ascii="Times New Roman" w:hAnsi="Times New Roman" w:cs="Times New Roman"/>
        </w:rPr>
        <w:t xml:space="preserve"> (New York: Oxford University Press, 2001), 58.</w:t>
      </w:r>
      <w:r>
        <w:rPr>
          <w:rFonts w:ascii="Times New Roman" w:hAnsi="Times New Roman" w:cs="Times New Roman"/>
        </w:rPr>
        <w:fldChar w:fldCharType="end"/>
      </w:r>
    </w:p>
  </w:footnote>
  <w:footnote w:id="41">
    <w:p w14:paraId="27E3D318">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{"citationItems":[{"id":"ITEM-1","itemData":{"author":[{"dropping-particle":"","family":"Keener","given":"Craig S","non-dropping-particle":"","parse-names":false,"suffix":""}],"id":"ITEM-1","issued":{"date-parts":[["2014"]]},"publisher":"Intervarsity Press","publisher-place":"Downers Grove","title":"Bible Background Commentary New Testament","type":"book"},"uris":["http://www.mendeley.com/documents/?uuid=042b1029-88a5-4e59-8f0f-b050a0fe48c1","http://www.mendeley.com/documents/?uuid=428ee7f9-939d-459a-a249-5ba286a57a51"]}],"mendeley":{"formattedCitation":"Craig S Keener, &lt;i&gt;Bible Background Commentary New Testament&lt;/i&gt; (Downers Grove: Intervarsity Press, 2014).","manualFormatting":"Craig S Keener, Bible Background Commentary New Testament (Downers Grove: Intervarsity Press, 2014), 424.","plainTextFormattedCitation":"Craig S Keener, Bible Background Commentary New Testament (Downers Grove: Intervarsity Press, 2014).","previouslyFormattedCitation":"Craig S Keener, &lt;i&gt;Bible Background Commentary New Testament&lt;/i&gt; (Downers Grove: Intervarsity Press, 2014)."},"properties":{"noteIndex":33},"schema":"https://github.com/citation-style-language/schema/raw/master/csl-citation.json"}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Craig S Keener, </w:t>
      </w:r>
      <w:r>
        <w:rPr>
          <w:rFonts w:ascii="Times New Roman" w:hAnsi="Times New Roman" w:cs="Times New Roman"/>
          <w:i/>
        </w:rPr>
        <w:t>Bible Background Commentary New Testament</w:t>
      </w:r>
      <w:r>
        <w:rPr>
          <w:rFonts w:ascii="Times New Roman" w:hAnsi="Times New Roman" w:cs="Times New Roman"/>
        </w:rPr>
        <w:t xml:space="preserve"> (Downers Grove: Intervarsity Press, 2014), 424.</w:t>
      </w:r>
      <w:r>
        <w:rPr>
          <w:rFonts w:ascii="Times New Roman" w:hAnsi="Times New Roman" w:cs="Times New Roman"/>
        </w:rPr>
        <w:fldChar w:fldCharType="end"/>
      </w:r>
    </w:p>
  </w:footnote>
  <w:footnote w:id="42">
    <w:p w14:paraId="6A260D6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II","type":"book"},"uris":["http://www.mendeley.com/documents/?uuid=9e9b73b8-8d18-4992-9e91-71c5bb68a33f"]}],"mendeley":{"formattedCitation":"Hasan Sutanto, &lt;i&gt;Perjanjian Baru Interlinear Yunani-Indonesia Dan Konkordansi Perjanjian Baru Jilid II&lt;/i&gt; (Jakarta: Lembaga Alkitab Indonesia, 2010).","manualFormatting":"Sutanto, Perjanjian Baru Interlinear Yunani-Indonesia Dan Konkordansi Perjanjian Baru, 289.","plainTextFormattedCitation":"Hasan Sutanto, Perjanjian Baru Interlinear Yunani-Indonesia Dan Konkordansi Perjanjian Baru Jilid II (Jakarta: Lembaga Alkitab Indonesia, 2010).","previouslyFormattedCitation":"Sutanto, &lt;i&gt;Perjanjian Baru Interlinear Yunani-Indonesia Dan Konkordansi Perjanjian Baru&lt;/i&gt;."},"properties":{"noteIndex":34},"schema":"https://github.com/citation-style-language/schema/raw/master/csl-citation.json"}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Sutanto, </w:t>
      </w:r>
      <w:r>
        <w:rPr>
          <w:rFonts w:ascii="Times New Roman" w:hAnsi="Times New Roman" w:cs="Times New Roman"/>
          <w:i/>
        </w:rPr>
        <w:t>Perjanjian Baru Interlinear Yunani-Indonesia Dan Konkordansi Perjanjian Baru</w:t>
      </w:r>
      <w:r>
        <w:rPr>
          <w:rFonts w:ascii="Times New Roman" w:hAnsi="Times New Roman" w:cs="Times New Roman"/>
          <w:iCs/>
        </w:rPr>
        <w:t>, 289</w:t>
      </w:r>
      <w:r>
        <w:rPr>
          <w:rFonts w:ascii="Times New Roman" w:hAnsi="Times New Roman" w:cs="Times New Roman"/>
        </w:rPr>
        <w:t>.</w:t>
      </w:r>
      <w:r>
        <w:rPr>
          <w:rFonts w:ascii="Times New Roman" w:hAnsi="Times New Roman" w:cs="Times New Roman"/>
        </w:rPr>
        <w:fldChar w:fldCharType="end"/>
      </w:r>
    </w:p>
  </w:footnote>
  <w:footnote w:id="43">
    <w:p w14:paraId="50DDA99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{"citationItems":[{"id":"ITEM-1","itemData":{"author":[{"dropping-particle":"","family":"Longenecker","given":"Richard N","non-dropping-particle":"","parse-names":false,"suffix":""}],"id":"ITEM-1","issued":{"date-parts":[["2016"]]},"publisher":"William B. Eerdmans Publishing","publisher-place":"Grand Rapids","title":"The Epistle to the Romans: A Commentary on the Greek Text","type":"book"},"uris":["http://www.mendeley.com/documents/?uuid=b4a24901-5411-4be7-8a2e-a6ee93ea150b","http://www.mendeley.com/documents/?uuid=d00264f1-9abd-41ff-a675-7a8a8ba074fd"]}],"mendeley":{"formattedCitation":"Richard N Longenecker, &lt;i&gt;The Epistle to the Romans: A Commentary on the Greek Text&lt;/i&gt; (Grand Rapids: William B. Eerdmans Publishing, 2016).","manualFormatting":"Richard N Longenecker, The Epistle to the Romans: A Commentary on the Greek Text (Grand Rapids: William B. Eerdmans Publishing, 2016), 957.","plainTextFormattedCitation":"Richard N Longenecker, The Epistle to the Romans: A Commentary on the Greek Text (Grand Rapids: William B. Eerdmans Publishing, 2016).","previouslyFormattedCitation":"Richard N Longenecker, &lt;i&gt;The Epistle to the Romans: A Commentary on the Greek Text&lt;/i&gt; (Grand Rapids: William B. Eerdmans Publishing, 2016)."},"properties":{"noteIndex":35},"schema":"https://github.com/citation-style-language/schema/raw/master/csl-citation.json"}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Richard N Longenecker, </w:t>
      </w:r>
      <w:r>
        <w:rPr>
          <w:rFonts w:ascii="Times New Roman" w:hAnsi="Times New Roman" w:cs="Times New Roman"/>
          <w:i/>
        </w:rPr>
        <w:t>The Epistle to the Romans: A Commentary on the Greek Text</w:t>
      </w:r>
      <w:r>
        <w:rPr>
          <w:rFonts w:ascii="Times New Roman" w:hAnsi="Times New Roman" w:cs="Times New Roman"/>
        </w:rPr>
        <w:t xml:space="preserve"> (Grand Rapids: William B. Eerdmans Publishing, 2016), 957.</w:t>
      </w:r>
      <w:r>
        <w:rPr>
          <w:rFonts w:ascii="Times New Roman" w:hAnsi="Times New Roman" w:cs="Times New Roman"/>
        </w:rPr>
        <w:fldChar w:fldCharType="end"/>
      </w:r>
    </w:p>
  </w:footnote>
  <w:footnote w:id="44">
    <w:p w14:paraId="62BF2EDD">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{"citationItems":[{"id":"ITEM-1","itemData":{"author":[{"dropping-particle":"","family":"Moo","given":"Douglas","non-dropping-particle":"","parse-names":false,"suffix":""}],"id":"ITEM-1","issued":{"date-parts":[["1996"]]},"publisher":"William B. Eerdmans Publishing","publisher-place":"Grand Rapids","title":"The Epistle to the Romans","type":"book"},"uris":["http://www.mendeley.com/documents/?uuid=7b8095fe-0149-4c58-a7b9-cc816a025f1d","http://www.mendeley.com/documents/?uuid=408e9e2c-f136-432d-aea5-a309e7b5ef5b"]}],"mendeley":{"formattedCitation":"Douglas Moo, &lt;i&gt;The Epistle to the Romans&lt;/i&gt; (Grand Rapids: William B. Eerdmans Publishing, 1996).","manualFormatting":"Douglas Moo, The Epistle to the Romans (Grand Rapids: William B. Eerdmans Publishing, 1996), 796.","plainTextFormattedCitation":"Douglas Moo, The Epistle to the Romans (Grand Rapids: William B. Eerdmans Publishing, 1996).","previouslyFormattedCitation":"Douglas Moo, &lt;i&gt;The Epistle to the Romans&lt;/i&gt; (Grand Rapids: William B. Eerdmans Publishing, 1996)."},"properties":{"noteIndex":36},"schema":"https://github.com/citation-style-language/schema/raw/master/csl-citation.json"}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Douglas Moo, </w:t>
      </w:r>
      <w:r>
        <w:rPr>
          <w:rFonts w:ascii="Times New Roman" w:hAnsi="Times New Roman" w:cs="Times New Roman"/>
          <w:i/>
        </w:rPr>
        <w:t>The Epistle to the Romans</w:t>
      </w:r>
      <w:r>
        <w:rPr>
          <w:rFonts w:ascii="Times New Roman" w:hAnsi="Times New Roman" w:cs="Times New Roman"/>
        </w:rPr>
        <w:t xml:space="preserve"> (Grand Rapids: William B. Eerdmans Publishing, 1996), 796.</w:t>
      </w:r>
      <w:r>
        <w:rPr>
          <w:rFonts w:ascii="Times New Roman" w:hAnsi="Times New Roman" w:cs="Times New Roman"/>
        </w:rPr>
        <w:fldChar w:fldCharType="end"/>
      </w:r>
    </w:p>
  </w:footnote>
  <w:footnote w:id="45">
    <w:p w14:paraId="5B75B28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{"citationItems":[{"id":"ITEM-1","itemData":{"author":[{"dropping-particle":"","family":"Bird","given":"Michael F.","non-dropping-particle":"","parse-names":false,"suffix":""}],"id":"ITEM-1","issued":{"date-parts":[["2013"]]},"publisher":"Intervarsity Press","publisher-place":"Downers Grove","title":"One Who Will Arise to Rule Over the Nations: Paul's Letter to the Romans and the Roman Empire","type":"book"},"uris":["http://www.mendeley.com/documents/?uuid=ca9d6eba-8c04-40f4-b339-c23d6a699017","http://www.mendeley.com/documents/?uuid=70df37c9-925f-4fef-8177-49caa11cf2e9"]}],"mendeley":{"formattedCitation":"Michael F. Bird, &lt;i&gt;One Who Will Arise to Rule Over the Nations: Paul’s Letter to the Romans and the Roman Empire&lt;/i&gt; (Downers Grove: Intervarsity Press, 2013).","manualFormatting":"Michael F. Bird, One Who Will Arise to Rule Over the Nations: Paul’s Letter to the Romans and the Roman Empire (Downers Grove: Intervarsity Press, 2013), 159.","plainTextFormattedCitation":"Michael F. Bird, One Who Will Arise to Rule Over the Nations: Paul’s Letter to the Romans and the Roman Empire (Downers Grove: Intervarsity Press, 2013).","previouslyFormattedCitation":"Michael F. Bird, &lt;i&gt;One Who Will Arise to Rule Over the Nations: Paul’s Letter to the Romans and the Roman Empire&lt;/i&gt; (Downers Grove: Intervarsity Press, 2013)."},"properties":{"noteIndex":37},"schema":"https://github.com/citation-style-language/schema/raw/master/csl-citation.json"}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Michael F. Bird, </w:t>
      </w:r>
      <w:r>
        <w:rPr>
          <w:rFonts w:ascii="Times New Roman" w:hAnsi="Times New Roman" w:cs="Times New Roman"/>
          <w:i/>
        </w:rPr>
        <w:t>One Who Will Arise to Rule Over the Nations: Paul’s Letter to the Romans and the Roman Empire</w:t>
      </w:r>
      <w:r>
        <w:rPr>
          <w:rFonts w:ascii="Times New Roman" w:hAnsi="Times New Roman" w:cs="Times New Roman"/>
        </w:rPr>
        <w:t xml:space="preserve"> (Downers Grove: Intervarsity Press, 2013), 159.</w:t>
      </w:r>
      <w:r>
        <w:rPr>
          <w:rFonts w:ascii="Times New Roman" w:hAnsi="Times New Roman" w:cs="Times New Roman"/>
        </w:rPr>
        <w:fldChar w:fldCharType="end"/>
      </w:r>
    </w:p>
  </w:footnote>
  <w:footnote w:id="46">
    <w:p w14:paraId="4D4F6BA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Testament","type":"book"},"uris":["http://www.mendeley.com/documents/?uuid=238218c4-2714-4eb1-b1f7-a93827fcadd9","http://www.mendeley.com/documents/?uuid=0ccbef9d-1ca2-48f0-8393-7894ca28361a"]}],"mendeley":{"formattedCitation":"Horst and Gerhard Schneider Balz, &lt;i&gt;Exegetical Dictionary of the New Testament&lt;/i&gt; (Grand Rapids: William B. Eerdmans Publishing, 1990).","manualFormatting":"Horst Balz, and Gerhard Schneider, Exegetical Dictionary of the New Testament (Grand Rapids: William B. Eerdmans Publishing, 1990), 5412.","plainTextFormattedCitation":"Horst and Gerhard Schneider Balz, Exegetical Dictionary of the New Testament (Grand Rapids: William B. Eerdmans Publishing, 1990).","previouslyFormattedCitation":"Horst and Gerhard Schneider Balz, &lt;i&gt;Exegetical Dictionary of the New Testament&lt;/i&gt; (Grand Rapids: William B. Eerdmans Publishing, 1990)."},"properties":{"noteIndex":38},"schema":"https://github.com/citation-style-language/schema/raw/master/csl-citation.json"}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Horst Balz, and Gerhard Schneider, </w:t>
      </w:r>
      <w:r>
        <w:rPr>
          <w:rFonts w:ascii="Times New Roman" w:hAnsi="Times New Roman" w:cs="Times New Roman"/>
          <w:i/>
        </w:rPr>
        <w:t>Exegetical Dictionary of the New Testament</w:t>
      </w:r>
      <w:r>
        <w:rPr>
          <w:rFonts w:ascii="Times New Roman" w:hAnsi="Times New Roman" w:cs="Times New Roman"/>
        </w:rPr>
        <w:t xml:space="preserve"> (Grand Rapids: William B. Eerdmans Publishing, 1990), 5412.</w:t>
      </w:r>
      <w:r>
        <w:rPr>
          <w:rFonts w:ascii="Times New Roman" w:hAnsi="Times New Roman" w:cs="Times New Roman"/>
        </w:rPr>
        <w:fldChar w:fldCharType="end"/>
      </w:r>
    </w:p>
  </w:footnote>
  <w:footnote w:id="47">
    <w:p w14:paraId="7AE24B8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{"citationItems":[{"id":"ITEM-1","itemData":{"author":[{"dropping-particle":"","family":"David Ibrahim","given":"","non-dropping-particle":"","parse-names":false,"suffix":""}],"id":"ITEM-1","issued":{"date-parts":[["2011"]]},"number-of-pages":"400","publisher":"Andi Offset","publisher-place":"Yogyakarta","title":"Tafsiran Surat Roma","type":"book"},"uris":["http://www.mendeley.com/documents/?uuid=c96c3419-ea3a-4fa4-8217-a854c74936bf"]}],"mendeley":{"formattedCitation":"David Ibrahim, &lt;i&gt;Tafsiran Surat Roma&lt;/i&gt;.","manualFormatting":"Ibrahim, Tafsiran Surat Roma, 272.","plainTextFormattedCitation":"David Ibrahim, Tafsiran Surat Roma.","previouslyFormattedCitation":"Ibrahim, &lt;i&gt;Tafsiran Surat Roma&lt;/i&gt;."},"properties":{"noteIndex":39},"schema":"https://github.com/citation-style-language/schema/raw/master/csl-citation.json"}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Ibrahim, </w:t>
      </w:r>
      <w:r>
        <w:rPr>
          <w:rFonts w:ascii="Times New Roman" w:hAnsi="Times New Roman" w:cs="Times New Roman"/>
          <w:i/>
        </w:rPr>
        <w:t>Tafsiran Surat Roma</w:t>
      </w:r>
      <w:r>
        <w:rPr>
          <w:rFonts w:ascii="Times New Roman" w:hAnsi="Times New Roman" w:cs="Times New Roman"/>
          <w:iCs/>
        </w:rPr>
        <w:t>, 272</w:t>
      </w:r>
      <w:r>
        <w:rPr>
          <w:rFonts w:ascii="Times New Roman" w:hAnsi="Times New Roman" w:cs="Times New Roman"/>
        </w:rPr>
        <w:t>.</w:t>
      </w:r>
      <w:r>
        <w:rPr>
          <w:rFonts w:ascii="Times New Roman" w:hAnsi="Times New Roman" w:cs="Times New Roman"/>
        </w:rPr>
        <w:fldChar w:fldCharType="end"/>
      </w:r>
    </w:p>
  </w:footnote>
  <w:footnote w:id="48">
    <w:p w14:paraId="56791E30">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746.","plainTextFormattedCitation":"Sutanto, Perjanjian Baru Interlinear Yunani-Indonesia Dan Konkordansi Perjanjian Baru Jilid II.","previouslyFormattedCitation":"Sutanto, &lt;i&gt;Perjanjian Baru Interlinear Yunani-Indonesia Dan Konkordansi Perjanjian Baru&lt;/i&gt;."},"properties":{"noteIndex":40},"schema":"https://github.com/citation-style-language/schema/raw/master/csl-citation.json"}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Sutanto, </w:t>
      </w:r>
      <w:r>
        <w:rPr>
          <w:rFonts w:ascii="Times New Roman" w:hAnsi="Times New Roman" w:cs="Times New Roman"/>
          <w:i/>
        </w:rPr>
        <w:t>Perjanjian Baru Interlinear Yunani-Indonesia Dan Konkordansi Perjanjian Baru</w:t>
      </w:r>
      <w:r>
        <w:rPr>
          <w:rFonts w:ascii="Times New Roman" w:hAnsi="Times New Roman" w:cs="Times New Roman"/>
          <w:iCs/>
        </w:rPr>
        <w:t>, 746</w:t>
      </w:r>
      <w:r>
        <w:rPr>
          <w:rFonts w:ascii="Times New Roman" w:hAnsi="Times New Roman" w:cs="Times New Roman"/>
        </w:rPr>
        <w:t>.</w:t>
      </w:r>
      <w:r>
        <w:rPr>
          <w:rFonts w:ascii="Times New Roman" w:hAnsi="Times New Roman" w:cs="Times New Roman"/>
        </w:rPr>
        <w:fldChar w:fldCharType="end"/>
      </w:r>
    </w:p>
  </w:footnote>
  <w:footnote w:id="49">
    <w:p w14:paraId="7F87F9AA">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{"citationItems":[{"id":"ITEM-1","itemData":{"author":[{"dropping-particle":"","family":"Worden","given":"Blair","non-dropping-particle":"","parse-names":false,"suffix":""}],"id":"ITEM-1","issued":{"date-parts":[["2012"]]},"publisher":"Oxford University Press","publisher-place":"New York","title":"God's Instrument: Political Conduct in the England of Oliver Crownwell","type":"book"},"uris":["http://www.mendeley.com/documents/?uuid=c93458a9-0e01-4dd5-947b-4be33fb5c17a","http://www.mendeley.com/documents/?uuid=4d8ab66c-3606-4231-b96d-0d85a7806583"]}],"mendeley":{"formattedCitation":"Blair Worden, &lt;i&gt;God’s Instrument: Political Conduct in the England of Oliver Crownwell&lt;/i&gt; (New York: Oxford University Press, 2012).","manualFormatting":"Blair Worden, God’s Instrument: Political Conduct in the England of Oliver Crownwell (New York: Oxford University Press, 2012), 336.","plainTextFormattedCitation":"Blair Worden, God’s Instrument: Political Conduct in the England of Oliver Crownwell (New York: Oxford University Press, 2012).","previouslyFormattedCitation":"Blair Worden, &lt;i&gt;God’s Instrument: Political Conduct in the England of Oliver Crownwell&lt;/i&gt; (New York: Oxford University Press, 2012)."},"properties":{"noteIndex":41},"schema":"https://github.com/citation-style-language/schema/raw/master/csl-citation.json"}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Blair Worden, </w:t>
      </w:r>
      <w:r>
        <w:rPr>
          <w:rFonts w:ascii="Times New Roman" w:hAnsi="Times New Roman" w:cs="Times New Roman"/>
          <w:i/>
        </w:rPr>
        <w:t>God’s Instrument: Political Conduct in the England of Oliver Crownwell</w:t>
      </w:r>
      <w:r>
        <w:rPr>
          <w:rFonts w:ascii="Times New Roman" w:hAnsi="Times New Roman" w:cs="Times New Roman"/>
        </w:rPr>
        <w:t xml:space="preserve"> (New York: Oxford University Press, 2012), 336.</w:t>
      </w:r>
      <w:r>
        <w:rPr>
          <w:rFonts w:ascii="Times New Roman" w:hAnsi="Times New Roman" w:cs="Times New Roman"/>
        </w:rPr>
        <w:fldChar w:fldCharType="end"/>
      </w:r>
    </w:p>
  </w:footnote>
  <w:footnote w:id="50">
    <w:p w14:paraId="1E81F3FC">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{"citationItems":[{"id":"ITEM-1","itemData":{"author":[{"dropping-particle":"","family":"Friberg, Barbara and Timothy Friberg","given":"and Neva F. Miller","non-dropping-particle":"","parse-names":false,"suffix":""}],"id":"ITEM-1","issued":{"date-parts":[["2000"]]},"publisher":"Baker","publisher-place":"Grand Rapids","title":"Analytical Lexicon of the Greek New Testament","type":"book"},"uris":["http://www.mendeley.com/documents/?uuid=eebec3f0-584a-4a8e-93b6-11e212da24bd","http://www.mendeley.com/documents/?uuid=f7ad1861-ee36-44e6-a4ea-de22605cd174"]}],"mendeley":{"formattedCitation":"and Neva F. Miller Friberg, Barbara and Timothy Friberg, &lt;i&gt;Analytical Lexicon of the Greek New Testament&lt;/i&gt; (Grand Rapids: Baker, 2000).","manualFormatting":"Friberg, Barbara and Timothy Friberg, and Neva F. Miller, Analytical Lexicon of the Greek New Testament (Grand Rapids: Baker, 2000), 26317.","plainTextFormattedCitation":"and Neva F. Miller Friberg, Barbara and Timothy Friberg, Analytical Lexicon of the Greek New Testament (Grand Rapids: Baker, 2000).","previouslyFormattedCitation":"and Neva F. Miller Friberg, Barbara and Timothy Friberg, &lt;i&gt;Analytical Lexicon of the Greek New Testament&lt;/i&gt; (Grand Rapids: Baker, 2000)."},"properties":{"noteIndex":42},"schema":"https://github.com/citation-style-language/schema/raw/master/csl-citation.json"}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Friberg, Barbara and Timothy Friberg, and Neva F. Miller, </w:t>
      </w:r>
      <w:r>
        <w:rPr>
          <w:rFonts w:ascii="Times New Roman" w:hAnsi="Times New Roman" w:cs="Times New Roman"/>
          <w:i/>
        </w:rPr>
        <w:t>Analytical Lexicon of the Greek New Testament</w:t>
      </w:r>
      <w:r>
        <w:rPr>
          <w:rFonts w:ascii="Times New Roman" w:hAnsi="Times New Roman" w:cs="Times New Roman"/>
        </w:rPr>
        <w:t xml:space="preserve"> (Grand Rapids: Baker, 2000), 26317.</w:t>
      </w:r>
      <w:r>
        <w:rPr>
          <w:rFonts w:ascii="Times New Roman" w:hAnsi="Times New Roman" w:cs="Times New Roman"/>
        </w:rPr>
        <w:fldChar w:fldCharType="end"/>
      </w:r>
    </w:p>
  </w:footnote>
  <w:footnote w:id="51">
    <w:p w14:paraId="7A79BC85">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{"citationItems":[{"id":"ITEM-1","itemData":{"author":[{"dropping-particle":"","family":"Hagelberg","given":"Dave","non-dropping-particle":"","parse-names":false,"suffix":""}],"id":"ITEM-1","issued":{"date-parts":[["2004"]]},"publisher":"Kalam Hidup","publisher-place":"Bandung","title":"Tafsiran Roma dari Bahasa Yunani","type":"book"},"uris":["http://www.mendeley.com/documents/?uuid=865b8a02-e51e-4b31-9111-ed7f16407538","http://www.mendeley.com/documents/?uuid=fbf85958-31d8-4002-8f29-d1429f233eee"]}],"mendeley":{"formattedCitation":"Dave Hagelberg, &lt;i&gt;Tafsiran Roma Dari Bahasa Yunani&lt;/i&gt; (Bandung: Kalam Hidup, 2004).","plainTextFormattedCitation":"Dave Hagelberg, Tafsiran Roma Dari Bahasa Yunani (Bandung: Kalam Hidup, 2004).","previouslyFormattedCitation":"Hagelberg, &lt;i&gt;Tafsiran Roma Dari Bahasa Yunani&lt;/i&gt;."},"properties":{"noteIndex":43},"schema":"https://github.com/citation-style-language/schema/raw/master/csl-citation.json"}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Dave Hagelberg, </w:t>
      </w:r>
      <w:r>
        <w:rPr>
          <w:rFonts w:ascii="Times New Roman" w:hAnsi="Times New Roman" w:cs="Times New Roman"/>
          <w:i/>
        </w:rPr>
        <w:t>Tafsiran Roma Dari Bahasa Yunani</w:t>
      </w:r>
      <w:r>
        <w:rPr>
          <w:rFonts w:ascii="Times New Roman" w:hAnsi="Times New Roman" w:cs="Times New Roman"/>
        </w:rPr>
        <w:t xml:space="preserve"> (Bandung: Kalam Hidup, 2004).</w:t>
      </w:r>
      <w:r>
        <w:rPr>
          <w:rFonts w:ascii="Times New Roman" w:hAnsi="Times New Roman" w:cs="Times New Roman"/>
        </w:rPr>
        <w:fldChar w:fldCharType="end"/>
      </w:r>
    </w:p>
  </w:footnote>
  <w:footnote w:id="52">
    <w:p w14:paraId="2B424071">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87.","plainTextFormattedCitation":"Sutanto, Perjanjian Baru Interlinear Yunani-Indonesia Dan Konkordansi Perjanjian Baru Jilid II.","previouslyFormattedCitation":"Sutanto, &lt;i&gt;Perjanjian Baru Interlinear Yunani-Indonesia Dan Konkordansi Perjanjian Baru&lt;/i&gt;."},"properties":{"noteIndex":44},"schema":"https://github.com/citation-style-language/schema/raw/master/csl-citation.json"}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Sutanto, </w:t>
      </w:r>
      <w:r>
        <w:rPr>
          <w:rFonts w:ascii="Times New Roman" w:hAnsi="Times New Roman" w:cs="Times New Roman"/>
          <w:i/>
        </w:rPr>
        <w:t>Perjanjian Baru Interlinear Yunani-Indonesia Dan Konkordansi Perjanjian Baru</w:t>
      </w:r>
      <w:r>
        <w:rPr>
          <w:rFonts w:ascii="Times New Roman" w:hAnsi="Times New Roman" w:cs="Times New Roman"/>
          <w:iCs/>
        </w:rPr>
        <w:t>, 87</w:t>
      </w:r>
      <w:r>
        <w:rPr>
          <w:rFonts w:ascii="Times New Roman" w:hAnsi="Times New Roman" w:cs="Times New Roman"/>
        </w:rPr>
        <w:t>.</w:t>
      </w:r>
      <w:r>
        <w:rPr>
          <w:rFonts w:ascii="Times New Roman" w:hAnsi="Times New Roman" w:cs="Times New Roman"/>
        </w:rPr>
        <w:fldChar w:fldCharType="end"/>
      </w:r>
    </w:p>
  </w:footnote>
  <w:footnote w:id="53">
    <w:p w14:paraId="27AEE7EC">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{"citationItems":[{"id":"ITEM-1","itemData":{"author":[{"dropping-particle":"","family":"Everet F. Harrison","given":"dan Charles F. Pfeifer","non-dropping-particle":"","parse-names":false,"suffix":""}],"edition":"Volume 3","id":"ITEM-1","issued":{"date-parts":[["2001"]]},"publisher":"Gandum Mas","publisher-place":"Malang","title":"Tafsiran Alkitab Wycliffe Perjanjian Baru","type":"book"},"uris":["http://www.mendeley.com/documents/?uuid=d6cd4051-b66a-42bc-914c-09f6c10dba5d","http://www.mendeley.com/documents/?uuid=a934a989-49fa-4a18-b609-63437d812925"]}],"mendeley":{"formattedCitation":"dan Charles F. Pfeifer Everet F. Harrison, &lt;i&gt;Tafsiran Alkitab Wycliffe Perjanjian Baru&lt;/i&gt;, Volume 3 (Malang: Gandum Mas, 2001).","manualFormatting":"Charles F. Pfeifer, dan Everet F. Harrison, Tafsiran Alkitab Wycliffe Perjanjian Baru, Volume 3. (Malang: Gandum Mas, 2001), 586.","plainTextFormattedCitation":"dan Charles F. Pfeifer Everet F. Harrison, Tafsiran Alkitab Wycliffe Perjanjian Baru, Volume 3 (Malang: Gandum Mas, 2001).","previouslyFormattedCitation":"dan Charles F. Pfeifer Everet F. Harrison, &lt;i&gt;Tafsiran Alkitab Wycliffe Perjanjian Baru&lt;/i&gt;, Volume 3. (Malang: Gandum Mas, 2001)."},"properties":{"noteIndex":45},"schema":"https://github.com/citation-style-language/schema/raw/master/csl-citation.json"}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Charles F. Pfeifer, dan Everet F. Harrison, </w:t>
      </w:r>
      <w:r>
        <w:rPr>
          <w:rFonts w:ascii="Times New Roman" w:hAnsi="Times New Roman" w:cs="Times New Roman"/>
          <w:i/>
        </w:rPr>
        <w:t>Tafsiran Alkitab Wycliffe Perjanjian Baru</w:t>
      </w:r>
      <w:r>
        <w:rPr>
          <w:rFonts w:ascii="Times New Roman" w:hAnsi="Times New Roman" w:cs="Times New Roman"/>
        </w:rPr>
        <w:t>, Volume 3. (Malang: Gandum Mas, 2001), 586.</w:t>
      </w:r>
      <w:r>
        <w:rPr>
          <w:rFonts w:ascii="Times New Roman" w:hAnsi="Times New Roman" w:cs="Times New Roman"/>
        </w:rPr>
        <w:fldChar w:fldCharType="end"/>
      </w:r>
    </w:p>
  </w:footnote>
  <w:footnote w:id="54">
    <w:p w14:paraId="7C041D66">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602.","plainTextFormattedCitation":"Van, Tafsiran Alkitab Surat Roma.","previouslyFormattedCitation":"Van, &lt;i&gt;Tafsiran Alkitab Surat Roma&lt;/i&gt;."},"properties":{"noteIndex":46},"schema":"https://github.com/citation-style-language/schema/raw/master/csl-citation.json"}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Van, </w:t>
      </w:r>
      <w:r>
        <w:rPr>
          <w:rFonts w:ascii="Times New Roman" w:hAnsi="Times New Roman" w:cs="Times New Roman"/>
          <w:i/>
        </w:rPr>
        <w:t>Tafsiran Alkitab Surat Roma</w:t>
      </w:r>
      <w:r>
        <w:rPr>
          <w:rFonts w:ascii="Times New Roman" w:hAnsi="Times New Roman" w:cs="Times New Roman"/>
          <w:iCs/>
        </w:rPr>
        <w:t>, 602</w:t>
      </w:r>
      <w:r>
        <w:rPr>
          <w:rFonts w:ascii="Times New Roman" w:hAnsi="Times New Roman" w:cs="Times New Roman"/>
        </w:rPr>
        <w:t>.</w:t>
      </w:r>
      <w:r>
        <w:rPr>
          <w:rFonts w:ascii="Times New Roman" w:hAnsi="Times New Roman" w:cs="Times New Roman"/>
        </w:rPr>
        <w:fldChar w:fldCharType="end"/>
      </w:r>
    </w:p>
  </w:footnote>
  <w:footnote w:id="55">
    <w:p w14:paraId="44E8DBFF">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{"citationItems":[{"id":"ITEM-1","itemData":{"author":[{"dropping-particle":"","family":"Schreiner","given":"Thomas R","non-dropping-particle":"","parse-names":false,"suffix":""}],"id":"ITEM-1","issued":{"date-parts":[["1998"]]},"publisher":"Baker Books","publisher-place":"Grand Rapids","title":"Romans","type":"book"},"uris":["http://www.mendeley.com/documents/?uuid=1e84e1cf-c606-46e6-be87-41996d1b3bfa","http://www.mendeley.com/documents/?uuid=43cd737c-1759-4932-8810-fa0bb37da90e"]}],"mendeley":{"formattedCitation":"Thomas R Schreiner, &lt;i&gt;Romans&lt;/i&gt; (Grand Rapids: Baker Books, 1998).","manualFormatting":"Thomas R Schreiner, Romans (Grand Rapids: Baker Books, 1998), 679.","plainTextFormattedCitation":"Thomas R Schreiner, Romans (Grand Rapids: Baker Books, 1998).","previouslyFormattedCitation":"Thomas R Schreiner, &lt;i&gt;Romans&lt;/i&gt; (Grand Rapids: Baker Books, 1998)."},"properties":{"noteIndex":47},"schema":"https://github.com/citation-style-language/schema/raw/master/csl-citation.json"}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Thomas R Schreiner, </w:t>
      </w:r>
      <w:r>
        <w:rPr>
          <w:rFonts w:ascii="Times New Roman" w:hAnsi="Times New Roman" w:cs="Times New Roman"/>
          <w:i/>
        </w:rPr>
        <w:t>Romans</w:t>
      </w:r>
      <w:r>
        <w:rPr>
          <w:rFonts w:ascii="Times New Roman" w:hAnsi="Times New Roman" w:cs="Times New Roman"/>
        </w:rPr>
        <w:t xml:space="preserve"> (Grand Rapids: Baker Books, 1998), 679.</w:t>
      </w:r>
      <w:r>
        <w:rPr>
          <w:rFonts w:ascii="Times New Roman" w:hAnsi="Times New Roman" w:cs="Times New Roman"/>
        </w:rPr>
        <w:fldChar w:fldCharType="end"/>
      </w:r>
    </w:p>
  </w:footnote>
  <w:footnote w:id="56">
    <w:p w14:paraId="344CAEE9">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{"citationItems":[{"id":"ITEM-1","itemData":{"author":[{"dropping-particle":"","family":"Dunn","given":"James D. G","non-dropping-particle":"","parse-names":false,"suffix":""}],"edition":"Vol. 38B","id":"ITEM-1","issued":{"date-parts":[["1988"]]},"publisher":"Word Books Publisher","publisher-place":"Dallas","title":"Romans 9-16 Word Biblical Commentary","type":"book"},"uris":["http://www.mendeley.com/documents/?uuid=3135b17d-ca27-4335-b9ea-96e53d71f6b8","http://www.mendeley.com/documents/?uuid=fedd3db4-6862-4649-a8f0-f9a864bd8b81"]}],"mendeley":{"formattedCitation":"James D. G Dunn, &lt;i&gt;Romans 9-16 Word Biblical Commentary&lt;/i&gt;, Vol. 38B (Dallas: Word Books Publisher, 1988).","manualFormatting":"James D. G Dunn, Romans 9-16 Word Biblical Commentary, Vol. 38B. (Dallas: Word Books Publisher, 1988), 762.","plainTextFormattedCitation":"James D. G Dunn, Romans 9-16 Word Biblical Commentary, Vol. 38B (Dallas: Word Books Publisher, 1988).","previouslyFormattedCitation":"James D. G Dunn, &lt;i&gt;Romans 9-16 Word Biblical Commentary&lt;/i&gt;, Vol. 38B. (Dallas: Word Books Publisher, 1988)."},"properties":{"noteIndex":48},"schema":"https://github.com/citation-style-language/schema/raw/master/csl-citation.json"}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James D. G Dunn, </w:t>
      </w:r>
      <w:r>
        <w:rPr>
          <w:rFonts w:ascii="Times New Roman" w:hAnsi="Times New Roman" w:cs="Times New Roman"/>
          <w:i/>
        </w:rPr>
        <w:t>Romans 9-16 Word Biblical Commentary</w:t>
      </w:r>
      <w:r>
        <w:rPr>
          <w:rFonts w:ascii="Times New Roman" w:hAnsi="Times New Roman" w:cs="Times New Roman"/>
        </w:rPr>
        <w:t>, Vol. 38B. (Dallas: Word Books Publisher, 1988), 762.</w:t>
      </w:r>
      <w:r>
        <w:rPr>
          <w:rFonts w:ascii="Times New Roman" w:hAnsi="Times New Roman" w:cs="Times New Roman"/>
        </w:rPr>
        <w:fldChar w:fldCharType="end"/>
      </w:r>
    </w:p>
  </w:footnote>
  <w:footnote w:id="57">
    <w:p w14:paraId="7CDF0259">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30-31.","plainTextFormattedCitation":"Balz, Exegetical Dictionary of the New Testament.","previouslyFormattedCitation":"Balz, &lt;i&gt;Exegetical Dictionary of the New Testament&lt;/i&gt;."},"properties":{"noteIndex":49},"schema":"https://github.com/citation-style-language/schema/raw/master/csl-citation.json"}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Balz, </w:t>
      </w:r>
      <w:r>
        <w:rPr>
          <w:rFonts w:ascii="Times New Roman" w:hAnsi="Times New Roman" w:cs="Times New Roman"/>
          <w:i/>
        </w:rPr>
        <w:t>Exegetical Dictionary of the New Testament</w:t>
      </w:r>
      <w:r>
        <w:rPr>
          <w:rFonts w:ascii="Times New Roman" w:hAnsi="Times New Roman" w:cs="Times New Roman"/>
          <w:iCs/>
        </w:rPr>
        <w:t>, 30-31</w:t>
      </w:r>
      <w:r>
        <w:rPr>
          <w:rFonts w:ascii="Times New Roman" w:hAnsi="Times New Roman" w:cs="Times New Roman"/>
        </w:rPr>
        <w:t>.</w:t>
      </w:r>
      <w:r>
        <w:rPr>
          <w:rFonts w:ascii="Times New Roman" w:hAnsi="Times New Roman" w:cs="Times New Roman"/>
        </w:rPr>
        <w:fldChar w:fldCharType="end"/>
      </w:r>
    </w:p>
  </w:footnote>
  <w:footnote w:id="58">
    <w:p w14:paraId="126A0B25">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Lexicon","type":"book"},"uris":["http://www.mendeley.com/documents/?uuid=f8935a19-361c-4a45-8411-a58eac150c75","http://www.mendeley.com/documents/?uuid=eb9d0bf8-ad33-4c98-82ed-b1f8a279022f"]}],"mendeley":{"formattedCitation":"Roderick McKenzie Henry George Liddell, dan Robert Scott, H. Stuart Jones, &lt;i&gt;A Greek English Lexicon&lt;/i&gt; (Oxford: Clarendon Press, 1996).","manualFormatting":"Liddell, Henry George, dan Robert Scott, H. Stuart Jones, Roderick McKenzie, A Greek English Lexicon (Oxford: Clarendon Press, 1996), 9549.","plainTextFormattedCitation":"Roderick McKenzie Henry George Liddell, dan Robert Scott, H. Stuart Jones, A Greek English Lexicon (Oxford: Clarendon Press, 1996).","previouslyFormattedCitation":"Roderick McKenzie Henry George Liddell, dan Robert Scott, H. Stuart Jones, &lt;i&gt;A Greek English Lexicon&lt;/i&gt; (Oxford: Clarendon Press, 1996)."},"properties":{"noteIndex":50},"schema":"https://github.com/citation-style-language/schema/raw/master/csl-citation.json"}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Liddell, Henry George, dan Robert Scott, H. Stuart Jones, Roderick McKenzie</w:t>
      </w:r>
      <w:r>
        <w:rPr>
          <w:rFonts w:ascii="Times New Roman" w:hAnsi="Times New Roman" w:cs="Times New Roman"/>
          <w:i/>
        </w:rPr>
        <w:t>, A Greek English Lexicon</w:t>
      </w:r>
      <w:r>
        <w:rPr>
          <w:rFonts w:ascii="Times New Roman" w:hAnsi="Times New Roman" w:cs="Times New Roman"/>
        </w:rPr>
        <w:t xml:space="preserve"> (Oxford: Clarendon Press, 1996), 9549.</w:t>
      </w:r>
      <w:r>
        <w:rPr>
          <w:rFonts w:ascii="Times New Roman" w:hAnsi="Times New Roman" w:cs="Times New Roman"/>
        </w:rPr>
        <w:fldChar w:fldCharType="end"/>
      </w:r>
    </w:p>
  </w:footnote>
  <w:footnote w:id="59">
    <w:p w14:paraId="093A32D5">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Romans","type":"book"},"uris":["http://www.mendeley.com/documents/?uuid=959dc268-f182-49f1-9c84-c75c894460e5","http://www.mendeley.com/documents/?uuid=1eead6a3-a6b7-44b5-8912-cbd803fc5985"]}],"mendeley":{"formattedCitation":"Bird, &lt;i&gt;The Story of God Bible Commentary: Romans&lt;/i&gt;.","plainTextFormattedCitation":"Bird, The Story of God Bible Commentary: Romans.","previouslyFormattedCitation":"Bird, &lt;i&gt;The Story of God Bible Commentary: Romans&lt;/i&gt;."},"properties":{"noteIndex":51},"schema":"https://github.com/citation-style-language/schema/raw/master/csl-citation.json"}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Bird, </w:t>
      </w:r>
      <w:r>
        <w:rPr>
          <w:rFonts w:ascii="Times New Roman" w:hAnsi="Times New Roman" w:cs="Times New Roman"/>
          <w:i/>
        </w:rPr>
        <w:t>The Story of God Bible Commentary: Romans</w:t>
      </w:r>
      <w:r>
        <w:rPr>
          <w:rFonts w:ascii="Times New Roman" w:hAnsi="Times New Roman" w:cs="Times New Roman"/>
        </w:rPr>
        <w:t>.</w:t>
      </w:r>
      <w:r>
        <w:rPr>
          <w:rFonts w:ascii="Times New Roman" w:hAnsi="Times New Roman" w:cs="Times New Roman"/>
        </w:rPr>
        <w:fldChar w:fldCharType="end"/>
      </w:r>
    </w:p>
  </w:footnote>
  <w:footnote w:id="60">
    <w:p w14:paraId="18BCC530">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Pemerintah?","type":"book"},"uris":["http://www.mendeley.com/documents/?uuid=fbba0b0a-b479-4f8f-9876-377a9f3fb9c2","http://www.mendeley.com/documents/?uuid=0e5f5891-262e-450a-853d-47c65b6bd1e1"]}],"mendeley":{"formattedCitation":"Rambitan, &lt;i&gt;Haruskah Orang Kristen Takluk Dan Takut Kepada Pemerintah?&lt;/i&gt;","manualFormatting":"Stanley Refly Rambitan, Haruskah Orang Kristen Takluk Dan Takut Kepada Pemerintah? (Jakarta: UKI Press, 2019), 22-23.","plainTextFormattedCitation":"Rambitan, Haruskah Orang Kristen Takluk Dan Takut Kepada Pemerintah?","previouslyFormattedCitation":"Rambitan, &lt;i&gt;Haruskah Orang Kristen Takluk Dan Takut Kepada Pemerintah?&lt;/i&gt;"},"properties":{"noteIndex":52},"schema":"https://github.com/citation-style-language/schema/raw/master/csl-citation.json"}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Stanley Refly Rambitan, </w:t>
      </w:r>
      <w:r>
        <w:rPr>
          <w:rFonts w:ascii="Times New Roman" w:hAnsi="Times New Roman" w:cs="Times New Roman"/>
          <w:i/>
        </w:rPr>
        <w:t>Haruskah Orang Kristen Takluk Dan Takut Kepada Pemerintah?</w:t>
      </w:r>
      <w:r>
        <w:rPr>
          <w:rFonts w:ascii="Times New Roman" w:hAnsi="Times New Roman" w:cs="Times New Roman"/>
        </w:rPr>
        <w:t xml:space="preserve"> (Jakarta: UKI Press, 2019), 22-23.</w:t>
      </w:r>
      <w:r>
        <w:rPr>
          <w:rFonts w:ascii="Times New Roman" w:hAnsi="Times New Roman" w:cs="Times New Roman"/>
        </w:rPr>
        <w:fldChar w:fldCharType="end"/>
      </w:r>
    </w:p>
  </w:footnote>
  <w:footnote w:id="61">
    <w:p w14:paraId="1CE5719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5559.","plainTextFormattedCitation":"Balz, Exegetical Dictionary of the New Testament.","previouslyFormattedCitation":"Balz, &lt;i&gt;Exegetical Dictionary of the New Testament&lt;/i&gt;."},"properties":{"noteIndex":53},"schema":"https://github.com/citation-style-language/schema/raw/master/csl-citation.json"}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Balz, </w:t>
      </w:r>
      <w:r>
        <w:rPr>
          <w:rFonts w:ascii="Times New Roman" w:hAnsi="Times New Roman" w:cs="Times New Roman"/>
          <w:i/>
        </w:rPr>
        <w:t>Exegetical Dictionary of the New Testament</w:t>
      </w:r>
      <w:r>
        <w:rPr>
          <w:rFonts w:ascii="Times New Roman" w:hAnsi="Times New Roman" w:cs="Times New Roman"/>
          <w:iCs/>
        </w:rPr>
        <w:t>, 5559</w:t>
      </w:r>
      <w:r>
        <w:rPr>
          <w:rFonts w:ascii="Times New Roman" w:hAnsi="Times New Roman" w:cs="Times New Roman"/>
        </w:rPr>
        <w:t>.</w:t>
      </w:r>
      <w:r>
        <w:rPr>
          <w:rFonts w:ascii="Times New Roman" w:hAnsi="Times New Roman" w:cs="Times New Roman"/>
        </w:rPr>
        <w:fldChar w:fldCharType="end"/>
      </w:r>
    </w:p>
  </w:footnote>
  <w:footnote w:id="62">
    <w:p w14:paraId="2942AB2F">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Testament","type":"book"},"uris":["http://www.mendeley.com/documents/?uuid=3729b4f5-dd2b-4122-87b5-441d2a19fca2","http://www.mendeley.com/documents/?uuid=76fce280-5a66-4f91-9034-42b7600be182"]}],"mendeley":{"formattedCitation":"and G. Milligan Moulton, J. H, &lt;i&gt;Vocabulary of the Greek Testament&lt;/i&gt; (London: Hodder and Stoughton, 1930).","manualFormatting":"Milligan Moulton, J. H, and G. Milligan, Vocabulary of the Greek Testament (London: Hodder and Stoughton, 1930), 673.","plainTextFormattedCitation":"and G. Milligan Moulton, J. H, Vocabulary of the Greek Testament (London: Hodder and Stoughton, 1930).","previouslyFormattedCitation":"and G. Milligan Moulton, J. H, &lt;i&gt;Vocabulary of the Greek Testament&lt;/i&gt; (London: Hodder and Stoughton, 1930)."},"properties":{"noteIndex":54},"schema":"https://github.com/citation-style-language/schema/raw/master/csl-citation.json"}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Milligan Moulton, J. H, and G. Milligan, </w:t>
      </w:r>
      <w:r>
        <w:rPr>
          <w:rFonts w:ascii="Times New Roman" w:hAnsi="Times New Roman" w:cs="Times New Roman"/>
          <w:i/>
        </w:rPr>
        <w:t>Vocabulary of the Greek Testament</w:t>
      </w:r>
      <w:r>
        <w:rPr>
          <w:rFonts w:ascii="Times New Roman" w:hAnsi="Times New Roman" w:cs="Times New Roman"/>
        </w:rPr>
        <w:t xml:space="preserve"> (London: Hodder and Stoughton, 1930), 673.</w:t>
      </w:r>
      <w:r>
        <w:rPr>
          <w:rFonts w:ascii="Times New Roman" w:hAnsi="Times New Roman" w:cs="Times New Roman"/>
        </w:rPr>
        <w:fldChar w:fldCharType="end"/>
      </w:r>
    </w:p>
  </w:footnote>
  <w:footnote w:id="63">
    <w:p w14:paraId="7DADE5F0">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{"citationItems":[{"id":"ITEM-1","itemData":{"DOI":"10.1177/0953946816674150","ISSN":"17455235","abstract":"This article poses a challenge to the assumption that all conceptions of the imago Dei are practical, meaning that they can coherently provide a guide for human action. The article identifies three criteria for practicality and applies them to two accounts of the imago, one in the thought of the twentieth-century theologian Helmut Thielicke, the other in the Roman Catholic tradition. It argues that Thielicke’s account of the imago, which forms the basis for what he calls ‘alien dignity’, fails to meet the criteria of practicality, and thus cannot serve as an adequate guide for action. In contrast, the account of the imago and human dignity in the Roman Catholic tradition does meet the criteria. This comparison, the article concludes, ultimately helps provide a means of assessing diverse theological interpretations of the imago and their value for supporting a morally useful conception of human worth.","author":[{"dropping-particle":"","family":"Petrusek","given":"Matthew R.","non-dropping-particle":"","parse-names":false,"suffix":""}],"container-title":"Studies in Christian Ethics","id":"ITEM-1","issue":"1","issued":{"date-parts":[["2017"]]},"page":"60-82","title":"The Image of God and Moral Action: Challenging the Practicality of the Imago Dei","type":"article-journal","volume":"30"},"uris":["http://www.mendeley.com/documents/?uuid=89df26a1-9b50-4c0d-b03b-8ae930aa6111","http://www.mendeley.com/documents/?uuid=8a927f44-f1f6-43eb-86d3-c419e585f931"]}],"mendeley":{"formattedCitation":"Matthew R. Petrusek, “The Image of God and Moral Action: Challenging the Practicality of the Imago Dei,” &lt;i&gt;Studies in Christian Ethics&lt;/i&gt; 30, no. 1 (2017): 60–82, https://doi.org/10.1177/0953946816674150.","plainTextFormattedCitation":"Matthew R. Petrusek, “The Image of God and Moral Action: Challenging the Practicality of the Imago Dei,” Studies in Christian Ethics 30, no. 1 (2017): 60–82, https://doi.org/10.1177/0953946816674150.","previouslyFormattedCitation":"Matthew R. Petrusek, “The Image of God and Moral Action: Challenging the Practicality of the Imago Dei,” &lt;i&gt;Studies in Christian Ethics&lt;/i&gt; 30, no. 1 (2017): 60–82."},"properties":{"noteIndex":55},"schema":"https://github.com/citation-style-language/schema/raw/master/csl-citation.json"}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Matthew R. Petrusek, “The Image of God and Moral Action: Challenging the Practicality of the Imago Dei,” </w:t>
      </w:r>
      <w:r>
        <w:rPr>
          <w:rFonts w:ascii="Times New Roman" w:hAnsi="Times New Roman" w:cs="Times New Roman"/>
          <w:i/>
        </w:rPr>
        <w:t>Studies in Christian Ethics</w:t>
      </w:r>
      <w:r>
        <w:rPr>
          <w:rFonts w:ascii="Times New Roman" w:hAnsi="Times New Roman" w:cs="Times New Roman"/>
        </w:rPr>
        <w:t xml:space="preserve"> 30, no. 1 (2017): 60–82, https://doi.org/10.1177/0953946816674150.</w:t>
      </w:r>
      <w:r>
        <w:rPr>
          <w:rFonts w:ascii="Times New Roman" w:hAnsi="Times New Roman" w:cs="Times New Roman"/>
        </w:rPr>
        <w:fldChar w:fldCharType="end"/>
      </w:r>
    </w:p>
  </w:footnote>
  <w:footnote w:id="64">
    <w:p w14:paraId="135B2D6A">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{"citationItems":[{"id":"ITEM-1","itemData":{"DOI":"10.34307/b.v1i1.23","ISSN":"2655-4666","abstract":"Humans are essentially human politics (zoon politikon), so that all the dynamics of human life must always be related to politics, both as a political subject and as an object driven by politics itself. It can be clearly stated that the dynamics of human life in a country must be in circulation of the subject and object at once. Ideally, whether it is entrusted as a political leader or as a society controlled by politics itself, both are political subjects. That is, those who are entrusted with directing and regulating state politics are clearly a subject that always deals with politics in a concrete way, but the general public is also a subject, meaning that all aspects of life and community activities influence the political world both directly and indirectly, or with in other words it can be said that every activity of the community both in the world of education, religion, social, law, etc. is a political responsibility to organize, control, and direct all aspects of life for the common good, so that briefly it can be said that society is the determinant politics itself and as a function of political control, both directly and indirectly. AbstrakManusia pada hakikatnya adalah manusia politik (zoon politikon), sehingga seluruh dinamika kehidupan manusia pasti selalu berkenaan dengan politik, baik sebagai subjek yang berpolitik maupun sebagai objek yang digerakan oleh politik itu sendiri. Dengan jelas dapat dikatakan bahwa dinamika kehidupan manusia dalam suatu negara pasti berada dalam sirkulasi subjek dan objek sekaligus. Idealnya, baik yang dipercayakan sebagai pemimpin politik maupun sebagai masyarakat yang dikendalikan oleh politik itu sendiri, keduanya adalah subjek (pelaku) politik. Artinya, mereka yang dipercayakan mengarahkan dan mengatur politik negara jelas adalah subjek yang selalu bergelut dengan politik secara konkret , akan tetapi masyarakat umum juga adalah subjek, artinya segala aspek kehidupan dan aktivitas masyarakat membawa pengaruh bagi dunia politik baik  secara langsung maupun tidak langsung, atau dengan kata lain dapat dikatakan bahwa setiap aktivitas masyarakat baik dalam dunia pendidikan, agama, sosial, hukum, dan lain sebagainya menjadi tanggung jawab politik untuk menata, mengendalikan, dan mengarahkan semua aspek kehidupan tersebut demi kebaikan bersama, sehingga dengan singkat dapat dikatakan bahwa masyarakat adalah penentu politik itu sendiri dan sebagai fungsi kontrol politik, baik secara langsung maupun tidak langsung.","author":[{"dropping-particle":"","family":"Wowor","given":"Alter I","non-dropping-particle":"","parse-names":false,"suffix":""}],"container-title":"BIA': Jurnal Teologi dan Pendidikan Kristen Kontekstual","id":"ITEM-1","issue":"1","issued":{"date-parts":[["2018"]]},"page":"112-123","title":"Teologi dan Etika Politik Dalam Gereja di Zaman Post-Modern","type":"article-journal","volume":"1"},"uris":["http://www.mendeley.com/documents/?uuid=1d74f36a-ef14-44d1-9deb-d7cf33ae59c3","http://www.mendeley.com/documents/?uuid=bb499925-61f1-4130-955d-9d572dfed7f1"]}],"mendeley":{"formattedCitation":"Alter I Wowor, “Teologi Dan Etika Politik Dalam Gereja Di Zaman Post-Modern,” &lt;i&gt;BIA’: Jurnal Teologi Dan Pendidikan Kristen Kontekstual&lt;/i&gt; 1, no. 1 (2018): 112–23, https://doi.org/10.34307/b.v1i1.23.","plainTextFormattedCitation":"Alter I Wowor, “Teologi Dan Etika Politik Dalam Gereja Di Zaman Post-Modern,” BIA’: Jurnal Teologi Dan Pendidikan Kristen Kontekstual 1, no. 1 (2018): 112–23, https://doi.org/10.34307/b.v1i1.23.","previouslyFormattedCitation":"Alter I Wowor, “Teologi Dan Etika Politik Dalam Gereja Di Zaman Post-Modern,” &lt;i&gt;BIA’: Jurnal Teologi dan Pendidikan Kristen Kontekstual&lt;/i&gt; 1, no. 1 (2018): 112–123."},"properties":{"noteIndex":56},"schema":"https://github.com/citation-style-language/schema/raw/master/csl-citation.json"}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Alter I Wowor, “Teologi Dan Etika Politik Dalam Gereja Di Zaman Post-Modern,” </w:t>
      </w:r>
      <w:r>
        <w:rPr>
          <w:rFonts w:ascii="Times New Roman" w:hAnsi="Times New Roman" w:cs="Times New Roman"/>
          <w:i/>
        </w:rPr>
        <w:t>BIA’: Jurnal Teologi Dan Pendidikan Kristen Kontekstual</w:t>
      </w:r>
      <w:r>
        <w:rPr>
          <w:rFonts w:ascii="Times New Roman" w:hAnsi="Times New Roman" w:cs="Times New Roman"/>
        </w:rPr>
        <w:t xml:space="preserve"> 1, no. 1 (2018): 112–23, https://doi.org/10.34307/b.v1i1.23.</w:t>
      </w:r>
      <w:r>
        <w:rPr>
          <w:rFonts w:ascii="Times New Roman" w:hAnsi="Times New Roman" w:cs="Times New Roman"/>
        </w:rPr>
        <w:fldChar w:fldCharType="end"/>
      </w:r>
    </w:p>
  </w:footnote>
  <w:footnote w:id="65">
    <w:p w14:paraId="2BE9ED7D">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Lexicon","type":"book"},"uris":["http://www.mendeley.com/documents/?uuid=eb9d0bf8-ad33-4c98-82ed-b1f8a279022f","http://www.mendeley.com/documents/?uuid=f8935a19-361c-4a45-8411-a58eac150c75"]}],"mendeley":{"formattedCitation":"Henry George Liddell, dan Robert Scott, H. Stuart Jones, &lt;i&gt;A Greek English Lexicon&lt;/i&gt;.","manualFormatting":"Henry George Liddell, dan Robert Scott, H. Stuart Jones, A Greek English Lexicon, 10202.","plainTextFormattedCitation":"Henry George Liddell, dan Robert Scott, H. Stuart Jones, A Greek English Lexicon.","previouslyFormattedCitation":"Henry George Liddell, dan Robert Scott, H. Stuart Jones, &lt;i&gt;A Greek English Lexicon&lt;/i&gt;."},"properties":{"noteIndex":57},"schema":"https://github.com/citation-style-language/schema/raw/master/csl-citation.json"}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Henry George Liddell, dan Robert Scott, H. Stuart Jones, </w:t>
      </w:r>
      <w:r>
        <w:rPr>
          <w:rFonts w:ascii="Times New Roman" w:hAnsi="Times New Roman" w:cs="Times New Roman"/>
          <w:i/>
        </w:rPr>
        <w:t>A Greek English Lexicon</w:t>
      </w:r>
      <w:r>
        <w:rPr>
          <w:rFonts w:ascii="Times New Roman" w:hAnsi="Times New Roman" w:cs="Times New Roman"/>
          <w:iCs/>
        </w:rPr>
        <w:t>, 10202</w:t>
      </w:r>
      <w:r>
        <w:rPr>
          <w:rFonts w:ascii="Times New Roman" w:hAnsi="Times New Roman" w:cs="Times New Roman"/>
        </w:rPr>
        <w:t>.</w:t>
      </w:r>
      <w:r>
        <w:rPr>
          <w:rFonts w:ascii="Times New Roman" w:hAnsi="Times New Roman" w:cs="Times New Roman"/>
        </w:rPr>
        <w:fldChar w:fldCharType="end"/>
      </w:r>
    </w:p>
  </w:footnote>
  <w:footnote w:id="66">
    <w:p w14:paraId="48488DCE">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{"citationItems":[{"id":"ITEM-1","itemData":{"author":[{"dropping-particle":"","family":"Lust, Johan., dan Erik Eynikel","given":"dan Katrin Hauspie","non-dropping-particle":"","parse-names":false,"suffix":""}],"id":"ITEM-1","issued":{"date-parts":[["2003"]]},"publisher":"Bibelgesellschaft","publisher-place":"Stuttgart","title":"Greek-English Lexicon of the Septuagint","type":"book"},"uris":["http://www.mendeley.com/documents/?uuid=cd26f076-b015-46ee-9dc8-fe69ce4e87a1","http://www.mendeley.com/documents/?uuid=9fef78d2-5c89-4a23-9024-19a7d25cb793"]}],"mendeley":{"formattedCitation":"dan Katrin Hauspie Lust, Johan., dan Erik Eynikel, &lt;i&gt;Greek-English Lexicon of the Septuagint&lt;/i&gt; (Stuttgart: Bibelgesellschaft, 2003).","manualFormatting":"Lust, Johan., dan Erik Eynikel, dan Katrin Hauspie, Greek-English Lexicon of the Septuagint (Stuttgart: Bibelgesellschaft, 2003), 2128.","plainTextFormattedCitation":"dan Katrin Hauspie Lust, Johan., dan Erik Eynikel, Greek-English Lexicon of the Septuagint (Stuttgart: Bibelgesellschaft, 2003).","previouslyFormattedCitation":"dan Katrin Hauspie Lust, Johan., dan Erik Eynikel, &lt;i&gt;Greek-English Lexicon of the Septuagint&lt;/i&gt; (Stuttgart: Bibelgesellschaft, 2003)."},"properties":{"noteIndex":58},"schema":"https://github.com/citation-style-language/schema/raw/master/csl-citation.json"}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Lust, Johan., dan Erik Eynikel, dan Katrin Hauspie, </w:t>
      </w:r>
      <w:r>
        <w:rPr>
          <w:rFonts w:ascii="Times New Roman" w:hAnsi="Times New Roman" w:cs="Times New Roman"/>
          <w:i/>
        </w:rPr>
        <w:t>Greek-English Lexicon of the Septuagint</w:t>
      </w:r>
      <w:r>
        <w:rPr>
          <w:rFonts w:ascii="Times New Roman" w:hAnsi="Times New Roman" w:cs="Times New Roman"/>
        </w:rPr>
        <w:t xml:space="preserve"> (Stuttgart: Bibelgesellschaft, 2003), 2128.</w:t>
      </w:r>
      <w:r>
        <w:rPr>
          <w:rFonts w:ascii="Times New Roman" w:hAnsi="Times New Roman" w:cs="Times New Roman"/>
        </w:rPr>
        <w:fldChar w:fldCharType="end"/>
      </w:r>
    </w:p>
  </w:footnote>
  <w:footnote w:id="67">
    <w:p w14:paraId="2274F6EC">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Testament","type":"book"},"uris":["http://www.mendeley.com/documents/?uuid=76fce280-5a66-4f91-9034-42b7600be182","http://www.mendeley.com/documents/?uuid=3729b4f5-dd2b-4122-87b5-441d2a19fca2"]}],"mendeley":{"formattedCitation":"Moulton, J. H, &lt;i&gt;Vocabulary of the Greek Testament&lt;/i&gt;.","manualFormatting":"Moulton, J. H, Vocabulary of the Greek Testament, 149.","plainTextFormattedCitation":"Moulton, J. H, Vocabulary of the Greek Testament.","previouslyFormattedCitation":"Moulton, J. H, &lt;i&gt;Vocabulary of the Greek Testament&lt;/i&gt;."},"properties":{"noteIndex":59},"schema":"https://github.com/citation-style-language/schema/raw/master/csl-citation.json"}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Moulton, J. H, </w:t>
      </w:r>
      <w:r>
        <w:rPr>
          <w:rFonts w:ascii="Times New Roman" w:hAnsi="Times New Roman" w:cs="Times New Roman"/>
          <w:i/>
        </w:rPr>
        <w:t>Vocabulary of the Greek Testament</w:t>
      </w:r>
      <w:r>
        <w:rPr>
          <w:rFonts w:ascii="Times New Roman" w:hAnsi="Times New Roman" w:cs="Times New Roman"/>
          <w:iCs/>
        </w:rPr>
        <w:t>, 149</w:t>
      </w:r>
      <w:r>
        <w:rPr>
          <w:rFonts w:ascii="Times New Roman" w:hAnsi="Times New Roman" w:cs="Times New Roman"/>
        </w:rPr>
        <w:t>.</w:t>
      </w:r>
      <w:r>
        <w:rPr>
          <w:rFonts w:ascii="Times New Roman" w:hAnsi="Times New Roman" w:cs="Times New Roman"/>
        </w:rPr>
        <w:fldChar w:fldCharType="end"/>
      </w:r>
    </w:p>
  </w:footnote>
  <w:footnote w:id="68">
    <w:p w14:paraId="7C318277">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{"citationItems":[{"id":"ITEM-1","itemData":{"author":[{"dropping-particle":"","family":"Danker, Frederick W. William Arndt","given":"dan Walter Bauer","non-dropping-particle":"","parse-names":false,"suffix":""}],"id":"ITEM-1","issued":{"date-parts":[["2000"]]},"number-of-pages":"159","publisher":"University of Chicago","publisher-place":"Chicago","title":"Greek English Lexicon Of The New Testament","type":"book"},"uris":["http://www.mendeley.com/documents/?uuid=961acab0-c5d7-4947-a524-4e169e734b07","http://www.mendeley.com/documents/?uuid=3eda7adb-6aa1-4e5e-a689-03198c377f97"]}],"mendeley":{"formattedCitation":"dan Walter Bauer Danker, Frederick W. William Arndt, &lt;i&gt;Greek English Lexicon Of The New Testament&lt;/i&gt; (Chicago: University of Chicago, 2000).","manualFormatting":"Bauer, Walter, dan Frederick William Danker, Greek English Lexicon Of The New Testament (Chicago: University of Chicago, 2000), 1858.","plainTextFormattedCitation":"dan Walter Bauer Danker, Frederick W. William Arndt, Greek English Lexicon Of The New Testament (Chicago: University of Chicago, 2000).","previouslyFormattedCitation":"dan Walter Bauer Danker, Frederick W. William Arndt, &lt;i&gt;Greek English Lexicon Of The New Testament&lt;/i&gt; (Chicago: University of Chicago, 2000)."},"properties":{"noteIndex":60},"schema":"https://github.com/citation-style-language/schema/raw/master/csl-citation.json"}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Bauer, Walter, dan Frederick William Danker, </w:t>
      </w:r>
      <w:r>
        <w:rPr>
          <w:rFonts w:ascii="Times New Roman" w:hAnsi="Times New Roman" w:cs="Times New Roman"/>
          <w:i/>
        </w:rPr>
        <w:t>Greek English Lexicon Of The New Testament</w:t>
      </w:r>
      <w:r>
        <w:rPr>
          <w:rFonts w:ascii="Times New Roman" w:hAnsi="Times New Roman" w:cs="Times New Roman"/>
        </w:rPr>
        <w:t xml:space="preserve"> (Chicago: University of Chicago, 2000), 1858.</w:t>
      </w:r>
      <w:r>
        <w:rPr>
          <w:rFonts w:ascii="Times New Roman" w:hAnsi="Times New Roman" w:cs="Times New Roman"/>
        </w:rPr>
        <w:fldChar w:fldCharType="end"/>
      </w:r>
    </w:p>
  </w:footnote>
  <w:footnote w:id="69">
    <w:p w14:paraId="1266FB0E">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.","plainTextFormattedCitation":"Balz, Exegetical Dictionary of the New Testament.","previouslyFormattedCitation":"Balz, &lt;i&gt;Exegetical Dictionary of the New Testament&lt;/i&gt;."},"properties":{"noteIndex":61},"schema":"https://github.com/citation-style-language/schema/raw/master/csl-citation.json"}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Balz, </w:t>
      </w:r>
      <w:r>
        <w:rPr>
          <w:rFonts w:ascii="Times New Roman" w:hAnsi="Times New Roman" w:cs="Times New Roman"/>
          <w:i/>
        </w:rPr>
        <w:t>Exegetical Dictionary of the New Testament</w:t>
      </w:r>
      <w:r>
        <w:rPr>
          <w:rFonts w:ascii="Times New Roman" w:hAnsi="Times New Roman" w:cs="Times New Roman"/>
          <w:iCs/>
        </w:rPr>
        <w:t xml:space="preserve">, </w:t>
      </w:r>
      <w:r>
        <w:rPr>
          <w:rFonts w:ascii="Times New Roman" w:hAnsi="Times New Roman" w:cs="Times New Roman"/>
        </w:rPr>
        <w:t>.</w:t>
      </w:r>
      <w:r>
        <w:rPr>
          <w:rFonts w:ascii="Times New Roman" w:hAnsi="Times New Roman" w:cs="Times New Roman"/>
        </w:rPr>
        <w:fldChar w:fldCharType="end"/>
      </w:r>
    </w:p>
  </w:footnote>
  <w:footnote w:id="70">
    <w:p w14:paraId="13BA0A40">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{"citationItems":[{"id":"ITEM-1","itemData":{"author":[{"dropping-particle":"","family":"Sumual","given":"Ivonne Sandra","non-dropping-particle":"","parse-names":false,"suffix":""},{"dropping-particle":"","family":"Hasudunga","given":"Lois","non-dropping-particle":"","parse-names":false,"suffix":""},{"dropping-particle":"","family":"Abdillah","given":"Aldi","non-dropping-particle":"","parse-names":false,"suffix":""},{"dropping-particle":"","family":"Edu","given":"Ferdinand","non-dropping-particle":"","parse-names":false,"suffix":""},{"dropping-particle":"","family":"Tinggi","given":"Sekolah","non-dropping-particle":"","parse-names":false,"suffix":""},{"dropping-particle":"","family":"Bethel","given":"Teologi","non-dropping-particle":"","parse-names":false,"suffix":""}],"id":"ITEM-1","issue":"2","issued":{"date-parts":[["2021"]]},"page":"1-7","title":"Peran dan Kerjasama Gereja Bethel Indonesia Torsina dengan Pemerintah dalam Mensejahterakan Masyarakat di daerah Olafuliha ’ a , Pantai Baru , Rote Ndao : Implementasi Roma 13 : 1 - 7","type":"article-journal","volume":"4"},"uris":["http://www.mendeley.com/documents/?uuid=b84228e2-dbf4-4d79-98da-e0bfc4f41490","http://www.mendeley.com/documents/?uuid=f9577226-85fe-407e-a34f-cb236fcf7251"]}],"mendeley":{"formattedCitation":"Ivonne Sandra Sumual et al., “Peran Dan Kerjasama Gereja Bethel Indonesia Torsina Dengan Pemerintah Dalam Mensejahterakan Masyarakat Di Daerah Olafuliha ’ a , Pantai Baru , Rote Ndao : Implementasi Roma 13 : 1 - 7” 4, no. 2 (2021): 1–7.","plainTextFormattedCitation":"Ivonne Sandra Sumual et al., “Peran Dan Kerjasama Gereja Bethel Indonesia Torsina Dengan Pemerintah Dalam Mensejahterakan Masyarakat Di Daerah Olafuliha ’ a , Pantai Baru , Rote Ndao : Implementasi Roma 13 : 1 - 7” 4, no. 2 (2021): 1–7.","previouslyFormattedCitation":"Ivonne Sandra Sumual et al., “Peran Dan Kerjasama Gereja Bethel Indonesia Torsina Dengan Pemerintah Dalam Mensejahterakan Masyarakat Di Daerah Olafuliha ’ a , Pantai Baru , Rote Ndao : Implementasi Roma 13 : 1 - 7” 4, no. 2 (2021): 1–7."},"properties":{"noteIndex":62},"schema":"https://github.com/citation-style-language/schema/raw/master/csl-citation.json"}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Ivonne Sandra Sumual et al., “Peran Dan Kerjasama Gereja Bethel Indonesia Torsina Dengan Pemerintah Dalam Mensejahterakan Masyarakat Di Daerah Olafuliha ’ a , Pantai Baru , Rote Ndao : Implementasi Roma 13 : 1 - 7” 4, no. 2 (2021): 1–7.</w:t>
      </w:r>
      <w:r>
        <w:rPr>
          <w:rFonts w:ascii="Times New Roman" w:hAnsi="Times New Roman" w:cs="Times New Roman"/>
        </w:rPr>
        <w:fldChar w:fldCharType="end"/>
      </w:r>
    </w:p>
  </w:footnote>
  <w:footnote w:id="71">
    <w:p w14:paraId="6327FBA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{"citationItems":[{"id":"ITEM-1","itemData":{"author":[{"dropping-particle":"","family":"Guthrie","given":"Donald","non-dropping-particle":"","parse-names":false,"suffix":""}],"id":"ITEM-1","issued":{"date-parts":[["1981"]]},"publisher":"BPK Gunung Mulia","publisher-place":"Jakarta","title":"Tafsiran Alkitab Masa Kini 3: Matius-Wahyu","type":"book"},"uris":["http://www.mendeley.com/documents/?uuid=189297c8-425f-4d55-91e3-19806a7ca739","http://www.mendeley.com/documents/?uuid=fc1473c5-8312-4e7f-b0e4-c4d3994867c2"]}],"mendeley":{"formattedCitation":"Donald Guthrie, &lt;i&gt;Tafsiran Alkitab Masa Kini 3: Matius-Wahyu&lt;/i&gt; (Jakarta: BPK Gunung Mulia, 1981).","manualFormatting":"Donald Guthrie, Tafsiran Alkitab Masa Kini 3: Matius-Wahyu (Jakarta: BPK Gunung Mulia, 1981), 476.","plainTextFormattedCitation":"Donald Guthrie, Tafsiran Alkitab Masa Kini 3: Matius-Wahyu (Jakarta: BPK Gunung Mulia, 1981).","previouslyFormattedCitation":"Donald Guthrie, &lt;i&gt;Tafsiran Alkitab Masa Kini 3: Matius-Wahyu&lt;/i&gt; (Jakarta: BPK Gunung Mulia, 1981)."},"properties":{"noteIndex":63},"schema":"https://github.com/citation-style-language/schema/raw/master/csl-citation.json"}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Donald Guthrie, </w:t>
      </w:r>
      <w:r>
        <w:rPr>
          <w:rFonts w:ascii="Times New Roman" w:hAnsi="Times New Roman" w:cs="Times New Roman"/>
          <w:i/>
        </w:rPr>
        <w:t>Tafsiran Alkitab Masa Kini 3: Matius-Wahyu</w:t>
      </w:r>
      <w:r>
        <w:rPr>
          <w:rFonts w:ascii="Times New Roman" w:hAnsi="Times New Roman" w:cs="Times New Roman"/>
        </w:rPr>
        <w:t xml:space="preserve"> (Jakarta: BPK Gunung Mulia, 1981), 476.</w:t>
      </w:r>
      <w:r>
        <w:rPr>
          <w:rFonts w:ascii="Times New Roman" w:hAnsi="Times New Roman" w:cs="Times New Roman"/>
        </w:rPr>
        <w:fldChar w:fldCharType="end"/>
      </w:r>
    </w:p>
  </w:footnote>
  <w:footnote w:id="72">
    <w:p w14:paraId="0FED7382">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{"citationItems":[{"id":"ITEM-1","itemData":{"author":[{"dropping-particle":"","family":"Danker, Frederick W. William Arndt","given":"dan Walter Bauer","non-dropping-particle":"","parse-names":false,"suffix":""}],"id":"ITEM-1","issued":{"date-parts":[["2000"]]},"number-of-pages":"159","publisher":"University of Chicago","publisher-place":"Chicago","title":"Greek English Lexicon Of The New Testament","type":"book"},"uris":["http://www.mendeley.com/documents/?uuid=3eda7adb-6aa1-4e5e-a689-03198c377f97","http://www.mendeley.com/documents/?uuid=961acab0-c5d7-4947-a524-4e169e734b07"]}],"mendeley":{"formattedCitation":"Danker, Frederick W. William Arndt, &lt;i&gt;Greek English Lexicon Of The New Testament&lt;/i&gt;.","manualFormatting":"Danker, Frederick W. William Arndt, Greek English Lexicon Of The New Testament, 4749.","plainTextFormattedCitation":"Danker, Frederick W. William Arndt, Greek English Lexicon Of The New Testament.","previouslyFormattedCitation":"Danker, Frederick W. William Arndt, &lt;i&gt;Greek English Lexicon Of The New Testament&lt;/i&gt;."},"properties":{"noteIndex":64},"schema":"https://github.com/citation-style-language/schema/raw/master/csl-citation.json"}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Danker, Frederick W. William Arndt, </w:t>
      </w:r>
      <w:r>
        <w:rPr>
          <w:rFonts w:ascii="Times New Roman" w:hAnsi="Times New Roman" w:cs="Times New Roman"/>
          <w:i/>
        </w:rPr>
        <w:t>Greek English Lexicon Of The New Testament</w:t>
      </w:r>
      <w:r>
        <w:rPr>
          <w:rFonts w:ascii="Times New Roman" w:hAnsi="Times New Roman" w:cs="Times New Roman"/>
          <w:iCs/>
        </w:rPr>
        <w:t>, 4749</w:t>
      </w:r>
      <w:r>
        <w:rPr>
          <w:rFonts w:ascii="Times New Roman" w:hAnsi="Times New Roman" w:cs="Times New Roman"/>
        </w:rPr>
        <w:t>.</w:t>
      </w:r>
      <w:r>
        <w:rPr>
          <w:rFonts w:ascii="Times New Roman" w:hAnsi="Times New Roman" w:cs="Times New Roman"/>
        </w:rPr>
        <w:fldChar w:fldCharType="end"/>
      </w:r>
    </w:p>
  </w:footnote>
  <w:footnote w:id="73">
    <w:p w14:paraId="23750D28">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{"citationItems":[{"id":"ITEM-1","itemData":{"author":[{"dropping-particle":"","family":"Moo","given":"Douglas","non-dropping-particle":"","parse-names":false,"suffix":""}],"id":"ITEM-1","issued":{"date-parts":[["1996"]]},"publisher":"William B. Eerdmans Publishing","publisher-place":"Grand Rapids","title":"The Epistle to the Romans","type":"book"},"uris":["http://www.mendeley.com/documents/?uuid=408e9e2c-f136-432d-aea5-a309e7b5ef5b","http://www.mendeley.com/documents/?uuid=7b8095fe-0149-4c58-a7b9-cc816a025f1d"]}],"mendeley":{"formattedCitation":"Moo, &lt;i&gt;The Epistle to the Romans&lt;/i&gt;.","manualFormatting":"Moo, The Epistle to the Romans, 802.","plainTextFormattedCitation":"Moo, The Epistle to the Romans.","previouslyFormattedCitation":"Moo, &lt;i&gt;The Epistle to the Romans&lt;/i&gt;."},"properties":{"noteIndex":65},"schema":"https://github.com/citation-style-language/schema/raw/master/csl-citation.json"}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Moo, </w:t>
      </w:r>
      <w:r>
        <w:rPr>
          <w:rFonts w:ascii="Times New Roman" w:hAnsi="Times New Roman" w:cs="Times New Roman"/>
          <w:i/>
        </w:rPr>
        <w:t>The Epistle to the Romans</w:t>
      </w:r>
      <w:r>
        <w:rPr>
          <w:rFonts w:ascii="Times New Roman" w:hAnsi="Times New Roman" w:cs="Times New Roman"/>
          <w:iCs/>
        </w:rPr>
        <w:t>, 802</w:t>
      </w:r>
      <w:r>
        <w:rPr>
          <w:rFonts w:ascii="Times New Roman" w:hAnsi="Times New Roman" w:cs="Times New Roman"/>
        </w:rPr>
        <w:t>.</w:t>
      </w:r>
      <w:r>
        <w:rPr>
          <w:rFonts w:ascii="Times New Roman" w:hAnsi="Times New Roman" w:cs="Times New Roman"/>
        </w:rPr>
        <w:fldChar w:fldCharType="end"/>
      </w:r>
    </w:p>
  </w:footnote>
  <w:footnote w:id="74">
    <w:p w14:paraId="5C868395">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{"citationItems":[{"id":"ITEM-1","itemData":{"author":[{"dropping-particle":"","family":"Schreiner","given":"Thomas R","non-dropping-particle":"","parse-names":false,"suffix":""}],"id":"ITEM-1","issued":{"date-parts":[["1998"]]},"publisher":"Baker Books","publisher-place":"Grand Rapids","title":"Romans","type":"book"},"uris":["http://www.mendeley.com/documents/?uuid=43cd737c-1759-4932-8810-fa0bb37da90e","http://www.mendeley.com/documents/?uuid=1e84e1cf-c606-46e6-be87-41996d1b3bfa"]}],"mendeley":{"formattedCitation":"Schreiner, &lt;i&gt;Romans&lt;/i&gt;.","manualFormatting":"Schreiner, Romans, 684.","plainTextFormattedCitation":"Schreiner, Romans.","previouslyFormattedCitation":"Schreiner, &lt;i&gt;Romans&lt;/i&gt;."},"properties":{"noteIndex":66},"schema":"https://github.com/citation-style-language/schema/raw/master/csl-citation.json"}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Schreiner, </w:t>
      </w:r>
      <w:r>
        <w:rPr>
          <w:rFonts w:ascii="Times New Roman" w:hAnsi="Times New Roman" w:cs="Times New Roman"/>
          <w:i/>
        </w:rPr>
        <w:t>Romans</w:t>
      </w:r>
      <w:r>
        <w:rPr>
          <w:rFonts w:ascii="Times New Roman" w:hAnsi="Times New Roman" w:cs="Times New Roman"/>
          <w:iCs/>
        </w:rPr>
        <w:t>, 684</w:t>
      </w:r>
      <w:r>
        <w:rPr>
          <w:rFonts w:ascii="Times New Roman" w:hAnsi="Times New Roman" w:cs="Times New Roman"/>
        </w:rPr>
        <w:t>.</w:t>
      </w:r>
      <w:r>
        <w:rPr>
          <w:rFonts w:ascii="Times New Roman" w:hAnsi="Times New Roman" w:cs="Times New Roman"/>
        </w:rPr>
        <w:fldChar w:fldCharType="end"/>
      </w:r>
    </w:p>
  </w:footnote>
  <w:footnote w:id="75">
    <w:p w14:paraId="2F72D2F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{"citationItems":[{"id":"ITEM-1","itemData":{"author":[{"dropping-particle":"","family":"Lust, Johan., dan Erik Eynikel","given":"dan Katrin Hauspie","non-dropping-particle":"","parse-names":false,"suffix":""}],"id":"ITEM-1","issued":{"date-parts":[["2003"]]},"publisher":"Bibelgesellschaft","publisher-place":"Stuttgart","title":"Greek-English Lexicon of the Septuagint","type":"book"},"uris":["http://www.mendeley.com/documents/?uuid=9fef78d2-5c89-4a23-9024-19a7d25cb793","http://www.mendeley.com/documents/?uuid=cd26f076-b015-46ee-9dc8-fe69ce4e87a1"]}],"mendeley":{"formattedCitation":"Lust, Johan., dan Erik Eynikel, &lt;i&gt;Greek-English Lexicon of the Septuagint&lt;/i&gt;.","manualFormatting":"Lust, Johan., dan Erik Eynikel, Greek-English Lexicon of the Septuagint, 543.","plainTextFormattedCitation":"Lust, Johan., dan Erik Eynikel, Greek-English Lexicon of the Septuagint.","previouslyFormattedCitation":"Lust, Johan., dan Erik Eynikel, &lt;i&gt;Greek-English Lexicon of the Septuagint&lt;/i&gt;."},"properties":{"noteIndex":67},"schema":"https://github.com/citation-style-language/schema/raw/master/csl-citation.json"}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Lust, Johan., dan Erik Eynikel, </w:t>
      </w:r>
      <w:r>
        <w:rPr>
          <w:rFonts w:ascii="Times New Roman" w:hAnsi="Times New Roman" w:cs="Times New Roman"/>
          <w:i/>
        </w:rPr>
        <w:t>Greek-English Lexicon of the Septuagint</w:t>
      </w:r>
      <w:r>
        <w:rPr>
          <w:rFonts w:ascii="Times New Roman" w:hAnsi="Times New Roman" w:cs="Times New Roman"/>
          <w:iCs/>
        </w:rPr>
        <w:t>, 543</w:t>
      </w:r>
      <w:r>
        <w:rPr>
          <w:rFonts w:ascii="Times New Roman" w:hAnsi="Times New Roman" w:cs="Times New Roman"/>
        </w:rPr>
        <w:t>.</w:t>
      </w:r>
      <w:r>
        <w:rPr>
          <w:rFonts w:ascii="Times New Roman" w:hAnsi="Times New Roman" w:cs="Times New Roman"/>
        </w:rPr>
        <w:fldChar w:fldCharType="end"/>
      </w:r>
    </w:p>
  </w:footnote>
  <w:footnote w:id="76">
    <w:p w14:paraId="6314B794">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Lexicon","type":"book"},"uris":["http://www.mendeley.com/documents/?uuid=eb9d0bf8-ad33-4c98-82ed-b1f8a279022f","http://www.mendeley.com/documents/?uuid=f8935a19-361c-4a45-8411-a58eac150c75"]}],"mendeley":{"formattedCitation":"Henry George Liddell, dan Robert Scott, H. Stuart Jones, &lt;i&gt;A Greek English Lexicon&lt;/i&gt;.","manualFormatting":"Henry George Liddell, dan Robert Scott, H. Stuart Jones, A Greek English Lexicon, 3719.","plainTextFormattedCitation":"Henry George Liddell, dan Robert Scott, H. Stuart Jones, A Greek English Lexicon.","previouslyFormattedCitation":"Henry George Liddell, dan Robert Scott, H. Stuart Jones, &lt;i&gt;A Greek English Lexicon&lt;/i&gt;."},"properties":{"noteIndex":68},"schema":"https://github.com/citation-style-language/schema/raw/master/csl-citation.json"}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Henry George Liddell, dan Robert Scott, H. Stuart Jones, </w:t>
      </w:r>
      <w:r>
        <w:rPr>
          <w:rFonts w:ascii="Times New Roman" w:hAnsi="Times New Roman" w:cs="Times New Roman"/>
          <w:i/>
        </w:rPr>
        <w:t>A Greek English Lexicon</w:t>
      </w:r>
      <w:r>
        <w:rPr>
          <w:rFonts w:ascii="Times New Roman" w:hAnsi="Times New Roman" w:cs="Times New Roman"/>
          <w:iCs/>
        </w:rPr>
        <w:t>, 3719</w:t>
      </w:r>
      <w:r>
        <w:rPr>
          <w:rFonts w:ascii="Times New Roman" w:hAnsi="Times New Roman" w:cs="Times New Roman"/>
        </w:rPr>
        <w:t>.</w:t>
      </w:r>
      <w:r>
        <w:rPr>
          <w:rFonts w:ascii="Times New Roman" w:hAnsi="Times New Roman" w:cs="Times New Roman"/>
        </w:rPr>
        <w:fldChar w:fldCharType="end"/>
      </w:r>
    </w:p>
  </w:footnote>
  <w:footnote w:id="77">
    <w:p w14:paraId="2CD3A526">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Testament","type":"book"},"uris":["http://www.mendeley.com/documents/?uuid=76fce280-5a66-4f91-9034-42b7600be182","http://www.mendeley.com/documents/?uuid=3729b4f5-dd2b-4122-87b5-441d2a19fca2"]}],"mendeley":{"formattedCitation":"Moulton, J. H, &lt;i&gt;Vocabulary of the Greek Testament&lt;/i&gt;.","manualFormatting":"Moulton, J. H, Vocabulary of the Greek Testament, 31.","plainTextFormattedCitation":"Moulton, J. H, Vocabulary of the Greek Testament.","previouslyFormattedCitation":"Moulton, J. H, &lt;i&gt;Vocabulary of the Greek Testament&lt;/i&gt;."},"properties":{"noteIndex":69},"schema":"https://github.com/citation-style-language/schema/raw/master/csl-citation.json"}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Moulton, J. H, </w:t>
      </w:r>
      <w:r>
        <w:rPr>
          <w:rFonts w:ascii="Times New Roman" w:hAnsi="Times New Roman" w:cs="Times New Roman"/>
          <w:i/>
        </w:rPr>
        <w:t>Vocabulary of the Greek Testament</w:t>
      </w:r>
      <w:r>
        <w:rPr>
          <w:rFonts w:ascii="Times New Roman" w:hAnsi="Times New Roman" w:cs="Times New Roman"/>
          <w:iCs/>
        </w:rPr>
        <w:t>, 31</w:t>
      </w:r>
      <w:r>
        <w:rPr>
          <w:rFonts w:ascii="Times New Roman" w:hAnsi="Times New Roman" w:cs="Times New Roman"/>
        </w:rPr>
        <w:t>.</w:t>
      </w:r>
      <w:r>
        <w:rPr>
          <w:rFonts w:ascii="Times New Roman" w:hAnsi="Times New Roman" w:cs="Times New Roman"/>
        </w:rPr>
        <w:fldChar w:fldCharType="end"/>
      </w:r>
    </w:p>
  </w:footnote>
  <w:footnote w:id="78">
    <w:p w14:paraId="4E736A5C">
      <w:pPr>
        <w:pStyle w:val="20"/>
        <w:ind w:firstLine="720"/>
        <w:rPr>
          <w:rFonts w:ascii="Times New Roman" w:hAnsi="Times New Roman" w:cs="Times New Roman"/>
          <w:i/>
          <w:iCs/>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Pemerintah?","type":"book"},"uris":["http://www.mendeley.com/documents/?uuid=fbba0b0a-b479-4f8f-9876-377a9f3fb9c2","http://www.mendeley.com/documents/?uuid=0e5f5891-262e-450a-853d-47c65b6bd1e1"]}],"mendeley":{"formattedCitation":"Rambitan, &lt;i&gt;Haruskah Orang Kristen Takluk Dan Takut Kepada Pemerintah?&lt;/i&gt;","plainTextFormattedCitation":"Rambitan, Haruskah Orang Kristen Takluk Dan Takut Kepada Pemerintah?","previouslyFormattedCitation":"Rambitan, &lt;i&gt;Haruskah Orang Kristen Takluk Dan Takut Kepada Pemerintah?&lt;/i&gt;"},"properties":{"noteIndex":70},"schema":"https://github.com/citation-style-language/schema/raw/master/csl-citation.json"}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Rambitan, </w:t>
      </w:r>
      <w:r>
        <w:rPr>
          <w:rFonts w:ascii="Times New Roman" w:hAnsi="Times New Roman" w:cs="Times New Roman"/>
          <w:i/>
        </w:rPr>
        <w:t>Haruskah Orang Kristen Takluk Dan Takut Kepada Pemerintah?</w:t>
      </w:r>
      <w:r>
        <w:rPr>
          <w:rFonts w:ascii="Times New Roman" w:hAnsi="Times New Roman" w:cs="Times New Roman"/>
        </w:rPr>
        <w:fldChar w:fldCharType="end"/>
      </w:r>
      <w:r>
        <w:rPr>
          <w:rFonts w:ascii="Times New Roman" w:hAnsi="Times New Roman" w:cs="Times New Roman"/>
        </w:rPr>
        <w:t>, 34.</w:t>
      </w:r>
    </w:p>
  </w:footnote>
  <w:footnote w:id="79">
    <w:p w14:paraId="3CC4372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{"citationItems":[{"id":"ITEM-1","itemData":{"author":[{"dropping-particle":"","family":"Deffinbaugh","given":"Robert","non-dropping-particle":"","parse-names":false,"suffix":""}],"id":"ITEM-1","issued":{"date-parts":[["1997"]]},"publisher":"Biblical Studies Press","title":"Romans the Righteousness of God","type":"book"},"uris":["http://www.mendeley.com/documents/?uuid=3ebc2465-da8c-468d-a9c9-bdadd899c4e7","http://www.mendeley.com/documents/?uuid=6800ae30-5107-4660-9d53-61af62d98e71"]}],"mendeley":{"formattedCitation":"Robert Deffinbaugh, &lt;i&gt;Romans the Righteousness of God&lt;/i&gt; (Biblical Studies Press, 1997).","manualFormatting":"Robert Deffinbaugh, Romans the Righteousness of God (Biblical Studies Press, 1997), 401-402.","plainTextFormattedCitation":"Robert Deffinbaugh, Romans the Righteousness of God (Biblical Studies Press, 1997).","previouslyFormattedCitation":"Robert Deffinbaugh, &lt;i&gt;Romans the Righteousness of God&lt;/i&gt; (Biblical Studies Press, 1997)."},"properties":{"noteIndex":71},"schema":"https://github.com/citation-style-language/schema/raw/master/csl-citation.json"}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Robert Deffinbaugh, </w:t>
      </w:r>
      <w:r>
        <w:rPr>
          <w:rFonts w:ascii="Times New Roman" w:hAnsi="Times New Roman" w:cs="Times New Roman"/>
          <w:i/>
        </w:rPr>
        <w:t>Romans the Righteousness of God</w:t>
      </w:r>
      <w:r>
        <w:rPr>
          <w:rFonts w:ascii="Times New Roman" w:hAnsi="Times New Roman" w:cs="Times New Roman"/>
        </w:rPr>
        <w:t xml:space="preserve"> (Biblical Studies Press, 1997), 401-402.</w:t>
      </w:r>
      <w:r>
        <w:rPr>
          <w:rFonts w:ascii="Times New Roman" w:hAnsi="Times New Roman" w:cs="Times New Roman"/>
        </w:rPr>
        <w:fldChar w:fldCharType="end"/>
      </w:r>
    </w:p>
  </w:footnote>
  <w:footnote w:id="80">
    <w:p w14:paraId="4E854E1A">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{"citationItems":[{"id":"ITEM-1","itemData":{"author":[{"dropping-particle":"","family":"Bruce","given":"F. F","non-dropping-particle":"","parse-names":false,"suffix":""}],"id":"ITEM-1","issued":{"date-parts":[["1985"]]},"publisher":"Intervarsity Press","publisher-place":"Nottingham","title":"An Introduction and Commentary: Romans","type":"book"},"uris":["http://www.mendeley.com/documents/?uuid=106ca2df-535b-4617-bc6d-e2d4fca870c3","http://www.mendeley.com/documents/?uuid=1a70110a-1bd9-47ee-9edf-b450b189fab8"]}],"mendeley":{"formattedCitation":"F. F Bruce, &lt;i&gt;An Introduction and Commentary: Romans&lt;/i&gt; (Nottingham: Intervarsity Press, 1985).","manualFormatting":"F. F Bruce, An Introduction and Commentary: Romans (Nottingham: Intervarsity Press, 1985), 572.","plainTextFormattedCitation":"F. F Bruce, An Introduction and Commentary: Romans (Nottingham: Intervarsity Press, 1985).","previouslyFormattedCitation":"F. F Bruce, &lt;i&gt;An Introduction and Commentary: Romans&lt;/i&gt; (Nottingham: Intervarsity Press, 1985)."},"properties":{"noteIndex":72},"schema":"https://github.com/citation-style-language/schema/raw/master/csl-citation.json"}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F. F Bruce, </w:t>
      </w:r>
      <w:r>
        <w:rPr>
          <w:rFonts w:ascii="Times New Roman" w:hAnsi="Times New Roman" w:cs="Times New Roman"/>
          <w:i/>
        </w:rPr>
        <w:t>An Introduction and Commentary: Romans</w:t>
      </w:r>
      <w:r>
        <w:rPr>
          <w:rFonts w:ascii="Times New Roman" w:hAnsi="Times New Roman" w:cs="Times New Roman"/>
        </w:rPr>
        <w:t xml:space="preserve"> (Nottingham: Intervarsity Press, 1985), 572.</w:t>
      </w:r>
      <w:r>
        <w:rPr>
          <w:rFonts w:ascii="Times New Roman" w:hAnsi="Times New Roman" w:cs="Times New Roman"/>
        </w:rPr>
        <w:fldChar w:fldCharType="end"/>
      </w:r>
    </w:p>
  </w:footnote>
  <w:footnote w:id="81">
    <w:p w14:paraId="6B122158">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 F. Drewes, Wilfrid Haubeck","given":"Henrich von Siebental","non-dropping-particle":"","parse-names":false,"suffix":""}],"id":"ITEM-1","issued":{"date-parts":[["2006"]]},"publisher":"BPK Gunung Mulia","publisher-place":"Jakarta","title":"Kunci Bahasa Yunani Perjanjian Baru: Surat Roma Hingga Kitab Wahyu","type":"book"},"uris":["http://www.mendeley.com/documents/?uuid=e34987fe-8375-4228-9e29-afd096e264ce","http://www.mendeley.com/documents/?uuid=e337380c-a953-431a-b88e-2bfda258fbc4"]}],"mendeley":{"formattedCitation":"Henrich von Siebental B. F. Drewes, Wilfrid Haubeck, &lt;i&gt;Kunci Bahasa Yunani Perjanjian Baru: Surat Roma Hingga Kitab Wahyu&lt;/i&gt; (Jakarta: BPK Gunung Mulia, 2006).","manualFormatting":"B. F. Drewes, Henrich von Siebental, Wilfrid Haubeck, Kunci Bahasa Yunani Perjanjian Baru: Surat Roma Hingga Kitab Wahyu (Jakarta: BPK Gunung Mulia, 2006), 42.","plainTextFormattedCitation":"Henrich von Siebental B. F. Drewes, Wilfrid Haubeck, Kunci Bahasa Yunani Perjanjian Baru: Surat Roma Hingga Kitab Wahyu (Jakarta: BPK Gunung Mulia, 2006).","previouslyFormattedCitation":"Henrich von Siebental B. F. Drewes, Wilfrid Haubeck, &lt;i&gt;Kunci Bahasa Yunani Perjanjian Baru: Surat Roma Hingga Kitab Wahyu&lt;/i&gt; (Jakarta: BPK Gunung Mulia, 2006)."},"properties":{"noteIndex":73},"schema":"https://github.com/citation-style-language/schema/raw/master/csl-citation.json"}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 F. Drewes, Henrich von Siebental, Wilfrid Haubeck, </w:t>
      </w:r>
      <w:r>
        <w:rPr>
          <w:rFonts w:ascii="Times New Roman" w:hAnsi="Times New Roman" w:cs="Times New Roman"/>
          <w:i/>
        </w:rPr>
        <w:t>Kunci Bahasa Yunani Perjanjian Baru: Surat Roma Hingga Kitab Wahyu</w:t>
      </w:r>
      <w:r>
        <w:rPr>
          <w:rFonts w:ascii="Times New Roman" w:hAnsi="Times New Roman" w:cs="Times New Roman"/>
        </w:rPr>
        <w:t xml:space="preserve"> (Jakarta: BPK Gunung Mulia, 2006), 42.</w:t>
      </w:r>
      <w:r>
        <w:rPr>
          <w:rFonts w:ascii="Times New Roman" w:hAnsi="Times New Roman" w:cs="Times New Roman"/>
        </w:rPr>
        <w:fldChar w:fldCharType="end"/>
      </w:r>
    </w:p>
  </w:footnote>
  <w:footnote w:id="82">
    <w:p w14:paraId="31962E5F">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608.","plainTextFormattedCitation":"Van, Tafsiran Alkitab Surat Roma.","previouslyFormattedCitation":"Van, &lt;i&gt;Tafsiran Alkitab Surat Roma&lt;/i&gt;."},"properties":{"noteIndex":74},"schema":"https://github.com/citation-style-language/schema/raw/master/csl-citation.json"}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Van, </w:t>
      </w:r>
      <w:r>
        <w:rPr>
          <w:rFonts w:ascii="Times New Roman" w:hAnsi="Times New Roman" w:cs="Times New Roman"/>
          <w:i/>
        </w:rPr>
        <w:t>Tafsiran Alkitab Surat Roma</w:t>
      </w:r>
      <w:r>
        <w:rPr>
          <w:rFonts w:ascii="Times New Roman" w:hAnsi="Times New Roman" w:cs="Times New Roman"/>
          <w:iCs/>
        </w:rPr>
        <w:t>, 608</w:t>
      </w:r>
      <w:r>
        <w:rPr>
          <w:rFonts w:ascii="Times New Roman" w:hAnsi="Times New Roman" w:cs="Times New Roman"/>
        </w:rPr>
        <w:t>.</w:t>
      </w:r>
      <w:r>
        <w:rPr>
          <w:rFonts w:ascii="Times New Roman" w:hAnsi="Times New Roman" w:cs="Times New Roman"/>
        </w:rPr>
        <w:fldChar w:fldCharType="end"/>
      </w:r>
    </w:p>
  </w:footnote>
  <w:footnote w:id="83">
    <w:p w14:paraId="697DC0A9">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{"citationItems":[{"id":"ITEM-1","itemData":{"author":[{"dropping-particle":"","family":"Guthrie","given":"Donald","non-dropping-particle":"","parse-names":false,"suffix":""}],"id":"ITEM-1","issued":{"date-parts":[["1981"]]},"publisher":"BPK Gunung Mulia","publisher-place":"Jakarta","title":"Tafsiran Alkitab Masa Kini 3: Matius-Wahyu","type":"book"},"uris":["http://www.mendeley.com/documents/?uuid=fc1473c5-8312-4e7f-b0e4-c4d3994867c2","http://www.mendeley.com/documents/?uuid=189297c8-425f-4d55-91e3-19806a7ca739"]}],"mendeley":{"formattedCitation":"Guthrie, &lt;i&gt;Tafsiran Alkitab Masa Kini 3: Matius-Wahyu&lt;/i&gt;.","manualFormatting":"Guthrie, Tafsiran Alkitab Masa Kini 3: Matius-Wahyu, 459.","plainTextFormattedCitation":"Guthrie, Tafsiran Alkitab Masa Kini 3: Matius-Wahyu.","previouslyFormattedCitation":"Guthrie, &lt;i&gt;Tafsiran Alkitab Masa Kini 3: Matius-Wahyu&lt;/i&gt;."},"properties":{"noteIndex":75},"schema":"https://github.com/citation-style-language/schema/raw/master/csl-citation.json"}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Guthrie, </w:t>
      </w:r>
      <w:r>
        <w:rPr>
          <w:rFonts w:ascii="Times New Roman" w:hAnsi="Times New Roman" w:cs="Times New Roman"/>
          <w:i/>
        </w:rPr>
        <w:t>Tafsiran Alkitab Masa Kini 3: Matius-Wahyu</w:t>
      </w:r>
      <w:r>
        <w:rPr>
          <w:rFonts w:ascii="Times New Roman" w:hAnsi="Times New Roman" w:cs="Times New Roman"/>
          <w:iCs/>
        </w:rPr>
        <w:t>, 459</w:t>
      </w:r>
      <w:r>
        <w:rPr>
          <w:rFonts w:ascii="Times New Roman" w:hAnsi="Times New Roman" w:cs="Times New Roman"/>
        </w:rPr>
        <w:t>.</w:t>
      </w:r>
      <w:r>
        <w:rPr>
          <w:rFonts w:ascii="Times New Roman" w:hAnsi="Times New Roman" w:cs="Times New Roman"/>
        </w:rPr>
        <w:fldChar w:fldCharType="end"/>
      </w:r>
    </w:p>
  </w:footnote>
  <w:footnote w:id="84">
    <w:p w14:paraId="1854FE8B">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{"citationItems":[{"id":"ITEM-1","itemData":{"author":[{"dropping-particle":"","family":"Keener","given":"Craig S","non-dropping-particle":"","parse-names":false,"suffix":""}],"id":"ITEM-1","issued":{"date-parts":[["2014"]]},"publisher":"Intervarsity Press","publisher-place":"Downers Grove","title":"Bible Background Commentary New Testament","type":"book"},"uris":["http://www.mendeley.com/documents/?uuid=428ee7f9-939d-459a-a249-5ba286a57a51","http://www.mendeley.com/documents/?uuid=042b1029-88a5-4e59-8f0f-b050a0fe48c1"]}],"mendeley":{"formattedCitation":"Keener, &lt;i&gt;Bible Background Commentary New Testament&lt;/i&gt;.","manualFormatting":"Keener, Bible Background Commentary New Testament, 450.","plainTextFormattedCitation":"Keener, Bible Background Commentary New Testament.","previouslyFormattedCitation":"Keener, &lt;i&gt;Bible Background Commentary New Testament&lt;/i&gt;."},"properties":{"noteIndex":76},"schema":"https://github.com/citation-style-language/schema/raw/master/csl-citation.json"}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Keener, </w:t>
      </w:r>
      <w:r>
        <w:rPr>
          <w:rFonts w:ascii="Times New Roman" w:hAnsi="Times New Roman" w:cs="Times New Roman"/>
          <w:i/>
        </w:rPr>
        <w:t>Bible Background Commentary New Testament</w:t>
      </w:r>
      <w:r>
        <w:rPr>
          <w:rFonts w:ascii="Times New Roman" w:hAnsi="Times New Roman" w:cs="Times New Roman"/>
          <w:iCs/>
        </w:rPr>
        <w:t>, 450</w:t>
      </w:r>
      <w:r>
        <w:rPr>
          <w:rFonts w:ascii="Times New Roman" w:hAnsi="Times New Roman" w:cs="Times New Roman"/>
        </w:rPr>
        <w:t>.</w:t>
      </w:r>
      <w:r>
        <w:rPr>
          <w:rFonts w:ascii="Times New Roman" w:hAnsi="Times New Roman" w:cs="Times New Roman"/>
        </w:rPr>
        <w:fldChar w:fldCharType="end"/>
      </w:r>
    </w:p>
  </w:footnote>
  <w:footnote w:id="85">
    <w:p w14:paraId="0FB5EA99">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{"citationItems":[{"id":"ITEM-1","itemData":{"author":[{"dropping-particle":"","family":"B. F. Drewes, Wilfrid Haubeck","given":"Henrich von Siebental","non-dropping-particle":"","parse-names":false,"suffix":""}],"id":"ITEM-1","issued":{"date-parts":[["2006"]]},"publisher":"BPK Gunung Mulia","publisher-place":"Jakarta","title":"Kunci Bahasa Yunani Perjanjian Baru: Surat Roma Hingga Kitab Wahyu","type":"book"},"uris":["http://www.mendeley.com/documents/?uuid=e337380c-a953-431a-b88e-2bfda258fbc4","http://www.mendeley.com/documents/?uuid=e34987fe-8375-4228-9e29-afd096e264ce"]}],"mendeley":{"formattedCitation":"B. F. Drewes, Wilfrid Haubeck, &lt;i&gt;Kunci Bahasa Yunani Perjanjian Baru: Surat Roma Hingga Kitab Wahyu&lt;/i&gt;.","manualFormatting":"B. F. Drewes, Wilfrid Haubeck, Kunci Bahasa Yunani Perjanjian Baru: Surat Roma Hingga Kitab Wahyu, 255.","plainTextFormattedCitation":"B. F. Drewes, Wilfrid Haubeck, Kunci Bahasa Yunani Perjanjian Baru: Surat Roma Hingga Kitab Wahyu.","previouslyFormattedCitation":"B. F. Drewes, Wilfrid Haubeck, &lt;i&gt;Kunci Bahasa Yunani Perjanjian Baru: Surat Roma Hingga Kitab Wahyu&lt;/i&gt;."},"properties":{"noteIndex":77},"schema":"https://github.com/citation-style-language/schema/raw/master/csl-citation.json"}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B. F. Drewes, Wilfrid Haubeck, </w:t>
      </w:r>
      <w:r>
        <w:rPr>
          <w:rFonts w:ascii="Times New Roman" w:hAnsi="Times New Roman" w:cs="Times New Roman"/>
          <w:i/>
        </w:rPr>
        <w:t xml:space="preserve">Kunci Bahasa Yunani Perjanjian Baru: Surat Roma Hingga Kitab Wahyu, </w:t>
      </w:r>
      <w:r>
        <w:rPr>
          <w:rFonts w:ascii="Times New Roman" w:hAnsi="Times New Roman" w:cs="Times New Roman"/>
          <w:iCs/>
        </w:rPr>
        <w:t>255</w:t>
      </w:r>
      <w:r>
        <w:rPr>
          <w:rFonts w:ascii="Times New Roman" w:hAnsi="Times New Roman" w:cs="Times New Roman"/>
        </w:rPr>
        <w:t>.</w:t>
      </w:r>
      <w:r>
        <w:rPr>
          <w:rFonts w:ascii="Times New Roman" w:hAnsi="Times New Roman" w:cs="Times New Roman"/>
        </w:rPr>
        <w:fldChar w:fldCharType="end"/>
      </w:r>
    </w:p>
  </w:footnote>
  <w:footnote w:id="86">
    <w:p w14:paraId="50F5A9BA">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{"citationItems":[{"id":"ITEM-1","itemData":{"author":[{"dropping-particle":"","family":"Friberg, Barbara and Timothy Friberg","given":"and Neva F. Miller","non-dropping-particle":"","parse-names":false,"suffix":""}],"id":"ITEM-1","issued":{"date-parts":[["2000"]]},"publisher":"Baker","publisher-place":"Grand Rapids","title":"Analytical Lexicon of the Greek New Testament","type":"book"},"uris":["http://www.mendeley.com/documents/?uuid=f7ad1861-ee36-44e6-a4ea-de22605cd174","http://www.mendeley.com/documents/?uuid=eebec3f0-584a-4a8e-93b6-11e212da24bd"]}],"mendeley":{"formattedCitation":"Friberg, Barbara and Timothy Friberg, &lt;i&gt;Analytical Lexicon of the Greek New Testament&lt;/i&gt;.","manualFormatting":"Friberg, Barbara and Timothy Friberg, Analytical Lexicon of the Greek New Testament, 28220.","plainTextFormattedCitation":"Friberg, Barbara and Timothy Friberg, Analytical Lexicon of the Greek New Testament.","previouslyFormattedCitation":"Friberg, Barbara and Timothy Friberg, &lt;i&gt;Analytical Lexicon of the Greek New Testament&lt;/i&gt;."},"properties":{"noteIndex":78},"schema":"https://github.com/citation-style-language/schema/raw/master/csl-citation.json"}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Friberg, Barbara and Timothy Friberg, </w:t>
      </w:r>
      <w:r>
        <w:rPr>
          <w:rFonts w:ascii="Times New Roman" w:hAnsi="Times New Roman" w:cs="Times New Roman"/>
          <w:i/>
        </w:rPr>
        <w:t>Analytical Lexicon of the Greek New Testament</w:t>
      </w:r>
      <w:r>
        <w:rPr>
          <w:rFonts w:ascii="Times New Roman" w:hAnsi="Times New Roman" w:cs="Times New Roman"/>
          <w:iCs/>
        </w:rPr>
        <w:t>, 28220</w:t>
      </w:r>
      <w:r>
        <w:rPr>
          <w:rFonts w:ascii="Times New Roman" w:hAnsi="Times New Roman" w:cs="Times New Roman"/>
        </w:rPr>
        <w:t>.</w:t>
      </w:r>
      <w:r>
        <w:rPr>
          <w:rFonts w:ascii="Times New Roman" w:hAnsi="Times New Roman" w:cs="Times New Roman"/>
        </w:rPr>
        <w:fldChar w:fldCharType="end"/>
      </w:r>
    </w:p>
  </w:footnote>
  <w:footnote w:id="87">
    <w:p w14:paraId="7B7D1C9C">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609.","plainTextFormattedCitation":"Van, Tafsiran Alkitab Surat Roma.","previouslyFormattedCitation":"Van, &lt;i&gt;Tafsiran Alkitab Surat Roma&lt;/i&gt;."},"properties":{"noteIndex":79},"schema":"https://github.com/citation-style-language/schema/raw/master/csl-citation.json"}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Van, </w:t>
      </w:r>
      <w:r>
        <w:rPr>
          <w:rFonts w:ascii="Times New Roman" w:hAnsi="Times New Roman" w:cs="Times New Roman"/>
          <w:i/>
        </w:rPr>
        <w:t>Tafsiran Alkitab Surat Roma</w:t>
      </w:r>
      <w:r>
        <w:rPr>
          <w:rFonts w:ascii="Times New Roman" w:hAnsi="Times New Roman" w:cs="Times New Roman"/>
          <w:iCs/>
        </w:rPr>
        <w:t>, 609</w:t>
      </w:r>
      <w:r>
        <w:rPr>
          <w:rFonts w:ascii="Times New Roman" w:hAnsi="Times New Roman" w:cs="Times New Roman"/>
        </w:rPr>
        <w:t>.</w:t>
      </w:r>
      <w:r>
        <w:rPr>
          <w:rFonts w:ascii="Times New Roman" w:hAnsi="Times New Roman" w:cs="Times New Roman"/>
        </w:rPr>
        <w:fldChar w:fldCharType="end"/>
      </w:r>
    </w:p>
  </w:footnote>
  <w:footnote w:id="88">
    <w:p w14:paraId="09BF76ED">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797.","plainTextFormattedCitation":"Sutanto, Perjanjian Baru Interlinear Yunani-Indonesia Dan Konkordansi Perjanjian Baru Jilid II.","previouslyFormattedCitation":"Sutanto, &lt;i&gt;Perjanjian Baru Interlinear Yunani-Indonesia Dan Konkordansi Perjanjian Baru&lt;/i&gt;."},"properties":{"noteIndex":80},"schema":"https://github.com/citation-style-language/schema/raw/master/csl-citation.json"}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Sutanto, </w:t>
      </w:r>
      <w:r>
        <w:rPr>
          <w:rFonts w:ascii="Times New Roman" w:hAnsi="Times New Roman" w:cs="Times New Roman"/>
          <w:i/>
        </w:rPr>
        <w:t>Perjanjian Baru Interlinear Yunani-Indonesia Dan Konkordansi Perjanjian Baru</w:t>
      </w:r>
      <w:r>
        <w:rPr>
          <w:rFonts w:ascii="Times New Roman" w:hAnsi="Times New Roman" w:cs="Times New Roman"/>
          <w:iCs/>
        </w:rPr>
        <w:t>, 797</w:t>
      </w:r>
      <w:r>
        <w:rPr>
          <w:rFonts w:ascii="Times New Roman" w:hAnsi="Times New Roman" w:cs="Times New Roman"/>
        </w:rPr>
        <w:t>.</w:t>
      </w:r>
      <w:r>
        <w:rPr>
          <w:rFonts w:ascii="Times New Roman" w:hAnsi="Times New Roman" w:cs="Times New Roman"/>
        </w:rPr>
        <w:fldChar w:fldCharType="end"/>
      </w:r>
    </w:p>
  </w:footnote>
  <w:footnote w:id="89">
    <w:p w14:paraId="11420518">
      <w:pPr>
        <w:pStyle w:val="20"/>
        <w:ind w:firstLine="720"/>
        <w:rPr>
          <w:rFonts w:ascii="Times New Roman" w:hAnsi="Times New Roman" w:cs="Times New Roman"/>
        </w:rPr>
      </w:pPr>
      <w:r>
        <w:rPr>
          <w:rStyle w:val="19"/>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{"citationItems":[{"id":"ITEM-1","itemData":{"author":[{"dropping-particle":"","family":"Everet F. Harrison","given":"dan Charles F. Pfeifer","non-dropping-particle":"","parse-names":false,"suffix":""}],"edition":"Volume 3","id":"ITEM-1","issued":{"date-parts":[["2001"]]},"publisher":"Gandum Mas","publisher-place":"Malang","title":"Tafsiran Alkitab Wycliffe Perjanjian Baru","type":"book"},"uris":["http://www.mendeley.com/documents/?uuid=a934a989-49fa-4a18-b609-63437d812925","http://www.mendeley.com/documents/?uuid=d6cd4051-b66a-42bc-914c-09f6c10dba5d"]}],"mendeley":{"formattedCitation":"Everet F. Harrison, &lt;i&gt;Tafsiran Alkitab Wycliffe Perjanjian Baru&lt;/i&gt;.","manualFormatting":"Everet F. Harrison, Tafsiran Alkitab Wycliffe Perjanjian Baru, 585.","plainTextFormattedCitation":"Everet F. Harrison, Tafsiran Alkitab Wycliffe Perjanjian Baru.","previouslyFormattedCitation":"Everet F. Harrison, &lt;i&gt;Tafsiran Alkitab Wycliffe Perjanjian Baru&lt;/i&gt;."},"properties":{"noteIndex":81},"schema":"https://github.com/citation-style-language/schema/raw/master/csl-citation.json"}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 xml:space="preserve">Everet F. Harrison, </w:t>
      </w:r>
      <w:r>
        <w:rPr>
          <w:rFonts w:ascii="Times New Roman" w:hAnsi="Times New Roman" w:cs="Times New Roman"/>
          <w:i/>
        </w:rPr>
        <w:t>Tafsiran Alkitab Wycliffe Perjanjian Baru</w:t>
      </w:r>
      <w:r>
        <w:rPr>
          <w:rFonts w:ascii="Times New Roman" w:hAnsi="Times New Roman" w:cs="Times New Roman"/>
          <w:iCs/>
        </w:rPr>
        <w:t>, 585</w:t>
      </w:r>
      <w:r>
        <w:rPr>
          <w:rFonts w:ascii="Times New Roman" w:hAnsi="Times New Roman" w:cs="Times New Roman"/>
        </w:rPr>
        <w:t>.</w:t>
      </w:r>
      <w:r>
        <w:rPr>
          <w:rFonts w:ascii="Times New Roman" w:hAnsi="Times New Roman" w:cs="Times New Roman"/>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87FAD">
    <w:pPr>
      <w:pBdr>
        <w:top w:val="none" w:color="auto" w:sz="0" w:space="0"/>
        <w:left w:val="none" w:color="auto" w:sz="0" w:space="0"/>
        <w:bottom w:val="single" w:color="000000" w:sz="4" w:space="1"/>
        <w:right w:val="none" w:color="auto" w:sz="0" w:space="0"/>
        <w:between w:val="none" w:color="auto" w:sz="0" w:space="0"/>
      </w:pBdr>
      <w:tabs>
        <w:tab w:val="center" w:pos="4513"/>
        <w:tab w:val="right" w:pos="9026"/>
      </w:tabs>
      <w:jc w:val="center"/>
      <w:rPr>
        <w:rFonts w:ascii="Garamond" w:hAnsi="Garamond" w:eastAsia="Garamond" w:cs="Garamond"/>
        <w:color w:val="000000"/>
        <w:sz w:val="22"/>
        <w:szCs w:val="22"/>
      </w:rPr>
    </w:pPr>
    <w:r>
      <w:rPr>
        <w:rFonts w:ascii="Cambria" w:hAnsi="Cambria" w:eastAsia="Cambria" w:cs="Cambria"/>
        <w:b/>
        <w:i/>
        <w:color w:val="000000"/>
      </w:rPr>
      <w:t>Jurnal Arrabona</w:t>
    </w:r>
    <w:r>
      <w:rPr>
        <w:rFonts w:ascii="Garamond" w:hAnsi="Garamond" w:eastAsia="Garamond" w:cs="Garamond"/>
        <w:color w:val="000000"/>
        <w:sz w:val="22"/>
        <w:szCs w:val="22"/>
      </w:rPr>
      <w:t>| Volume 8, Nomor 2, (Februari,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ED8A0">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rFonts w:ascii="Cambria" w:hAnsi="Cambria" w:eastAsia="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removePersonalInformation/>
  <w:embedTrueTypeFonts/>
  <w:documentProtection w:enforcement="0"/>
  <w:defaultTabStop w:val="720"/>
  <w:evenAndOddHeaders w:val="1"/>
  <w:characterSpacingControl w:val="doNotCompress"/>
  <w:footnotePr>
    <w:footnote w:id="180"/>
    <w:footnote w:id="18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72"/>
    <w:rsid w:val="00062DD8"/>
    <w:rsid w:val="0010004B"/>
    <w:rsid w:val="00114D4F"/>
    <w:rsid w:val="00273E5A"/>
    <w:rsid w:val="00323DF7"/>
    <w:rsid w:val="00353E95"/>
    <w:rsid w:val="003A4350"/>
    <w:rsid w:val="00747A4E"/>
    <w:rsid w:val="007E266D"/>
    <w:rsid w:val="00822BAF"/>
    <w:rsid w:val="009F4195"/>
    <w:rsid w:val="00A471B8"/>
    <w:rsid w:val="00AE35FD"/>
    <w:rsid w:val="00AF719D"/>
    <w:rsid w:val="00B66877"/>
    <w:rsid w:val="00B737A3"/>
    <w:rsid w:val="00C30472"/>
    <w:rsid w:val="00DF3D85"/>
    <w:rsid w:val="00F55765"/>
    <w:rsid w:val="00F903B5"/>
    <w:rsid w:val="5D957504"/>
    <w:rsid w:val="61B41652"/>
    <w:rsid w:val="6A6E08D6"/>
    <w:rsid w:val="72F50B3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semiHidden="0" w:name="Body Text Indent 2"/>
    <w:lsdException w:uiPriority="99" w:semiHidden="0"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sz w:val="24"/>
      <w:szCs w:val="24"/>
      <w:lang w:val="en-US" w:eastAsia="zh-CN"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link w:val="48"/>
    <w:semiHidden/>
    <w:unhideWhenUsed/>
    <w:qFormat/>
    <w:uiPriority w:val="9"/>
    <w:pPr>
      <w:spacing w:before="100" w:beforeAutospacing="1" w:after="100" w:afterAutospacing="1"/>
      <w:outlineLvl w:val="1"/>
    </w:pPr>
    <w:rPr>
      <w:rFonts w:eastAsia="Times New Roman"/>
      <w:b/>
      <w:bCs/>
      <w:sz w:val="36"/>
      <w:szCs w:val="36"/>
      <w:lang w:val="id-ID" w:eastAsia="id-ID"/>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2"/>
    <w:semiHidden/>
    <w:unhideWhenUsed/>
    <w:uiPriority w:val="99"/>
    <w:rPr>
      <w:rFonts w:ascii="Tahoma" w:hAnsi="Tahoma" w:cs="Tahoma"/>
      <w:sz w:val="16"/>
      <w:szCs w:val="16"/>
    </w:rPr>
  </w:style>
  <w:style w:type="paragraph" w:styleId="11">
    <w:name w:val="Body Text Indent"/>
    <w:basedOn w:val="1"/>
    <w:link w:val="33"/>
    <w:unhideWhenUsed/>
    <w:uiPriority w:val="99"/>
    <w:pPr>
      <w:spacing w:after="120"/>
      <w:ind w:left="283"/>
    </w:pPr>
  </w:style>
  <w:style w:type="paragraph" w:styleId="12">
    <w:name w:val="Body Text Indent 2"/>
    <w:basedOn w:val="1"/>
    <w:link w:val="31"/>
    <w:unhideWhenUsed/>
    <w:uiPriority w:val="99"/>
    <w:pPr>
      <w:spacing w:after="120" w:line="480" w:lineRule="auto"/>
      <w:ind w:left="283"/>
    </w:pPr>
    <w:rPr>
      <w:rFonts w:asciiTheme="minorHAnsi" w:hAnsiTheme="minorHAnsi" w:eastAsiaTheme="minorHAnsi" w:cstheme="minorBidi"/>
      <w:sz w:val="22"/>
      <w:szCs w:val="22"/>
      <w:lang w:val="id-ID" w:eastAsia="en-US"/>
    </w:rPr>
  </w:style>
  <w:style w:type="paragraph" w:styleId="13">
    <w:name w:val="Body Text Indent 3"/>
    <w:basedOn w:val="1"/>
    <w:link w:val="35"/>
    <w:unhideWhenUsed/>
    <w:uiPriority w:val="99"/>
    <w:pPr>
      <w:spacing w:after="120" w:line="276" w:lineRule="auto"/>
      <w:ind w:left="283"/>
    </w:pPr>
    <w:rPr>
      <w:rFonts w:asciiTheme="minorHAnsi" w:hAnsiTheme="minorHAnsi" w:eastAsiaTheme="minorHAnsi" w:cstheme="minorBidi"/>
      <w:sz w:val="16"/>
      <w:szCs w:val="16"/>
      <w:lang w:val="id-ID" w:eastAsia="en-US"/>
    </w:rPr>
  </w:style>
  <w:style w:type="character" w:styleId="14">
    <w:name w:val="annotation reference"/>
    <w:basedOn w:val="8"/>
    <w:semiHidden/>
    <w:unhideWhenUsed/>
    <w:uiPriority w:val="99"/>
    <w:rPr>
      <w:sz w:val="16"/>
      <w:szCs w:val="16"/>
    </w:rPr>
  </w:style>
  <w:style w:type="paragraph" w:styleId="15">
    <w:name w:val="annotation text"/>
    <w:basedOn w:val="1"/>
    <w:link w:val="52"/>
    <w:unhideWhenUsed/>
    <w:uiPriority w:val="99"/>
    <w:rPr>
      <w:sz w:val="20"/>
      <w:szCs w:val="20"/>
    </w:rPr>
  </w:style>
  <w:style w:type="paragraph" w:styleId="16">
    <w:name w:val="annotation subject"/>
    <w:basedOn w:val="15"/>
    <w:next w:val="15"/>
    <w:link w:val="53"/>
    <w:semiHidden/>
    <w:unhideWhenUsed/>
    <w:qFormat/>
    <w:uiPriority w:val="99"/>
    <w:rPr>
      <w:b/>
      <w:bCs/>
    </w:rPr>
  </w:style>
  <w:style w:type="character" w:styleId="17">
    <w:name w:val="Emphasis"/>
    <w:basedOn w:val="8"/>
    <w:qFormat/>
    <w:uiPriority w:val="20"/>
    <w:rPr>
      <w:i/>
      <w:iCs/>
    </w:rPr>
  </w:style>
  <w:style w:type="paragraph" w:styleId="18">
    <w:name w:val="footer"/>
    <w:basedOn w:val="1"/>
    <w:link w:val="37"/>
    <w:unhideWhenUsed/>
    <w:uiPriority w:val="99"/>
    <w:pPr>
      <w:tabs>
        <w:tab w:val="center" w:pos="4513"/>
        <w:tab w:val="right" w:pos="9026"/>
      </w:tabs>
    </w:pPr>
  </w:style>
  <w:style w:type="character" w:styleId="19">
    <w:name w:val="footnote reference"/>
    <w:basedOn w:val="8"/>
    <w:semiHidden/>
    <w:unhideWhenUsed/>
    <w:qFormat/>
    <w:uiPriority w:val="99"/>
    <w:rPr>
      <w:vertAlign w:val="superscript"/>
    </w:rPr>
  </w:style>
  <w:style w:type="paragraph" w:styleId="20">
    <w:name w:val="footnote text"/>
    <w:basedOn w:val="1"/>
    <w:link w:val="51"/>
    <w:semiHidden/>
    <w:unhideWhenUsed/>
    <w:qFormat/>
    <w:uiPriority w:val="99"/>
    <w:rPr>
      <w:rFonts w:asciiTheme="minorHAnsi" w:hAnsiTheme="minorHAnsi" w:eastAsiaTheme="minorHAnsi" w:cstheme="minorBidi"/>
      <w:sz w:val="20"/>
      <w:szCs w:val="20"/>
      <w:lang w:val="zh-CN" w:eastAsia="en-US"/>
    </w:rPr>
  </w:style>
  <w:style w:type="paragraph" w:styleId="21">
    <w:name w:val="header"/>
    <w:basedOn w:val="1"/>
    <w:link w:val="34"/>
    <w:unhideWhenUsed/>
    <w:uiPriority w:val="99"/>
    <w:pPr>
      <w:tabs>
        <w:tab w:val="center" w:pos="4513"/>
        <w:tab w:val="right" w:pos="9026"/>
      </w:tabs>
    </w:pPr>
    <w:rPr>
      <w:rFonts w:asciiTheme="minorHAnsi" w:hAnsiTheme="minorHAnsi" w:eastAsiaTheme="minorHAnsi" w:cstheme="minorBidi"/>
      <w:sz w:val="22"/>
      <w:szCs w:val="22"/>
      <w:lang w:val="id-ID" w:eastAsia="en-US"/>
    </w:rPr>
  </w:style>
  <w:style w:type="character" w:styleId="22">
    <w:name w:val="Hyperlink"/>
    <w:basedOn w:val="8"/>
    <w:unhideWhenUsed/>
    <w:uiPriority w:val="99"/>
    <w:rPr>
      <w:color w:val="0000FF" w:themeColor="hyperlink"/>
      <w:u w:val="single"/>
      <w14:textFill>
        <w14:solidFill>
          <w14:schemeClr w14:val="hlink"/>
        </w14:solidFill>
      </w14:textFill>
    </w:rPr>
  </w:style>
  <w:style w:type="paragraph" w:styleId="23">
    <w:name w:val="Normal (Web)"/>
    <w:basedOn w:val="1"/>
    <w:unhideWhenUsed/>
    <w:uiPriority w:val="99"/>
    <w:pPr>
      <w:spacing w:before="100" w:beforeAutospacing="1" w:after="100" w:afterAutospacing="1"/>
    </w:pPr>
    <w:rPr>
      <w:rFonts w:eastAsia="Times New Roman"/>
      <w:lang w:val="id-ID" w:eastAsia="id-ID"/>
    </w:rPr>
  </w:style>
  <w:style w:type="paragraph" w:styleId="24">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25">
    <w:name w:val="Table Grid"/>
    <w:basedOn w:val="9"/>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6">
    <w:name w:val="Title"/>
    <w:basedOn w:val="1"/>
    <w:link w:val="36"/>
    <w:qFormat/>
    <w:uiPriority w:val="10"/>
    <w:pPr>
      <w:spacing w:line="480" w:lineRule="auto"/>
      <w:jc w:val="center"/>
    </w:pPr>
    <w:rPr>
      <w:rFonts w:ascii="Tahoma" w:hAnsi="Tahoma" w:eastAsia="Times New Roman" w:cs="Tahoma"/>
      <w:b/>
      <w:bCs/>
      <w:sz w:val="22"/>
      <w:szCs w:val="20"/>
      <w:lang w:eastAsia="en-US"/>
    </w:rPr>
  </w:style>
  <w:style w:type="table" w:customStyle="1" w:styleId="27">
    <w:name w:val="Table Normal1"/>
    <w:uiPriority w:val="0"/>
    <w:tblPr>
      <w:tblCellMar>
        <w:top w:w="0" w:type="dxa"/>
        <w:left w:w="0" w:type="dxa"/>
        <w:bottom w:w="0" w:type="dxa"/>
        <w:right w:w="0" w:type="dxa"/>
      </w:tblCellMar>
    </w:tblPr>
  </w:style>
  <w:style w:type="paragraph" w:styleId="28">
    <w:name w:val="List Paragraph"/>
    <w:basedOn w:val="1"/>
    <w:link w:val="29"/>
    <w:qFormat/>
    <w:uiPriority w:val="34"/>
    <w:pPr>
      <w:spacing w:after="200" w:line="276" w:lineRule="auto"/>
      <w:ind w:left="720"/>
      <w:contextualSpacing/>
    </w:pPr>
    <w:rPr>
      <w:rFonts w:ascii="Calibri" w:hAnsi="Calibri" w:eastAsia="Calibri"/>
      <w:sz w:val="22"/>
      <w:szCs w:val="22"/>
      <w:lang w:val="id-ID" w:eastAsia="en-US"/>
    </w:rPr>
  </w:style>
  <w:style w:type="character" w:customStyle="1" w:styleId="29">
    <w:name w:val="Daftar Paragraf KAR"/>
    <w:basedOn w:val="8"/>
    <w:link w:val="28"/>
    <w:uiPriority w:val="34"/>
    <w:rPr>
      <w:rFonts w:ascii="Calibri" w:hAnsi="Calibri" w:eastAsia="Calibri" w:cs="Times New Roman"/>
    </w:rPr>
  </w:style>
  <w:style w:type="paragraph" w:customStyle="1" w:styleId="30">
    <w:name w:val="msolistparagraphcxspmiddle"/>
    <w:basedOn w:val="1"/>
    <w:uiPriority w:val="0"/>
    <w:pPr>
      <w:spacing w:before="100" w:beforeAutospacing="1" w:after="100" w:afterAutospacing="1"/>
    </w:pPr>
    <w:rPr>
      <w:rFonts w:eastAsia="Times New Roman"/>
      <w:lang w:eastAsia="en-US"/>
    </w:rPr>
  </w:style>
  <w:style w:type="character" w:customStyle="1" w:styleId="31">
    <w:name w:val="Inden Teks Isi 2 KAR"/>
    <w:basedOn w:val="8"/>
    <w:link w:val="12"/>
    <w:uiPriority w:val="99"/>
  </w:style>
  <w:style w:type="character" w:customStyle="1" w:styleId="32">
    <w:name w:val="Teks Balon KAR"/>
    <w:basedOn w:val="8"/>
    <w:link w:val="10"/>
    <w:semiHidden/>
    <w:uiPriority w:val="99"/>
    <w:rPr>
      <w:rFonts w:ascii="Tahoma" w:hAnsi="Tahoma" w:eastAsia="SimSun" w:cs="Tahoma"/>
      <w:sz w:val="16"/>
      <w:szCs w:val="16"/>
      <w:lang w:val="en-US" w:eastAsia="zh-CN"/>
    </w:rPr>
  </w:style>
  <w:style w:type="character" w:customStyle="1" w:styleId="33">
    <w:name w:val="Inden Teks Isi KAR"/>
    <w:basedOn w:val="8"/>
    <w:link w:val="11"/>
    <w:uiPriority w:val="99"/>
    <w:rPr>
      <w:rFonts w:ascii="Times New Roman" w:hAnsi="Times New Roman" w:eastAsia="SimSun" w:cs="Times New Roman"/>
      <w:sz w:val="24"/>
      <w:szCs w:val="24"/>
      <w:lang w:val="en-US" w:eastAsia="zh-CN"/>
    </w:rPr>
  </w:style>
  <w:style w:type="character" w:customStyle="1" w:styleId="34">
    <w:name w:val="Header KAR"/>
    <w:basedOn w:val="8"/>
    <w:link w:val="21"/>
    <w:uiPriority w:val="99"/>
  </w:style>
  <w:style w:type="character" w:customStyle="1" w:styleId="35">
    <w:name w:val="Inden Teks Isi 3 KAR"/>
    <w:basedOn w:val="8"/>
    <w:link w:val="13"/>
    <w:uiPriority w:val="99"/>
    <w:rPr>
      <w:sz w:val="16"/>
      <w:szCs w:val="16"/>
    </w:rPr>
  </w:style>
  <w:style w:type="character" w:customStyle="1" w:styleId="36">
    <w:name w:val="Judul KAR"/>
    <w:basedOn w:val="8"/>
    <w:link w:val="26"/>
    <w:uiPriority w:val="0"/>
    <w:rPr>
      <w:rFonts w:ascii="Tahoma" w:hAnsi="Tahoma" w:eastAsia="Times New Roman" w:cs="Tahoma"/>
      <w:b/>
      <w:bCs/>
      <w:szCs w:val="20"/>
      <w:lang w:val="en-US"/>
    </w:rPr>
  </w:style>
  <w:style w:type="character" w:customStyle="1" w:styleId="37">
    <w:name w:val="Footer KAR"/>
    <w:basedOn w:val="8"/>
    <w:link w:val="18"/>
    <w:uiPriority w:val="99"/>
    <w:rPr>
      <w:rFonts w:ascii="Times New Roman" w:hAnsi="Times New Roman" w:eastAsia="SimSun" w:cs="Times New Roman"/>
      <w:sz w:val="24"/>
      <w:szCs w:val="24"/>
      <w:lang w:val="en-US" w:eastAsia="zh-CN"/>
    </w:rPr>
  </w:style>
  <w:style w:type="character" w:customStyle="1" w:styleId="38">
    <w:name w:val="short_text"/>
    <w:basedOn w:val="8"/>
    <w:uiPriority w:val="0"/>
  </w:style>
  <w:style w:type="character" w:customStyle="1" w:styleId="39">
    <w:name w:val="Unresolved Mention1"/>
    <w:basedOn w:val="8"/>
    <w:semiHidden/>
    <w:unhideWhenUsed/>
    <w:uiPriority w:val="99"/>
    <w:rPr>
      <w:color w:val="808080"/>
      <w:shd w:val="clear" w:color="auto" w:fill="E6E6E6"/>
    </w:rPr>
  </w:style>
  <w:style w:type="character" w:customStyle="1" w:styleId="40">
    <w:name w:val="Unresolved Mention2"/>
    <w:basedOn w:val="8"/>
    <w:semiHidden/>
    <w:unhideWhenUsed/>
    <w:uiPriority w:val="99"/>
    <w:rPr>
      <w:color w:val="808080"/>
      <w:shd w:val="clear" w:color="auto" w:fill="E6E6E6"/>
    </w:rPr>
  </w:style>
  <w:style w:type="paragraph" w:customStyle="1" w:styleId="41">
    <w:name w:val="[Basic Paragraph]"/>
    <w:basedOn w:val="1"/>
    <w:uiPriority w:val="99"/>
    <w:pPr>
      <w:autoSpaceDE w:val="0"/>
      <w:autoSpaceDN w:val="0"/>
      <w:adjustRightInd w:val="0"/>
      <w:spacing w:line="288" w:lineRule="auto"/>
      <w:textAlignment w:val="center"/>
    </w:pPr>
    <w:rPr>
      <w:rFonts w:ascii="Calisto MT" w:hAnsi="Calisto MT" w:cs="Calisto MT" w:eastAsiaTheme="minorHAnsi"/>
      <w:color w:val="000000"/>
      <w:sz w:val="20"/>
      <w:szCs w:val="20"/>
      <w:lang w:val="en-GB" w:eastAsia="en-US"/>
    </w:rPr>
  </w:style>
  <w:style w:type="paragraph" w:customStyle="1" w:styleId="42">
    <w:name w:val="Judul1"/>
    <w:basedOn w:val="1"/>
    <w:uiPriority w:val="99"/>
    <w:pPr>
      <w:autoSpaceDE w:val="0"/>
      <w:autoSpaceDN w:val="0"/>
      <w:adjustRightInd w:val="0"/>
      <w:spacing w:line="288" w:lineRule="auto"/>
      <w:textAlignment w:val="center"/>
    </w:pPr>
    <w:rPr>
      <w:rFonts w:ascii="Minion Pro" w:hAnsi="Minion Pro" w:cs="Minion Pro" w:eastAsiaTheme="minorHAnsi"/>
      <w:b/>
      <w:bCs/>
      <w:color w:val="000000"/>
      <w:lang w:val="en-GB" w:eastAsia="en-US"/>
    </w:rPr>
  </w:style>
  <w:style w:type="paragraph" w:customStyle="1" w:styleId="43">
    <w:name w:val="Sekolah &amp; Diterima"/>
    <w:basedOn w:val="1"/>
    <w:uiPriority w:val="99"/>
    <w:pPr>
      <w:autoSpaceDE w:val="0"/>
      <w:autoSpaceDN w:val="0"/>
      <w:adjustRightInd w:val="0"/>
      <w:spacing w:line="288" w:lineRule="auto"/>
      <w:jc w:val="center"/>
      <w:textAlignment w:val="center"/>
    </w:pPr>
    <w:rPr>
      <w:rFonts w:ascii="Calisto MT" w:hAnsi="Calisto MT" w:cs="Calisto MT" w:eastAsiaTheme="minorHAnsi"/>
      <w:color w:val="000000"/>
      <w:sz w:val="18"/>
      <w:szCs w:val="18"/>
      <w:lang w:val="fi-FI" w:eastAsia="en-US"/>
    </w:rPr>
  </w:style>
  <w:style w:type="paragraph" w:customStyle="1" w:styleId="44">
    <w:name w:val="Disetujui"/>
    <w:basedOn w:val="1"/>
    <w:uiPriority w:val="99"/>
    <w:pPr>
      <w:autoSpaceDE w:val="0"/>
      <w:autoSpaceDN w:val="0"/>
      <w:adjustRightInd w:val="0"/>
      <w:spacing w:line="288" w:lineRule="auto"/>
      <w:textAlignment w:val="center"/>
    </w:pPr>
    <w:rPr>
      <w:rFonts w:ascii="Minion Pro" w:hAnsi="Minion Pro" w:cs="Minion Pro" w:eastAsiaTheme="minorHAnsi"/>
      <w:color w:val="000000"/>
      <w:sz w:val="16"/>
      <w:szCs w:val="16"/>
      <w:lang w:val="en-GB" w:eastAsia="en-US"/>
    </w:rPr>
  </w:style>
  <w:style w:type="paragraph" w:customStyle="1" w:styleId="45">
    <w:name w:val="Abstak Indo"/>
    <w:basedOn w:val="1"/>
    <w:uiPriority w:val="99"/>
    <w:pPr>
      <w:autoSpaceDE w:val="0"/>
      <w:autoSpaceDN w:val="0"/>
      <w:adjustRightInd w:val="0"/>
      <w:spacing w:line="288" w:lineRule="auto"/>
      <w:jc w:val="both"/>
      <w:textAlignment w:val="center"/>
    </w:pPr>
    <w:rPr>
      <w:rFonts w:ascii="Minion Pro" w:hAnsi="Minion Pro" w:cs="Minion Pro" w:eastAsiaTheme="minorHAnsi"/>
      <w:color w:val="000000"/>
      <w:sz w:val="20"/>
      <w:szCs w:val="20"/>
      <w:lang w:val="en-GB" w:eastAsia="en-US"/>
    </w:rPr>
  </w:style>
  <w:style w:type="paragraph" w:customStyle="1" w:styleId="46">
    <w:name w:val="Isi Abstrak Indo"/>
    <w:basedOn w:val="1"/>
    <w:uiPriority w:val="99"/>
    <w:pPr>
      <w:autoSpaceDE w:val="0"/>
      <w:autoSpaceDN w:val="0"/>
      <w:adjustRightInd w:val="0"/>
      <w:spacing w:line="288" w:lineRule="auto"/>
      <w:jc w:val="both"/>
      <w:textAlignment w:val="center"/>
    </w:pPr>
    <w:rPr>
      <w:rFonts w:ascii="Calisto MT" w:hAnsi="Calisto MT" w:cs="Calisto MT" w:eastAsiaTheme="minorHAnsi"/>
      <w:b/>
      <w:bCs/>
      <w:color w:val="000000"/>
      <w:sz w:val="18"/>
      <w:szCs w:val="18"/>
      <w:lang w:val="en-GB" w:eastAsia="en-US"/>
    </w:rPr>
  </w:style>
  <w:style w:type="paragraph" w:customStyle="1" w:styleId="47">
    <w:name w:val="Els-Author"/>
    <w:next w:val="1"/>
    <w:autoRedefine/>
    <w:uiPriority w:val="0"/>
    <w:pPr>
      <w:keepNext/>
      <w:tabs>
        <w:tab w:val="center" w:pos="5189"/>
        <w:tab w:val="left" w:pos="9525"/>
      </w:tabs>
      <w:suppressAutoHyphens/>
      <w:jc w:val="center"/>
    </w:pPr>
    <w:rPr>
      <w:rFonts w:ascii="Times New Roman" w:hAnsi="Times New Roman" w:eastAsia="SimSun" w:cs="Times New Roman"/>
      <w:b/>
      <w:i/>
      <w:sz w:val="28"/>
      <w:szCs w:val="28"/>
      <w:lang w:val="en-US" w:eastAsia="zh-CN" w:bidi="ar-SA"/>
    </w:rPr>
  </w:style>
  <w:style w:type="character" w:customStyle="1" w:styleId="48">
    <w:name w:val="Judul 2 KAR"/>
    <w:basedOn w:val="8"/>
    <w:link w:val="3"/>
    <w:uiPriority w:val="9"/>
    <w:rPr>
      <w:rFonts w:ascii="Times New Roman" w:hAnsi="Times New Roman" w:eastAsia="Times New Roman" w:cs="Times New Roman"/>
      <w:b/>
      <w:bCs/>
      <w:sz w:val="36"/>
      <w:szCs w:val="36"/>
      <w:lang w:eastAsia="id-ID"/>
    </w:rPr>
  </w:style>
  <w:style w:type="table" w:customStyle="1" w:styleId="49">
    <w:name w:val="_Style 43"/>
    <w:basedOn w:val="9"/>
    <w:uiPriority w:val="0"/>
    <w:tblPr>
      <w:tblCellMar>
        <w:left w:w="0" w:type="dxa"/>
        <w:right w:w="0" w:type="dxa"/>
      </w:tblCellMar>
    </w:tblPr>
  </w:style>
  <w:style w:type="table" w:customStyle="1" w:styleId="50">
    <w:name w:val="_Style 44"/>
    <w:basedOn w:val="9"/>
    <w:uiPriority w:val="0"/>
    <w:tblPr>
      <w:tblCellMar>
        <w:left w:w="0" w:type="dxa"/>
        <w:right w:w="0" w:type="dxa"/>
      </w:tblCellMar>
    </w:tblPr>
  </w:style>
  <w:style w:type="character" w:customStyle="1" w:styleId="51">
    <w:name w:val="Teks Catatan Kaki KAR"/>
    <w:basedOn w:val="8"/>
    <w:link w:val="20"/>
    <w:semiHidden/>
    <w:qFormat/>
    <w:uiPriority w:val="99"/>
    <w:rPr>
      <w:rFonts w:asciiTheme="minorHAnsi" w:hAnsiTheme="minorHAnsi" w:eastAsiaTheme="minorHAnsi" w:cstheme="minorBidi"/>
      <w:sz w:val="20"/>
      <w:szCs w:val="20"/>
      <w:lang w:val="zh-CN" w:eastAsia="en-US"/>
    </w:rPr>
  </w:style>
  <w:style w:type="character" w:customStyle="1" w:styleId="52">
    <w:name w:val="Teks Komentar KAR"/>
    <w:basedOn w:val="8"/>
    <w:link w:val="15"/>
    <w:uiPriority w:val="99"/>
    <w:rPr>
      <w:rFonts w:eastAsia="SimSun"/>
      <w:sz w:val="20"/>
      <w:szCs w:val="20"/>
      <w:lang w:eastAsia="zh-CN"/>
    </w:rPr>
  </w:style>
  <w:style w:type="character" w:customStyle="1" w:styleId="53">
    <w:name w:val="Subjek Komentar KAR"/>
    <w:basedOn w:val="52"/>
    <w:link w:val="16"/>
    <w:semiHidden/>
    <w:uiPriority w:val="99"/>
    <w:rPr>
      <w:rFonts w:eastAsia="SimSun"/>
      <w:b/>
      <w:bCs/>
      <w:sz w:val="20"/>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06638F-8747-400F-B89C-D5DAA0326A9D}">
  <ds:schemaRefs/>
</ds:datastoreItem>
</file>

<file path=customXml/itemProps3.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23</Pages>
  <Words>9684</Words>
  <Characters>55199</Characters>
  <Lines>459</Lines>
  <Paragraphs>129</Paragraphs>
  <TotalTime>15</TotalTime>
  <ScaleCrop>false</ScaleCrop>
  <LinksUpToDate>false</LinksUpToDate>
  <CharactersWithSpaces>64754</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2025-12-05T02:42:00Z</dcterms:created>
  <dcterms:modified xsi:type="dcterms:W3CDTF">2026-02-26T04:07:33Z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030d623f-0bee-412f-9e2b-fbf76169cab9</vt:lpwstr>
  </property>
  <property fmtid="{D5CDD505-2E9C-101B-9397-08002B2CF9AE}" pid="3" name="KSOProductBuildVer">
    <vt:lpwstr>2057-12.2.0.23197</vt:lpwstr>
  </property>
  <property fmtid="{D5CDD505-2E9C-101B-9397-08002B2CF9AE}" pid="4" name="ICV">
    <vt:lpwstr>CE47E700A7F44C26AA7D3EF322C8FFFD_12</vt:lpwstr>
  </property>
</Properties>
</file>