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287189">
            <w:pPr>
              <w:pBdr>
                <w:top w:val="nil"/>
                <w:left w:val="nil"/>
                <w:bottom w:val="nil"/>
                <w:right w:val="nil"/>
                <w:between w:val="nil"/>
              </w:pBdr>
              <w:spacing w:line="276" w:lineRule="auto"/>
              <w:ind w:left="34"/>
              <w:jc w:val="center"/>
              <w:rPr>
                <w:rFonts w:eastAsia="Times New Roman"/>
                <w:b/>
                <w:i/>
                <w:color w:val="000000"/>
                <w:sz w:val="36"/>
                <w:szCs w:val="36"/>
              </w:rPr>
            </w:pPr>
            <w:r>
              <w:rPr>
                <w:rFonts w:eastAsia="Times New Roman"/>
                <w:b/>
                <w:i/>
                <w:color w:val="000000"/>
                <w:sz w:val="36"/>
                <w:szCs w:val="36"/>
              </w:rPr>
              <w:t>Jurnal Arrabona: Jurnal Teologi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287189">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287189">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287189">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4BEF448A" w14:textId="7D17F5F6" w:rsidR="00C30472" w:rsidRDefault="00287189">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r w:rsidR="00273E5A">
              <w:rPr>
                <w:rFonts w:eastAsia="Times New Roman"/>
                <w:color w:val="000000"/>
              </w:rPr>
              <w:t>Februari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174DE7FA" w14:textId="3EDAE0B6" w:rsidR="00205F92" w:rsidRDefault="00901906" w:rsidP="00205F92">
            <w:pPr>
              <w:keepNext/>
              <w:pBdr>
                <w:top w:val="nil"/>
                <w:left w:val="nil"/>
                <w:bottom w:val="nil"/>
                <w:right w:val="nil"/>
                <w:between w:val="nil"/>
              </w:pBdr>
              <w:tabs>
                <w:tab w:val="center" w:pos="5189"/>
                <w:tab w:val="left" w:pos="9525"/>
              </w:tabs>
              <w:jc w:val="center"/>
              <w:rPr>
                <w:rFonts w:eastAsia="Times New Roman"/>
                <w:b/>
                <w:color w:val="000000"/>
                <w:sz w:val="32"/>
                <w:szCs w:val="32"/>
              </w:rPr>
            </w:pPr>
            <w:r w:rsidRPr="00660BCD">
              <w:rPr>
                <w:rFonts w:eastAsia="Times New Roman"/>
                <w:b/>
                <w:color w:val="000000"/>
                <w:sz w:val="32"/>
                <w:szCs w:val="32"/>
              </w:rPr>
              <w:t xml:space="preserve">Transformasi Teologi Bait Suci: Pembentukan Spiritualitas dan Identitas Umat </w:t>
            </w:r>
            <w:r>
              <w:rPr>
                <w:rFonts w:eastAsia="Times New Roman"/>
                <w:b/>
                <w:color w:val="000000"/>
                <w:sz w:val="32"/>
                <w:szCs w:val="32"/>
              </w:rPr>
              <w:t xml:space="preserve">Allah </w:t>
            </w:r>
            <w:r w:rsidRPr="00660BCD">
              <w:rPr>
                <w:rFonts w:eastAsia="Times New Roman"/>
                <w:b/>
                <w:color w:val="000000"/>
                <w:sz w:val="32"/>
                <w:szCs w:val="32"/>
              </w:rPr>
              <w:t>di Era Digital dan Pascamodern</w:t>
            </w:r>
          </w:p>
          <w:p w14:paraId="02245DC8" w14:textId="77777777" w:rsidR="00901906" w:rsidRDefault="00901906" w:rsidP="00205F92">
            <w:pPr>
              <w:keepNext/>
              <w:pBdr>
                <w:top w:val="nil"/>
                <w:left w:val="nil"/>
                <w:bottom w:val="nil"/>
                <w:right w:val="nil"/>
                <w:between w:val="nil"/>
              </w:pBdr>
              <w:tabs>
                <w:tab w:val="center" w:pos="5189"/>
                <w:tab w:val="left" w:pos="9525"/>
              </w:tabs>
              <w:jc w:val="center"/>
              <w:rPr>
                <w:rFonts w:eastAsia="Times New Roman"/>
                <w:b/>
                <w:color w:val="000000"/>
                <w:sz w:val="32"/>
                <w:szCs w:val="32"/>
              </w:rPr>
            </w:pPr>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287189">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287189">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287189"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287189"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Diterima: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287189"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287189"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Disetujui: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287189"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Dipublikasi: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287189">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287189">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3A146C76" w14:textId="62582478" w:rsidR="003A4350" w:rsidRDefault="00287189" w:rsidP="00B820E8">
            <w:pPr>
              <w:pBdr>
                <w:top w:val="nil"/>
                <w:left w:val="nil"/>
                <w:bottom w:val="nil"/>
                <w:right w:val="nil"/>
                <w:between w:val="nil"/>
              </w:pBdr>
              <w:jc w:val="both"/>
              <w:rPr>
                <w:rFonts w:eastAsia="Times New Roman"/>
                <w:color w:val="000000"/>
                <w:sz w:val="22"/>
                <w:szCs w:val="22"/>
              </w:rPr>
            </w:pPr>
            <w:r>
              <w:rPr>
                <w:rFonts w:ascii="Lustria" w:eastAsia="Lustria" w:hAnsi="Lustria" w:cs="Lustria"/>
                <w:color w:val="000000"/>
                <w:sz w:val="20"/>
                <w:szCs w:val="20"/>
              </w:rPr>
              <w:t>_____________________________________________________________</w:t>
            </w:r>
            <w:r w:rsidR="00B820E8" w:rsidRPr="00B820E8">
              <w:rPr>
                <w:lang w:eastAsia="en-US" w:bidi="he-IL"/>
              </w:rPr>
              <w:t xml:space="preserve"> </w:t>
            </w:r>
            <w:commentRangeStart w:id="0"/>
            <w:r w:rsidR="00B820E8" w:rsidRPr="00B820E8">
              <w:rPr>
                <w:rFonts w:eastAsia="Times New Roman"/>
                <w:color w:val="000000"/>
                <w:sz w:val="22"/>
                <w:szCs w:val="22"/>
              </w:rPr>
              <w:t>Dalam</w:t>
            </w:r>
            <w:commentRangeEnd w:id="0"/>
            <w:r w:rsidR="0028573F" w:rsidRPr="00B820E8">
              <w:rPr>
                <w:rStyle w:val="ReferensiKomentar"/>
                <w:rFonts w:eastAsia="Times New Roman"/>
                <w:color w:val="000000"/>
                <w:sz w:val="22"/>
                <w:szCs w:val="22"/>
              </w:rPr>
              <w:commentReference w:id="0"/>
            </w:r>
            <w:r w:rsidR="00B820E8" w:rsidRPr="00B820E8">
              <w:rPr>
                <w:rFonts w:eastAsia="Times New Roman"/>
                <w:color w:val="000000"/>
                <w:sz w:val="22"/>
                <w:szCs w:val="22"/>
              </w:rPr>
              <w:t xml:space="preserve"> praktik keagamaan, terdapat tiga unsur fundamental: komunitas penyembah, objek penyembahan, dan lokasi peribadatan. Penelitian ini mengkaji peran Bait Suci dalam membentuk spiritualitas dan identitas umat pilihan Allah, khususnya bangsa Israel yang menggunakan Bait Suci sebagai pusat penyembahan kepada Yahweh. Latar belakang penelitian ini berangkat dari signifikansi teologis Bait Suci yang dipercaya sebagai tempat kehadiran Allah yang memberikan pertolongan, berkat, dan shalom bagi Israel. Bait Suci yang dibangun dengan sangat istimewa ini menjadi kebanggaan dan pusat identitas religius bangsa Israel. Tujuan penelitian ini adalah untuk menganalisis fungsi ganda Bait Suci: sebagai ruang perjumpaan antara Allah dan umat-Nya, serta sebagai pusat peribadatan komunal. Metode yang digunakan adalah studi literatur kualitatif dengan </w:t>
            </w:r>
            <w:r w:rsidR="00BE0A78">
              <w:rPr>
                <w:rFonts w:eastAsia="Times New Roman"/>
                <w:color w:val="000000"/>
                <w:sz w:val="22"/>
                <w:szCs w:val="22"/>
              </w:rPr>
              <w:t>meng</w:t>
            </w:r>
            <w:r w:rsidR="00B820E8" w:rsidRPr="00B820E8">
              <w:rPr>
                <w:rFonts w:eastAsia="Times New Roman"/>
                <w:color w:val="000000"/>
                <w:sz w:val="22"/>
                <w:szCs w:val="22"/>
              </w:rPr>
              <w:t>analisis</w:t>
            </w:r>
            <w:r w:rsidR="00BE0A78">
              <w:rPr>
                <w:rFonts w:eastAsia="Times New Roman"/>
                <w:color w:val="000000"/>
                <w:sz w:val="22"/>
                <w:szCs w:val="22"/>
              </w:rPr>
              <w:t xml:space="preserve"> secara</w:t>
            </w:r>
            <w:r w:rsidR="00B820E8" w:rsidRPr="00B820E8">
              <w:rPr>
                <w:rFonts w:eastAsia="Times New Roman"/>
                <w:color w:val="000000"/>
                <w:sz w:val="22"/>
                <w:szCs w:val="22"/>
              </w:rPr>
              <w:t xml:space="preserve"> teologis terhadap teks-teks Perjanjian Lama yang berkaitan dengan Bait Suci Yerusalem. Hasil penelitian menunjukkan bahwa Bait Suci berperan sentral dalam pembentukan spiritualitas Israel melalui pengalaman perjumpaan sakral dengan Allah yang hadir secara nyata, sekaligus membentuk identitas kolektif sebagai umat perjanjian melalui praktik ibadah komunal yang meliputi pujian, syukur, dan persembahan. Bait Suci </w:t>
            </w:r>
            <w:r w:rsidR="00BE0A78">
              <w:rPr>
                <w:rFonts w:eastAsia="Times New Roman"/>
                <w:color w:val="000000"/>
                <w:sz w:val="22"/>
                <w:szCs w:val="22"/>
              </w:rPr>
              <w:t>bukan hanya</w:t>
            </w:r>
            <w:r w:rsidR="00B820E8" w:rsidRPr="00B820E8">
              <w:rPr>
                <w:rFonts w:eastAsia="Times New Roman"/>
                <w:color w:val="000000"/>
                <w:sz w:val="22"/>
                <w:szCs w:val="22"/>
              </w:rPr>
              <w:t xml:space="preserve"> sebagai struktur fisik, </w:t>
            </w:r>
            <w:r w:rsidR="00BE0A78">
              <w:rPr>
                <w:rFonts w:eastAsia="Times New Roman"/>
                <w:color w:val="000000"/>
                <w:sz w:val="22"/>
                <w:szCs w:val="22"/>
              </w:rPr>
              <w:t>melainkan</w:t>
            </w:r>
            <w:r w:rsidR="00B820E8" w:rsidRPr="00B820E8">
              <w:rPr>
                <w:rFonts w:eastAsia="Times New Roman"/>
                <w:color w:val="000000"/>
                <w:sz w:val="22"/>
                <w:szCs w:val="22"/>
              </w:rPr>
              <w:t xml:space="preserve"> simbol teologis </w:t>
            </w:r>
            <w:r w:rsidR="00BE0A78">
              <w:rPr>
                <w:rFonts w:eastAsia="Times New Roman"/>
                <w:color w:val="000000"/>
                <w:sz w:val="22"/>
                <w:szCs w:val="22"/>
              </w:rPr>
              <w:t xml:space="preserve">dari </w:t>
            </w:r>
            <w:r w:rsidR="00B820E8" w:rsidRPr="00B820E8">
              <w:rPr>
                <w:rFonts w:eastAsia="Times New Roman"/>
                <w:color w:val="000000"/>
                <w:sz w:val="22"/>
                <w:szCs w:val="22"/>
              </w:rPr>
              <w:t>kehadiran Allah yang membentuk kesadaran religius dan etika komunal Israel. Penelitian ini memberikan kontribusi pemahaman tentang bagaimana ruang sakral membentuk identitas dan spiritualitas komunitas iman dalam tradisi Yahudi-Kristen.</w:t>
            </w:r>
          </w:p>
          <w:p w14:paraId="7849F320" w14:textId="77777777" w:rsidR="00B820E8" w:rsidRDefault="00B820E8" w:rsidP="00B820E8">
            <w:pPr>
              <w:pBdr>
                <w:top w:val="nil"/>
                <w:left w:val="nil"/>
                <w:bottom w:val="nil"/>
                <w:right w:val="nil"/>
                <w:between w:val="nil"/>
              </w:pBdr>
              <w:jc w:val="both"/>
              <w:rPr>
                <w:rFonts w:eastAsia="Times New Roman"/>
                <w:color w:val="000000"/>
                <w:sz w:val="22"/>
                <w:szCs w:val="22"/>
              </w:rPr>
            </w:pPr>
          </w:p>
          <w:p w14:paraId="6D6FB2FF" w14:textId="77777777" w:rsidR="00B820E8" w:rsidRDefault="00B820E8" w:rsidP="00B820E8">
            <w:pPr>
              <w:pBdr>
                <w:top w:val="nil"/>
                <w:left w:val="nil"/>
                <w:bottom w:val="nil"/>
                <w:right w:val="nil"/>
                <w:between w:val="nil"/>
              </w:pBdr>
              <w:jc w:val="both"/>
              <w:rPr>
                <w:rFonts w:eastAsia="Times New Roman"/>
                <w:color w:val="000000"/>
                <w:sz w:val="22"/>
                <w:szCs w:val="22"/>
              </w:rPr>
            </w:pPr>
          </w:p>
          <w:p w14:paraId="4716935E" w14:textId="77777777" w:rsidR="00B820E8" w:rsidRDefault="00B820E8" w:rsidP="00B820E8">
            <w:pPr>
              <w:pBdr>
                <w:top w:val="nil"/>
                <w:left w:val="nil"/>
                <w:bottom w:val="nil"/>
                <w:right w:val="nil"/>
                <w:between w:val="nil"/>
              </w:pBdr>
              <w:jc w:val="both"/>
              <w:rPr>
                <w:rFonts w:eastAsia="Times New Roman"/>
                <w:color w:val="000000"/>
                <w:sz w:val="22"/>
                <w:szCs w:val="22"/>
              </w:rPr>
            </w:pPr>
          </w:p>
          <w:p w14:paraId="1D3E9357" w14:textId="77777777" w:rsidR="00C30472" w:rsidRDefault="00287189">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2A713F4C" w14:textId="3E531F73" w:rsidR="00B820E8" w:rsidRPr="00B820E8" w:rsidRDefault="00287189" w:rsidP="00B820E8">
            <w:pPr>
              <w:pBdr>
                <w:top w:val="nil"/>
                <w:left w:val="nil"/>
                <w:bottom w:val="nil"/>
                <w:right w:val="nil"/>
                <w:between w:val="nil"/>
              </w:pBdr>
              <w:jc w:val="both"/>
              <w:rPr>
                <w:rFonts w:eastAsia="Times New Roman"/>
                <w:color w:val="000000"/>
                <w:sz w:val="22"/>
                <w:szCs w:val="22"/>
              </w:rPr>
            </w:pPr>
            <w:r>
              <w:rPr>
                <w:rFonts w:eastAsia="Times New Roman"/>
                <w:b/>
                <w:i/>
                <w:color w:val="000000"/>
                <w:sz w:val="22"/>
                <w:szCs w:val="22"/>
              </w:rPr>
              <w:t>Kata Kunci:</w:t>
            </w:r>
            <w:r w:rsidR="00B820E8" w:rsidRPr="00B820E8">
              <w:rPr>
                <w:rFonts w:eastAsia="Times New Roman"/>
                <w:color w:val="000000"/>
                <w:sz w:val="22"/>
                <w:szCs w:val="22"/>
              </w:rPr>
              <w:t xml:space="preserve"> Bait Suci, spiritualitas Israel, identitas umat pilihan, kehadiran Allah, ibadah komunal</w:t>
            </w:r>
            <w:r w:rsidR="00B820E8">
              <w:rPr>
                <w:rFonts w:eastAsia="Times New Roman"/>
                <w:color w:val="000000"/>
                <w:sz w:val="22"/>
                <w:szCs w:val="22"/>
              </w:rPr>
              <w:t>.</w:t>
            </w:r>
          </w:p>
          <w:p w14:paraId="71E2798F" w14:textId="77777777" w:rsidR="00C30472" w:rsidRDefault="00287189">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185E54D8" w14:textId="77777777" w:rsidR="00C30472" w:rsidRDefault="00C30472">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Default="00287189">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287189">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4F7C91C7" w14:textId="72F102D0" w:rsidR="00BE0A78" w:rsidRPr="00BE0A78" w:rsidRDefault="00BE0A78" w:rsidP="00BE0A78">
            <w:pPr>
              <w:pBdr>
                <w:top w:val="nil"/>
                <w:left w:val="nil"/>
                <w:bottom w:val="nil"/>
                <w:right w:val="nil"/>
                <w:between w:val="nil"/>
              </w:pBdr>
              <w:jc w:val="both"/>
              <w:rPr>
                <w:rFonts w:eastAsia="Times New Roman"/>
                <w:i/>
                <w:color w:val="000000"/>
                <w:sz w:val="22"/>
                <w:szCs w:val="22"/>
              </w:rPr>
            </w:pPr>
            <w:r w:rsidRPr="00BE0A78">
              <w:rPr>
                <w:rFonts w:eastAsia="Times New Roman"/>
                <w:i/>
                <w:color w:val="000000"/>
                <w:sz w:val="22"/>
                <w:szCs w:val="22"/>
              </w:rPr>
              <w:t xml:space="preserve">In religious life, three core components are always present: the worshipping community, the divine object of worship, and the sacred space where </w:t>
            </w:r>
            <w:r w:rsidRPr="00BE0A78">
              <w:rPr>
                <w:rFonts w:eastAsia="Times New Roman"/>
                <w:i/>
                <w:color w:val="000000"/>
                <w:sz w:val="22"/>
                <w:szCs w:val="22"/>
              </w:rPr>
              <w:lastRenderedPageBreak/>
              <w:t>worship is carried out. This study explores the function of the Temple in shaping both the spirituality and identity of God’s covenant people, with particular focus on the Israelites who regarded the Temple as the central place of worship to Yahweh. The theological background of this research lies in the Temple’s significance as the locus of divine presence, where Israel experienced God’s assistance, blessing, and peace. Constructed with utmost dedication, the Temple became a source of pride as well as the focal point of Israel’s religious identity. The study aims to investigate the Temple’s dual role: as a meeting place between God and His people, and as the communal center of worship. Methodologically, this research employs qualitative analysis of Old Testament texts, examining the theological meaning of the Jerusalem Temple. Findings indicate that the Temple held a pivotal role in nurturing Israel’s spirituality through sacred encounters with the manifest presence of God, while simultaneously forming collective identity as a covenant community through shared practices of praise, thanksgiving, and offerings. Thus, the Temple is understood not merely as an architectural structure, but as a theological symbol of divine presence that influenced Israel’s religious consciousness and communal ethics. The contribution of this study is to deepen the understanding of how sacred space informs the spiritual life and identity of faith communities within the Judeo-Christian tradition.</w:t>
            </w:r>
          </w:p>
          <w:p w14:paraId="61514CC2" w14:textId="3E8C573C" w:rsidR="00C30472" w:rsidRDefault="00B820E8" w:rsidP="00B820E8">
            <w:pPr>
              <w:pBdr>
                <w:top w:val="nil"/>
                <w:left w:val="nil"/>
                <w:bottom w:val="nil"/>
                <w:right w:val="nil"/>
                <w:between w:val="nil"/>
              </w:pBdr>
              <w:jc w:val="both"/>
              <w:rPr>
                <w:rFonts w:eastAsia="Times New Roman"/>
                <w:i/>
                <w:color w:val="000000"/>
                <w:sz w:val="22"/>
                <w:szCs w:val="22"/>
              </w:rPr>
            </w:pPr>
            <w:r w:rsidRPr="00B820E8">
              <w:rPr>
                <w:rFonts w:eastAsia="Times New Roman"/>
                <w:i/>
                <w:color w:val="000000"/>
                <w:sz w:val="22"/>
                <w:szCs w:val="22"/>
              </w:rPr>
              <w:t>_________________________________________________________</w:t>
            </w:r>
            <w:r w:rsidR="00287189">
              <w:rPr>
                <w:rFonts w:eastAsia="Times New Roman"/>
                <w:i/>
                <w:color w:val="000000"/>
                <w:sz w:val="22"/>
                <w:szCs w:val="22"/>
              </w:rPr>
              <w:t>____________________________________________</w:t>
            </w:r>
          </w:p>
          <w:p w14:paraId="2063EFDB" w14:textId="45BD463B" w:rsidR="00B820E8" w:rsidRPr="00B820E8" w:rsidRDefault="00287189" w:rsidP="00B820E8">
            <w:pPr>
              <w:pBdr>
                <w:top w:val="nil"/>
                <w:left w:val="nil"/>
                <w:bottom w:val="nil"/>
                <w:right w:val="nil"/>
                <w:between w:val="nil"/>
              </w:pBdr>
              <w:jc w:val="both"/>
              <w:rPr>
                <w:rFonts w:eastAsia="Times New Roman"/>
                <w:i/>
                <w:color w:val="000000"/>
                <w:sz w:val="22"/>
                <w:szCs w:val="22"/>
              </w:rPr>
            </w:pPr>
            <w:r>
              <w:rPr>
                <w:rFonts w:eastAsia="Times New Roman"/>
                <w:b/>
                <w:i/>
                <w:color w:val="000000"/>
                <w:sz w:val="22"/>
                <w:szCs w:val="22"/>
              </w:rPr>
              <w:t>Keywords:</w:t>
            </w:r>
            <w:r w:rsidR="00B820E8" w:rsidRPr="00B820E8">
              <w:rPr>
                <w:rFonts w:eastAsia="Times New Roman"/>
                <w:i/>
                <w:color w:val="000000"/>
                <w:sz w:val="22"/>
                <w:szCs w:val="22"/>
              </w:rPr>
              <w:t xml:space="preserve"> Holy Temple, Israeli spirituality, identity of the chosen people, presence of God, communal worship.</w:t>
            </w:r>
          </w:p>
          <w:p w14:paraId="7A1C1A60" w14:textId="34F568AB" w:rsidR="00C30472" w:rsidRDefault="00287189">
            <w:pPr>
              <w:pBdr>
                <w:top w:val="nil"/>
                <w:left w:val="nil"/>
                <w:bottom w:val="nil"/>
                <w:right w:val="nil"/>
                <w:between w:val="nil"/>
              </w:pBd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02D3DCD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sectPr w:rsidR="00C30472">
          <w:headerReference w:type="even" r:id="rId14"/>
          <w:footerReference w:type="even" r:id="rId15"/>
          <w:footerReference w:type="default" r:id="rId16"/>
          <w:headerReference w:type="first" r:id="rId17"/>
          <w:footerReference w:type="first" r:id="rId18"/>
          <w:pgSz w:w="11906" w:h="16838"/>
          <w:pgMar w:top="1418" w:right="1133" w:bottom="1418" w:left="1701" w:header="708" w:footer="708" w:gutter="0"/>
          <w:pgNumType w:start="1"/>
          <w:cols w:space="720"/>
        </w:sectPr>
      </w:pPr>
    </w:p>
    <w:p w14:paraId="14CC9767" w14:textId="77777777" w:rsidR="00C30472"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C30472" w14:paraId="28F858E4" w14:textId="77777777">
        <w:tc>
          <w:tcPr>
            <w:tcW w:w="5111" w:type="dxa"/>
            <w:tcBorders>
              <w:top w:val="single" w:sz="4" w:space="0" w:color="000000"/>
            </w:tcBorders>
          </w:tcPr>
          <w:p w14:paraId="07D8F5B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2957D0F7" w14:textId="77777777" w:rsidR="00C30472"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5A76EF67" w14:textId="77777777" w:rsidR="00C30472" w:rsidRPr="00BE5DA8" w:rsidRDefault="00287189" w:rsidP="00BE5DA8">
      <w:pPr>
        <w:spacing w:line="360" w:lineRule="auto"/>
        <w:jc w:val="both"/>
        <w:rPr>
          <w:rFonts w:asciiTheme="majorBidi" w:hAnsiTheme="majorBidi" w:cstheme="majorBidi"/>
          <w:b/>
        </w:rPr>
      </w:pPr>
      <w:r w:rsidRPr="00BE5DA8">
        <w:rPr>
          <w:rFonts w:asciiTheme="majorBidi" w:hAnsiTheme="majorBidi" w:cstheme="majorBidi"/>
          <w:b/>
        </w:rPr>
        <w:t>PENDAHULUAN</w:t>
      </w:r>
    </w:p>
    <w:p w14:paraId="7272B756" w14:textId="02115B32" w:rsidR="00CF12E9" w:rsidRPr="00CF12E9" w:rsidRDefault="00CF12E9" w:rsidP="00BE5DA8">
      <w:pPr>
        <w:spacing w:line="360" w:lineRule="auto"/>
        <w:ind w:firstLine="720"/>
        <w:jc w:val="both"/>
        <w:rPr>
          <w:rFonts w:asciiTheme="majorBidi" w:hAnsiTheme="majorBidi" w:cstheme="majorBidi"/>
        </w:rPr>
      </w:pPr>
      <w:r w:rsidRPr="00CF12E9">
        <w:rPr>
          <w:rFonts w:asciiTheme="majorBidi" w:hAnsiTheme="majorBidi" w:cstheme="majorBidi"/>
        </w:rPr>
        <w:t>Sejak masa para leluhur Israel, pendirian mezbah senantiasa memiliki kaitan erat dengan pengalaman religius yang sakral. Setiap kali terjadi perjumpaan dengan Allah atau campur tangan-Nya dalam perjalanan umat, mezbah menjadi tanda pengingat sekaligus lambang relasi antara manusia dengan Yang Ilahi. Nuh, misalnya, mempersembahkan korban di atas mezbah setelah air bah berakhir (Kej. 8:20). Hal yang sama dilakukan Abraham dalam setiap perjumpaannya dengan Allah (Kej. 12:7; 13:18; 22:9), begitu pula Ishak dan Yakub yang membangun mezbah sebagai bentuk pengakuan iman (Kej. 26:25; 33:20). Tradisi ini berlanjut pada Musa (Kel. 17:15), Yosua (Yos. 8:33; 22:10), serta tokoh-tokoh pada masa hakim dan raja, seperti Gideon (Hak. 6</w:t>
      </w:r>
      <w:r w:rsidR="00A47FB2">
        <w:rPr>
          <w:rFonts w:asciiTheme="majorBidi" w:hAnsiTheme="majorBidi" w:cstheme="majorBidi"/>
        </w:rPr>
        <w:t xml:space="preserve"> ayat </w:t>
      </w:r>
      <w:r w:rsidRPr="00CF12E9">
        <w:rPr>
          <w:rFonts w:asciiTheme="majorBidi" w:hAnsiTheme="majorBidi" w:cstheme="majorBidi"/>
        </w:rPr>
        <w:t>25</w:t>
      </w:r>
      <w:r w:rsidR="00A47FB2">
        <w:rPr>
          <w:rFonts w:asciiTheme="majorBidi" w:hAnsiTheme="majorBidi" w:cstheme="majorBidi"/>
        </w:rPr>
        <w:t>-28</w:t>
      </w:r>
      <w:r w:rsidRPr="00CF12E9">
        <w:rPr>
          <w:rFonts w:asciiTheme="majorBidi" w:hAnsiTheme="majorBidi" w:cstheme="majorBidi"/>
        </w:rPr>
        <w:t xml:space="preserve">), </w:t>
      </w:r>
      <w:r w:rsidR="00A47FB2">
        <w:rPr>
          <w:rFonts w:asciiTheme="majorBidi" w:hAnsiTheme="majorBidi" w:cstheme="majorBidi"/>
        </w:rPr>
        <w:t xml:space="preserve">Raja </w:t>
      </w:r>
      <w:r w:rsidRPr="00CF12E9">
        <w:rPr>
          <w:rFonts w:asciiTheme="majorBidi" w:hAnsiTheme="majorBidi" w:cstheme="majorBidi"/>
        </w:rPr>
        <w:t>Saul (</w:t>
      </w:r>
      <w:r w:rsidR="00A47FB2">
        <w:rPr>
          <w:rFonts w:asciiTheme="majorBidi" w:hAnsiTheme="majorBidi" w:cstheme="majorBidi"/>
        </w:rPr>
        <w:t>I</w:t>
      </w:r>
      <w:r w:rsidRPr="00CF12E9">
        <w:rPr>
          <w:rFonts w:asciiTheme="majorBidi" w:hAnsiTheme="majorBidi" w:cstheme="majorBidi"/>
        </w:rPr>
        <w:t xml:space="preserve"> Sam. 14</w:t>
      </w:r>
      <w:r w:rsidR="00A47FB2">
        <w:rPr>
          <w:rFonts w:asciiTheme="majorBidi" w:hAnsiTheme="majorBidi" w:cstheme="majorBidi"/>
        </w:rPr>
        <w:t xml:space="preserve"> ayat </w:t>
      </w:r>
      <w:r w:rsidRPr="00CF12E9">
        <w:rPr>
          <w:rFonts w:asciiTheme="majorBidi" w:hAnsiTheme="majorBidi" w:cstheme="majorBidi"/>
        </w:rPr>
        <w:t xml:space="preserve">35), dan </w:t>
      </w:r>
      <w:r w:rsidR="00A47FB2">
        <w:rPr>
          <w:rFonts w:asciiTheme="majorBidi" w:hAnsiTheme="majorBidi" w:cstheme="majorBidi"/>
        </w:rPr>
        <w:t xml:space="preserve">Raja </w:t>
      </w:r>
      <w:r w:rsidRPr="00CF12E9">
        <w:rPr>
          <w:rFonts w:asciiTheme="majorBidi" w:hAnsiTheme="majorBidi" w:cstheme="majorBidi"/>
        </w:rPr>
        <w:t>Daud (</w:t>
      </w:r>
      <w:r w:rsidR="00A47FB2">
        <w:rPr>
          <w:rFonts w:asciiTheme="majorBidi" w:hAnsiTheme="majorBidi" w:cstheme="majorBidi"/>
        </w:rPr>
        <w:t>II</w:t>
      </w:r>
      <w:r w:rsidRPr="00CF12E9">
        <w:rPr>
          <w:rFonts w:asciiTheme="majorBidi" w:hAnsiTheme="majorBidi" w:cstheme="majorBidi"/>
        </w:rPr>
        <w:t xml:space="preserve"> Sam. 24:</w:t>
      </w:r>
      <w:r w:rsidR="00A47FB2">
        <w:rPr>
          <w:rFonts w:asciiTheme="majorBidi" w:hAnsiTheme="majorBidi" w:cstheme="majorBidi"/>
        </w:rPr>
        <w:t xml:space="preserve">ayat </w:t>
      </w:r>
      <w:r w:rsidRPr="00CF12E9">
        <w:rPr>
          <w:rFonts w:asciiTheme="majorBidi" w:hAnsiTheme="majorBidi" w:cstheme="majorBidi"/>
        </w:rPr>
        <w:t>18</w:t>
      </w:r>
      <w:r w:rsidR="00A47FB2">
        <w:rPr>
          <w:rFonts w:asciiTheme="majorBidi" w:hAnsiTheme="majorBidi" w:cstheme="majorBidi"/>
        </w:rPr>
        <w:t xml:space="preserve"> sampai </w:t>
      </w:r>
      <w:r w:rsidRPr="00CF12E9">
        <w:rPr>
          <w:rFonts w:asciiTheme="majorBidi" w:hAnsiTheme="majorBidi" w:cstheme="majorBidi"/>
        </w:rPr>
        <w:t>25). Mezbah dalam hal ini tidak hanya dipandang sebagai sarana liturgis, melainkan simbol kehadiran Allah di tengah umat yang memperkuat spiritualitas kolektif mereka</w:t>
      </w:r>
      <w:r w:rsidR="00D8419F" w:rsidRPr="00BE5DA8">
        <w:rPr>
          <w:rFonts w:asciiTheme="majorBidi" w:hAnsiTheme="majorBidi" w:cstheme="majorBidi"/>
        </w:rPr>
        <w:t>.</w:t>
      </w:r>
      <w:r w:rsidR="00D8419F" w:rsidRPr="00BE5DA8">
        <w:rPr>
          <w:rStyle w:val="ReferensiCatatanKaki"/>
          <w:rFonts w:asciiTheme="majorBidi" w:hAnsiTheme="majorBidi" w:cstheme="majorBidi"/>
        </w:rPr>
        <w:footnoteReference w:id="1"/>
      </w:r>
    </w:p>
    <w:p w14:paraId="35F05874" w14:textId="52F13CFD" w:rsidR="00CF12E9" w:rsidRPr="00CF12E9" w:rsidRDefault="00CF12E9" w:rsidP="00BE5DA8">
      <w:pPr>
        <w:spacing w:line="360" w:lineRule="auto"/>
        <w:ind w:firstLine="720"/>
        <w:jc w:val="both"/>
        <w:rPr>
          <w:rFonts w:asciiTheme="majorBidi" w:hAnsiTheme="majorBidi" w:cstheme="majorBidi"/>
        </w:rPr>
      </w:pPr>
      <w:r w:rsidRPr="00CF12E9">
        <w:rPr>
          <w:rFonts w:asciiTheme="majorBidi" w:hAnsiTheme="majorBidi" w:cstheme="majorBidi"/>
        </w:rPr>
        <w:t>Dalam perkembangan sejarah keagamaan Israel, fungsi mezbah mengalami transformasi signifikan. Ketika ibadah semakin terpusat, Bait Suci di Yerusalem muncul sebagai pusat utama perjumpaan dengan Allah.</w:t>
      </w:r>
      <w:r w:rsidR="00D8419F" w:rsidRPr="00BE5DA8">
        <w:rPr>
          <w:rStyle w:val="ReferensiCatatanKaki"/>
          <w:rFonts w:asciiTheme="majorBidi" w:hAnsiTheme="majorBidi" w:cstheme="majorBidi"/>
        </w:rPr>
        <w:footnoteReference w:id="2"/>
      </w:r>
      <w:r w:rsidRPr="00CF12E9">
        <w:rPr>
          <w:rFonts w:asciiTheme="majorBidi" w:hAnsiTheme="majorBidi" w:cstheme="majorBidi"/>
        </w:rPr>
        <w:t xml:space="preserve"> Bait Suci bukan sekadar tempat ritus keagamaan, melainkan juga menjadi penanda identitas kolektif bangsa Israel sebagai umat pilihan Allah</w:t>
      </w:r>
      <w:r w:rsidR="009B0F78" w:rsidRPr="00BE5DA8">
        <w:rPr>
          <w:rFonts w:asciiTheme="majorBidi" w:hAnsiTheme="majorBidi" w:cstheme="majorBidi"/>
        </w:rPr>
        <w:t>.</w:t>
      </w:r>
      <w:r w:rsidR="009B0F78" w:rsidRPr="00BE5DA8">
        <w:rPr>
          <w:rStyle w:val="ReferensiCatatanKaki"/>
          <w:rFonts w:asciiTheme="majorBidi" w:hAnsiTheme="majorBidi" w:cstheme="majorBidi"/>
        </w:rPr>
        <w:footnoteReference w:id="3"/>
      </w:r>
      <w:r w:rsidR="009B0F78" w:rsidRPr="00BE5DA8">
        <w:rPr>
          <w:rFonts w:asciiTheme="majorBidi" w:hAnsiTheme="majorBidi" w:cstheme="majorBidi"/>
        </w:rPr>
        <w:t xml:space="preserve"> </w:t>
      </w:r>
      <w:r w:rsidRPr="00CF12E9">
        <w:rPr>
          <w:rFonts w:asciiTheme="majorBidi" w:hAnsiTheme="majorBidi" w:cstheme="majorBidi"/>
        </w:rPr>
        <w:t>Dengan demikian, Bait Suci memainkan peran ganda: pertama, sebagai pusat spiritualitas umat yang meneguhkan pengalaman iman; kedua, sebagai simbol identitas yang menyatukan komunitas dalam kesetiaan pada Allah</w:t>
      </w:r>
      <w:r w:rsidR="00A0283A" w:rsidRPr="00BE5DA8">
        <w:rPr>
          <w:rFonts w:asciiTheme="majorBidi" w:hAnsiTheme="majorBidi" w:cstheme="majorBidi"/>
        </w:rPr>
        <w:t>.</w:t>
      </w:r>
      <w:r w:rsidR="00A0283A" w:rsidRPr="00BE5DA8">
        <w:rPr>
          <w:rStyle w:val="ReferensiCatatanKaki"/>
          <w:rFonts w:asciiTheme="majorBidi" w:hAnsiTheme="majorBidi" w:cstheme="majorBidi"/>
        </w:rPr>
        <w:footnoteReference w:id="4"/>
      </w:r>
    </w:p>
    <w:p w14:paraId="607E1781" w14:textId="587C50D0" w:rsidR="00CF12E9" w:rsidRPr="00CF12E9" w:rsidRDefault="00CF12E9" w:rsidP="00BE5DA8">
      <w:pPr>
        <w:spacing w:line="360" w:lineRule="auto"/>
        <w:ind w:firstLine="720"/>
        <w:jc w:val="both"/>
        <w:rPr>
          <w:rFonts w:asciiTheme="majorBidi" w:hAnsiTheme="majorBidi" w:cstheme="majorBidi"/>
        </w:rPr>
      </w:pPr>
      <w:r w:rsidRPr="00CF12E9">
        <w:rPr>
          <w:rFonts w:asciiTheme="majorBidi" w:hAnsiTheme="majorBidi" w:cstheme="majorBidi"/>
        </w:rPr>
        <w:t>Permasalahan utama yang muncul adalah bahwa dalam banyak studi kontemporer, peran Bait Suci sering kali dipahami hanya sebatas fungsi ritual dan politik, sementara dimensi spiritualitas dan identitas umat kerap terabaikan.</w:t>
      </w:r>
      <w:r w:rsidR="00A0283A" w:rsidRPr="00BE5DA8">
        <w:rPr>
          <w:rStyle w:val="ReferensiCatatanKaki"/>
          <w:rFonts w:asciiTheme="majorBidi" w:hAnsiTheme="majorBidi" w:cstheme="majorBidi"/>
        </w:rPr>
        <w:footnoteReference w:id="5"/>
      </w:r>
      <w:r w:rsidRPr="00CF12E9">
        <w:rPr>
          <w:rFonts w:asciiTheme="majorBidi" w:hAnsiTheme="majorBidi" w:cstheme="majorBidi"/>
        </w:rPr>
        <w:t xml:space="preserve"> Padahal, pemahaman yang lebih menyeluruh mengenai fungsi Bait Suci sangat penting untuk melihat bagaimana ruang sakral membentuk teologi dan praksis keagamaan umat Israel. Oleh karena itu, penelitian ini menjadi relevan </w:t>
      </w:r>
      <w:r w:rsidRPr="00CF12E9">
        <w:rPr>
          <w:rFonts w:asciiTheme="majorBidi" w:hAnsiTheme="majorBidi" w:cstheme="majorBidi"/>
        </w:rPr>
        <w:lastRenderedPageBreak/>
        <w:t>karena berupaya menggali bagaimana Bait Suci berfungsi dalam membentuk spiritualitas sekaligus mengukuhkan identitas umat pilihan Allah, baik dalam konteks historis-biblis maupun refleksi teologis masa kini.</w:t>
      </w:r>
    </w:p>
    <w:p w14:paraId="0D134F0E" w14:textId="77777777" w:rsidR="00C30472" w:rsidRPr="00BE5DA8" w:rsidRDefault="00C30472" w:rsidP="00BE5DA8">
      <w:pPr>
        <w:spacing w:line="360" w:lineRule="auto"/>
        <w:ind w:firstLine="720"/>
        <w:jc w:val="both"/>
        <w:rPr>
          <w:rFonts w:asciiTheme="majorBidi" w:hAnsiTheme="majorBidi" w:cstheme="majorBidi"/>
        </w:rPr>
        <w:sectPr w:rsidR="00C30472" w:rsidRPr="00BE5DA8">
          <w:pgSz w:w="11906" w:h="16838"/>
          <w:pgMar w:top="1418" w:right="1133" w:bottom="1418" w:left="1701" w:header="708" w:footer="708" w:gutter="0"/>
          <w:cols w:space="720"/>
        </w:sectPr>
      </w:pPr>
    </w:p>
    <w:p w14:paraId="215F8694" w14:textId="038E8CD6" w:rsidR="00A0283A" w:rsidRPr="00A0283A" w:rsidRDefault="00A47FB2" w:rsidP="00A47FB2">
      <w:pPr>
        <w:pBdr>
          <w:top w:val="nil"/>
          <w:left w:val="nil"/>
          <w:bottom w:val="nil"/>
          <w:right w:val="nil"/>
          <w:between w:val="nil"/>
        </w:pBdr>
        <w:spacing w:line="360" w:lineRule="auto"/>
        <w:ind w:firstLine="720"/>
        <w:jc w:val="both"/>
        <w:rPr>
          <w:rFonts w:asciiTheme="majorBidi" w:eastAsia="Times New Roman" w:hAnsiTheme="majorBidi" w:cstheme="majorBidi"/>
          <w:color w:val="000000"/>
        </w:rPr>
      </w:pPr>
      <w:r w:rsidRPr="00A47FB2">
        <w:rPr>
          <w:rFonts w:asciiTheme="majorBidi" w:eastAsia="Times New Roman" w:hAnsiTheme="majorBidi" w:cstheme="majorBidi"/>
          <w:color w:val="000000"/>
        </w:rPr>
        <w:t>Pada tahap awal, mezbah yang dibangun sebagai penanda kehadiran Allah hanya berupa tumpukan batu sederhana dan tidak lagi digunakan setelah itu. Namun, seiring perkembangan sejarah iman Israel, pemahaman tentang kehadiran Allah semakin mendalam, kompleks, dan terasa dekat dengan kehidupan umat. Setelah pembebasan dari Mesir yang terjadi karena kasih karunia dan inisiatif Allah, bangsa Israel dipanggil untuk menjadi umat pilihan yang mengabdikan ibadah hanya kepada-Nya. Kehadiran ilahi kemudian ditandai melalui pendirian kemah pertemuan (Kel. 33:7–11; Bil. 11:16–17, 26–30; 12:4–10; Ul. 31:14–15). Tempat kudus yang bersifat portabel ini menjadi pusat ibadah serta media pewahyuan Allah sepanjang perjalanan mereka di padang gurun. Kehadiran tiang awan dan tiang api berfungsi sebagai simbol nyata penyertaan Allah di tengah umat. Setiap kali Musa memasuki kemah tersebut, ia menerima instruksi langsung dari Allah mengenai kewajiban yang harus dijalankan bangsa itu (Kel. 33:9; Bil. 12:5; Ul. 31:15). Walaupun sederhana dalam bentuk dan fungsi, kemah pertemuan memegang peran penting sebagai pendahulu bagi Bait Suci di Yerusalem yang kelak dibangun dengan kemegahan jauh lebih besar.</w:t>
      </w:r>
      <w:r w:rsidR="00603858" w:rsidRPr="00BE5DA8">
        <w:rPr>
          <w:rStyle w:val="ReferensiCatatanKaki"/>
          <w:rFonts w:asciiTheme="majorBidi" w:eastAsia="Times New Roman" w:hAnsiTheme="majorBidi" w:cstheme="majorBidi"/>
          <w:color w:val="000000"/>
        </w:rPr>
        <w:footnoteReference w:id="6"/>
      </w:r>
    </w:p>
    <w:p w14:paraId="68BA8E6A" w14:textId="65AD0BD5" w:rsidR="00A0283A" w:rsidRPr="00A0283A" w:rsidRDefault="00A0283A" w:rsidP="00BE5DA8">
      <w:pPr>
        <w:pBdr>
          <w:top w:val="nil"/>
          <w:left w:val="nil"/>
          <w:bottom w:val="nil"/>
          <w:right w:val="nil"/>
          <w:between w:val="nil"/>
        </w:pBdr>
        <w:spacing w:line="360" w:lineRule="auto"/>
        <w:ind w:firstLine="720"/>
        <w:jc w:val="both"/>
        <w:rPr>
          <w:rFonts w:asciiTheme="majorBidi" w:eastAsia="Times New Roman" w:hAnsiTheme="majorBidi" w:cstheme="majorBidi"/>
          <w:color w:val="000000"/>
        </w:rPr>
      </w:pPr>
      <w:r w:rsidRPr="00A0283A">
        <w:rPr>
          <w:rFonts w:asciiTheme="majorBidi" w:eastAsia="Times New Roman" w:hAnsiTheme="majorBidi" w:cstheme="majorBidi"/>
          <w:color w:val="000000"/>
        </w:rPr>
        <w:t>Kitab Bilangan, Yosua, hingga 1 Samuel juga menyingkapkan dimensi lain dari kehadiran Allah melalui tabut perjanjian. Tidak seperti kemah pertemuan yang bersifat struktural, tabut berbentuk seperti peti kayu yang dapat dipindahkan dengan pengusung khusus (1 Raj. 8:8). Mobilitasnya memungkinkan umat Israel merasakan kedekatan konstan dengan Allah, meskipun tidak berarti bahwa Allah dibatasi oleh ruang atau waktu. Pada bagian penutup tabut terdapat ornamen kerub-kerub, dan di atasnya Allah semesta alam dipahami “bersemayam” dalam wujud yang tak kelihatan (1 Sam. 4:4; 2 Sam. 6:2; 2 Raj. 19:15). Kehadiran Allah di atas tabut menegaskan peran-Nya sebagai penyelamat, terutama dalam peperangan melawan musuh-musuh Israel (Bil. 10:35–36). Dengan demikian, tabut berfungsi sebagai “takhta Allah” yang melambangkan penyertaan ilahi di tengah umat-Nya. Seperti ditegaskan oleh Homer Heater, tabut perjanjian menjadi simbol paling kuat dari kehadiran Allah dalam kehidupan religius Israel, bahkan menempati posisi sentral dalam peribadatan bersama dengan mezbah korban</w:t>
      </w:r>
      <w:r w:rsidR="00603858" w:rsidRPr="00BE5DA8">
        <w:rPr>
          <w:rFonts w:asciiTheme="majorBidi" w:eastAsia="Times New Roman" w:hAnsiTheme="majorBidi" w:cstheme="majorBidi"/>
          <w:color w:val="000000"/>
        </w:rPr>
        <w:t>.</w:t>
      </w:r>
      <w:r w:rsidR="00603858" w:rsidRPr="00BE5DA8">
        <w:rPr>
          <w:rStyle w:val="ReferensiCatatanKaki"/>
          <w:rFonts w:asciiTheme="majorBidi" w:eastAsia="Times New Roman" w:hAnsiTheme="majorBidi" w:cstheme="majorBidi"/>
          <w:color w:val="000000"/>
        </w:rPr>
        <w:footnoteReference w:id="7"/>
      </w:r>
    </w:p>
    <w:p w14:paraId="69C5AB19" w14:textId="6C784A0B" w:rsidR="00603858" w:rsidRPr="00603858" w:rsidRDefault="00603858" w:rsidP="00A47FB2">
      <w:pPr>
        <w:pBdr>
          <w:top w:val="nil"/>
          <w:left w:val="nil"/>
          <w:bottom w:val="nil"/>
          <w:right w:val="nil"/>
          <w:between w:val="nil"/>
        </w:pBdr>
        <w:spacing w:line="360" w:lineRule="auto"/>
        <w:ind w:firstLine="720"/>
        <w:jc w:val="both"/>
        <w:rPr>
          <w:rFonts w:asciiTheme="majorBidi" w:eastAsia="Times New Roman" w:hAnsiTheme="majorBidi" w:cstheme="majorBidi"/>
          <w:color w:val="000000"/>
        </w:rPr>
      </w:pPr>
      <w:r w:rsidRPr="00603858">
        <w:rPr>
          <w:rFonts w:asciiTheme="majorBidi" w:eastAsia="Times New Roman" w:hAnsiTheme="majorBidi" w:cstheme="majorBidi"/>
          <w:color w:val="000000"/>
        </w:rPr>
        <w:lastRenderedPageBreak/>
        <w:t>Dalam tradisi historis Israel, sebelum lahirnya kerajaan, umat sudah mengenal adanya tempat ibadah berbentuk bangunan permanen, meskipun skalanya sederhana.</w:t>
      </w:r>
      <w:r w:rsidR="00A47FB2" w:rsidRPr="00A47FB2">
        <w:t xml:space="preserve"> </w:t>
      </w:r>
      <w:r w:rsidR="00A47FB2" w:rsidRPr="00A47FB2">
        <w:rPr>
          <w:rFonts w:asciiTheme="majorBidi" w:eastAsia="Times New Roman" w:hAnsiTheme="majorBidi" w:cstheme="majorBidi"/>
          <w:color w:val="000000"/>
        </w:rPr>
        <w:t>Catatan sejarah Israel memperlihatkan bahwa keberadaan bait atau kuil tidak hanya terpusat di satu tempat, melainkan tersebar di lokasi-lokasi penting. Di daerah pegunungan Efraim, misalnya, berdiri rumah ibadah di Silo. Pada masa Saul dan Daud, muncul tempat kudus di Gilgal (1 Sam. 11:15), di Nob (1 Sam. 21:1), serta rumah Yahweh di Yerusalem (2 Sam. 15:7). Bahkan, tradisi mencatat adanya tempat ibadah di bukit Zaitun (2 Sam. 15:32).</w:t>
      </w:r>
      <w:r w:rsidRPr="00603858">
        <w:rPr>
          <w:rFonts w:asciiTheme="majorBidi" w:eastAsia="Times New Roman" w:hAnsiTheme="majorBidi" w:cstheme="majorBidi"/>
          <w:color w:val="000000"/>
        </w:rPr>
        <w:t xml:space="preserve"> Fungsi utama tempat-tempat kudus ini adalah sebagai pusat aktivitas religius, tempat umat Israel merayakan pesta panen, menghidupi kebersamaan keluarga, maupun melaksanakan ritus khusus. Pada momen tertentu, individu bersama imam datang untuk mempersembahkan korban sebagai penggenapan nazar, sarana pengampunan dosa, atau ritus pemulihan dari penyakit.</w:t>
      </w:r>
      <w:r w:rsidR="002D7200" w:rsidRPr="00BE5DA8">
        <w:rPr>
          <w:rStyle w:val="ReferensiCatatanKaki"/>
          <w:rFonts w:asciiTheme="majorBidi" w:eastAsia="Times New Roman" w:hAnsiTheme="majorBidi" w:cstheme="majorBidi"/>
          <w:color w:val="000000"/>
        </w:rPr>
        <w:footnoteReference w:id="8"/>
      </w:r>
    </w:p>
    <w:p w14:paraId="5F41D105" w14:textId="77777777" w:rsidR="00603858" w:rsidRPr="00603858" w:rsidRDefault="00603858" w:rsidP="00BE5DA8">
      <w:pPr>
        <w:pBdr>
          <w:top w:val="nil"/>
          <w:left w:val="nil"/>
          <w:bottom w:val="nil"/>
          <w:right w:val="nil"/>
          <w:between w:val="nil"/>
        </w:pBdr>
        <w:spacing w:line="360" w:lineRule="auto"/>
        <w:ind w:firstLine="720"/>
        <w:jc w:val="both"/>
        <w:rPr>
          <w:rFonts w:asciiTheme="majorBidi" w:eastAsia="Times New Roman" w:hAnsiTheme="majorBidi" w:cstheme="majorBidi"/>
          <w:color w:val="000000"/>
        </w:rPr>
      </w:pPr>
      <w:r w:rsidRPr="00603858">
        <w:rPr>
          <w:rFonts w:asciiTheme="majorBidi" w:eastAsia="Times New Roman" w:hAnsiTheme="majorBidi" w:cstheme="majorBidi"/>
          <w:color w:val="000000"/>
        </w:rPr>
        <w:t>Kendati bentuk dan tata ruang kuil-kuil tersebut tidak terdokumentasi secara rinci, catatan ini memperlihatkan bahwa Israel sudah lama mengembangkan pola ibadah terpusat pada ruang-ruang sakral sebelum hadirnya Bait Suci di Yerusalem. Dengan demikian, keberadaan kuil-kuil awal tersebut dapat dipahami sebagai cikal bakal konseptual yang akhirnya bermuara pada pembangunan Bait Suci, rumah ibadah utama yang menjadi simbol puncak dari kehadiran Allah sekaligus identitas kolektif bangsa Israel.</w:t>
      </w:r>
    </w:p>
    <w:p w14:paraId="73A53D2D" w14:textId="77777777" w:rsidR="00901906" w:rsidRPr="00C84A10" w:rsidRDefault="00901906" w:rsidP="00901906">
      <w:pPr>
        <w:pBdr>
          <w:top w:val="nil"/>
          <w:left w:val="nil"/>
          <w:bottom w:val="nil"/>
          <w:right w:val="nil"/>
          <w:between w:val="nil"/>
        </w:pBdr>
        <w:spacing w:line="360" w:lineRule="auto"/>
        <w:ind w:firstLine="720"/>
        <w:jc w:val="both"/>
        <w:rPr>
          <w:rFonts w:asciiTheme="majorBidi" w:eastAsia="Times New Roman" w:hAnsiTheme="majorBidi" w:cstheme="majorBidi"/>
          <w:color w:val="000000"/>
        </w:rPr>
      </w:pPr>
      <w:r w:rsidRPr="0028573F">
        <w:rPr>
          <w:rFonts w:asciiTheme="majorBidi" w:eastAsia="Times New Roman" w:hAnsiTheme="majorBidi" w:cstheme="majorBidi"/>
          <w:color w:val="000000"/>
          <w:highlight w:val="yellow"/>
        </w:rPr>
        <w:t>Dalam</w:t>
      </w:r>
      <w:r w:rsidRPr="00C84A10">
        <w:rPr>
          <w:rFonts w:asciiTheme="majorBidi" w:eastAsia="Times New Roman" w:hAnsiTheme="majorBidi" w:cstheme="majorBidi"/>
          <w:color w:val="000000"/>
        </w:rPr>
        <w:t xml:space="preserve"> perjalanan sejarah iman umat Allah, Bait Suci selalu menjadi pusat pengalaman religius dan simbol kehadiran ilahi di tengah umat. Namun, di era digital dan pascamodern, makna Bait Suci mengalami transformasi mendasar. Ruang ibadah tidak lagi terbatas pada bangunan fisik, tetapi juga hadir dalam ruang maya (</w:t>
      </w:r>
      <w:r w:rsidRPr="00C84A10">
        <w:rPr>
          <w:rFonts w:asciiTheme="majorBidi" w:eastAsia="Times New Roman" w:hAnsiTheme="majorBidi" w:cstheme="majorBidi"/>
          <w:i/>
          <w:iCs/>
          <w:color w:val="000000"/>
        </w:rPr>
        <w:t>digital sacred spaces</w:t>
      </w:r>
      <w:r w:rsidRPr="00C84A10">
        <w:rPr>
          <w:rFonts w:asciiTheme="majorBidi" w:eastAsia="Times New Roman" w:hAnsiTheme="majorBidi" w:cstheme="majorBidi"/>
          <w:color w:val="000000"/>
        </w:rPr>
        <w:t>) yang memungkinkan umat berinteraksi, berdoa, dan mengalami kehadiran Allah melalui media teknologi. Pergeseran ini menimbulkan pertanyaan teologis mendalam: bagaimana konsep Bait Suci dapat direinterpretasi dalam konteks masyarakat digital yang semakin cair dan terfragmentasi?</w:t>
      </w:r>
    </w:p>
    <w:p w14:paraId="2CC683DE" w14:textId="48E65C87" w:rsidR="00901906" w:rsidRPr="00C84A10" w:rsidRDefault="00901906" w:rsidP="00D762E5">
      <w:pPr>
        <w:pBdr>
          <w:top w:val="nil"/>
          <w:left w:val="nil"/>
          <w:bottom w:val="nil"/>
          <w:right w:val="nil"/>
          <w:between w:val="nil"/>
        </w:pBdr>
        <w:spacing w:line="360" w:lineRule="auto"/>
        <w:ind w:firstLine="720"/>
        <w:jc w:val="both"/>
        <w:rPr>
          <w:rFonts w:asciiTheme="majorBidi" w:eastAsia="Times New Roman" w:hAnsiTheme="majorBidi" w:cstheme="majorBidi"/>
          <w:color w:val="000000"/>
        </w:rPr>
      </w:pPr>
      <w:commentRangeStart w:id="1"/>
      <w:r w:rsidRPr="00C84A10">
        <w:rPr>
          <w:rFonts w:asciiTheme="majorBidi" w:eastAsia="Times New Roman" w:hAnsiTheme="majorBidi" w:cstheme="majorBidi"/>
          <w:color w:val="000000"/>
        </w:rPr>
        <w:t>Fenomena digitalisasi ibadah terutama setelah pandemi COVID-19 telah memperlihatkan bahwa spiritualitas umat tidak lagi bergantung pada ruang sakral fisik, tetapi juga terbangun melalui interaksi simbolik dan naratif di ruang digital</w:t>
      </w:r>
      <w:r>
        <w:rPr>
          <w:rFonts w:asciiTheme="majorBidi" w:eastAsia="Times New Roman" w:hAnsiTheme="majorBidi" w:cstheme="majorBidi"/>
          <w:color w:val="000000"/>
        </w:rPr>
        <w:t>.</w:t>
      </w:r>
      <w:r>
        <w:rPr>
          <w:rStyle w:val="ReferensiCatatanKaki"/>
          <w:rFonts w:asciiTheme="majorBidi" w:eastAsia="Times New Roman" w:hAnsiTheme="majorBidi" w:cstheme="majorBidi"/>
          <w:color w:val="000000"/>
        </w:rPr>
        <w:footnoteReference w:id="9"/>
      </w:r>
      <w:r w:rsidRPr="00C84A10">
        <w:rPr>
          <w:rFonts w:asciiTheme="majorBidi" w:eastAsia="Times New Roman" w:hAnsiTheme="majorBidi" w:cstheme="majorBidi"/>
          <w:color w:val="000000"/>
        </w:rPr>
        <w:t xml:space="preserve"> Ruang virtual kini menjadi locus baru bagi pengalaman religius dan partisipasi spiritual, meskipun secara </w:t>
      </w:r>
      <w:r w:rsidRPr="00C84A10">
        <w:rPr>
          <w:rFonts w:asciiTheme="majorBidi" w:eastAsia="Times New Roman" w:hAnsiTheme="majorBidi" w:cstheme="majorBidi"/>
          <w:color w:val="000000"/>
        </w:rPr>
        <w:lastRenderedPageBreak/>
        <w:t>ontologis masih diperdebatkan apakah ruang digital dapat disebut “suci”</w:t>
      </w:r>
      <w:commentRangeEnd w:id="1"/>
      <w:r w:rsidR="0028573F">
        <w:rPr>
          <w:rStyle w:val="ReferensiKomentar"/>
          <w:rFonts w:asciiTheme="majorBidi" w:eastAsia="Times New Roman" w:hAnsiTheme="majorBidi" w:cstheme="majorBidi"/>
          <w:color w:val="000000"/>
          <w:sz w:val="24"/>
          <w:szCs w:val="24"/>
        </w:rPr>
        <w:commentReference w:id="1"/>
      </w:r>
      <w:r>
        <w:rPr>
          <w:rFonts w:asciiTheme="majorBidi" w:eastAsia="Times New Roman" w:hAnsiTheme="majorBidi" w:cstheme="majorBidi"/>
          <w:color w:val="000000"/>
        </w:rPr>
        <w:t>.</w:t>
      </w:r>
      <w:r>
        <w:rPr>
          <w:rStyle w:val="ReferensiCatatanKaki"/>
          <w:rFonts w:asciiTheme="majorBidi" w:eastAsia="Times New Roman" w:hAnsiTheme="majorBidi" w:cstheme="majorBidi"/>
          <w:color w:val="000000"/>
        </w:rPr>
        <w:footnoteReference w:id="10"/>
      </w:r>
      <w:r w:rsidRPr="00C84A10">
        <w:rPr>
          <w:rFonts w:asciiTheme="majorBidi" w:eastAsia="Times New Roman" w:hAnsiTheme="majorBidi" w:cstheme="majorBidi"/>
          <w:color w:val="000000"/>
        </w:rPr>
        <w:t xml:space="preserve"> Dalam konteks ini, Bait Suci perlu dipahami bukan hanya sebagai tempat, tetapi sebagai relasi dan pengalaman akan kehadiran Allah yang dapat termanifestasi dalam berbagai bentuk, termasuk teknologi</w:t>
      </w:r>
      <w:r>
        <w:rPr>
          <w:rFonts w:asciiTheme="majorBidi" w:eastAsia="Times New Roman" w:hAnsiTheme="majorBidi" w:cstheme="majorBidi"/>
          <w:color w:val="000000"/>
        </w:rPr>
        <w:t>.</w:t>
      </w:r>
      <w:r>
        <w:rPr>
          <w:rStyle w:val="ReferensiCatatanKaki"/>
          <w:rFonts w:asciiTheme="majorBidi" w:eastAsia="Times New Roman" w:hAnsiTheme="majorBidi" w:cstheme="majorBidi"/>
          <w:color w:val="000000"/>
        </w:rPr>
        <w:footnoteReference w:id="11"/>
      </w:r>
      <w:r w:rsidR="00D762E5">
        <w:rPr>
          <w:rFonts w:asciiTheme="majorBidi" w:eastAsia="Times New Roman" w:hAnsiTheme="majorBidi" w:cstheme="majorBidi"/>
          <w:color w:val="000000"/>
        </w:rPr>
        <w:t xml:space="preserve"> </w:t>
      </w:r>
      <w:r w:rsidRPr="00C84A10">
        <w:rPr>
          <w:rFonts w:asciiTheme="majorBidi" w:eastAsia="Times New Roman" w:hAnsiTheme="majorBidi" w:cstheme="majorBidi"/>
          <w:color w:val="000000"/>
        </w:rPr>
        <w:t>Meski demikian, kajian teologis yang menyoroti konsep Bait Suci dalam konteks digital masih sangat terbatas. Sebagian besar penelitian terdahulu berfokus pada aspek teologis-historis atau arkeologis Bait Suci, tanpa mengaitkannya dengan identitas spiritual umat di dunia digital dan pascamodern. Misalnya, studi Evolvi (20</w:t>
      </w:r>
      <w:r>
        <w:rPr>
          <w:rFonts w:asciiTheme="majorBidi" w:eastAsia="Times New Roman" w:hAnsiTheme="majorBidi" w:cstheme="majorBidi"/>
          <w:color w:val="000000"/>
        </w:rPr>
        <w:t>22</w:t>
      </w:r>
      <w:r w:rsidRPr="00C84A10">
        <w:rPr>
          <w:rFonts w:asciiTheme="majorBidi" w:eastAsia="Times New Roman" w:hAnsiTheme="majorBidi" w:cstheme="majorBidi"/>
          <w:color w:val="000000"/>
        </w:rPr>
        <w:t>) dan Echchaibi &amp; Hoover (2023) lebih banyak membahas digital religion sebagai fenomena komunikasi dan budaya, bukan sebagai transformasi teologis dari konsep sakralitas itu sendiri.</w:t>
      </w:r>
      <w:r>
        <w:rPr>
          <w:rStyle w:val="ReferensiCatatanKaki"/>
          <w:rFonts w:asciiTheme="majorBidi" w:eastAsia="Times New Roman" w:hAnsiTheme="majorBidi" w:cstheme="majorBidi"/>
          <w:color w:val="000000"/>
        </w:rPr>
        <w:footnoteReference w:id="12"/>
      </w:r>
      <w:r w:rsidRPr="00C84A10">
        <w:rPr>
          <w:rFonts w:asciiTheme="majorBidi" w:eastAsia="Times New Roman" w:hAnsiTheme="majorBidi" w:cstheme="majorBidi"/>
          <w:color w:val="000000"/>
        </w:rPr>
        <w:t xml:space="preserve"> Dengan demikian, terdapat gap literatur terkait pengembangan teologi Bait Suci yang kontekstual terhadap era digital.</w:t>
      </w:r>
      <w:r>
        <w:rPr>
          <w:rStyle w:val="ReferensiCatatanKaki"/>
          <w:rFonts w:asciiTheme="majorBidi" w:eastAsia="Times New Roman" w:hAnsiTheme="majorBidi" w:cstheme="majorBidi"/>
          <w:color w:val="000000"/>
        </w:rPr>
        <w:footnoteReference w:id="13"/>
      </w:r>
    </w:p>
    <w:p w14:paraId="4239A403" w14:textId="68901F8A" w:rsidR="00901906" w:rsidRPr="00C84A10" w:rsidRDefault="00901906" w:rsidP="00D762E5">
      <w:pPr>
        <w:pBdr>
          <w:top w:val="nil"/>
          <w:left w:val="nil"/>
          <w:bottom w:val="nil"/>
          <w:right w:val="nil"/>
          <w:between w:val="nil"/>
        </w:pBdr>
        <w:spacing w:line="360" w:lineRule="auto"/>
        <w:ind w:firstLine="720"/>
        <w:jc w:val="both"/>
        <w:rPr>
          <w:rFonts w:asciiTheme="majorBidi" w:eastAsia="Times New Roman" w:hAnsiTheme="majorBidi" w:cstheme="majorBidi"/>
          <w:color w:val="000000"/>
        </w:rPr>
      </w:pPr>
      <w:r w:rsidRPr="00C84A10">
        <w:rPr>
          <w:rFonts w:asciiTheme="majorBidi" w:eastAsia="Times New Roman" w:hAnsiTheme="majorBidi" w:cstheme="majorBidi"/>
          <w:color w:val="000000"/>
        </w:rPr>
        <w:t>Selain itu, era pascamodern membawa tantangan baru bagi pembentukan identitas iman umat, di mana kehadiran digital sering kali menggantikan interaksi komunitas fisik, menimbulkan ambiguitas spiritualitas, dan fragmentasi makna</w:t>
      </w:r>
      <w:r w:rsidR="00D762E5">
        <w:rPr>
          <w:rFonts w:asciiTheme="majorBidi" w:eastAsia="Times New Roman" w:hAnsiTheme="majorBidi" w:cstheme="majorBidi"/>
          <w:color w:val="000000"/>
        </w:rPr>
        <w:t>.</w:t>
      </w:r>
      <w:r w:rsidR="00D762E5">
        <w:rPr>
          <w:rStyle w:val="ReferensiCatatanKaki"/>
          <w:rFonts w:asciiTheme="majorBidi" w:eastAsia="Times New Roman" w:hAnsiTheme="majorBidi" w:cstheme="majorBidi"/>
          <w:color w:val="000000"/>
        </w:rPr>
        <w:footnoteReference w:id="14"/>
      </w:r>
      <w:r w:rsidRPr="00C84A10">
        <w:rPr>
          <w:rFonts w:asciiTheme="majorBidi" w:eastAsia="Times New Roman" w:hAnsiTheme="majorBidi" w:cstheme="majorBidi"/>
          <w:color w:val="000000"/>
        </w:rPr>
        <w:t xml:space="preserve"> Umat kini hidup dalam realitas yang simultan antara sakralitas tradisional dan spiritualitas virtual, antara iman komunal dan ekspresi digital personal. Transformasi ini menuntut pembacaan ulang atas teologi Bait Suci agar tetap relevan bagi pembentukan spiritualitas dan identitas iman di tengah perubahan sosial-budaya yang cepat.</w:t>
      </w:r>
      <w:r w:rsidR="00D762E5">
        <w:rPr>
          <w:rFonts w:asciiTheme="majorBidi" w:eastAsia="Times New Roman" w:hAnsiTheme="majorBidi" w:cstheme="majorBidi"/>
          <w:color w:val="000000"/>
        </w:rPr>
        <w:t xml:space="preserve"> </w:t>
      </w:r>
      <w:r w:rsidRPr="00C84A10">
        <w:rPr>
          <w:rFonts w:asciiTheme="majorBidi" w:eastAsia="Times New Roman" w:hAnsiTheme="majorBidi" w:cstheme="majorBidi"/>
          <w:color w:val="000000"/>
        </w:rPr>
        <w:t>Kebaruan (Novelty) penelitian ini terletak pada upayanya mengembangkan teologi Bait Suci yang transformatif, yaitu memahami Bait Suci sebagai metafora dinamis tentang kehadiran Allah dalam era digital. Dengan mengintegrasikan teologi ruang sakral, studi digital religion, dan spiritualitas kontemporer, kajian ini menawarkan model konseptual baru: “Bait Suci Digital” sebagai ruang pembentukan spiritualitas dan identitas umat Allah di tengah tantangan pascamodernitas. Melalui pendekatan ini, penelitian tidak hanya merelevansikan teologi klasik, tetapi juga membuka ruang bagi pemaknaan baru tentang iman dan komunitas di dunia digital.</w:t>
      </w:r>
    </w:p>
    <w:p w14:paraId="38CC7AFE" w14:textId="77777777" w:rsidR="00C30472" w:rsidRDefault="00C30472" w:rsidP="00BE5DA8">
      <w:pPr>
        <w:pBdr>
          <w:top w:val="nil"/>
          <w:left w:val="nil"/>
          <w:bottom w:val="nil"/>
          <w:right w:val="nil"/>
          <w:between w:val="nil"/>
        </w:pBdr>
        <w:spacing w:line="360" w:lineRule="auto"/>
        <w:jc w:val="both"/>
        <w:rPr>
          <w:rFonts w:asciiTheme="majorBidi" w:eastAsia="Times New Roman" w:hAnsiTheme="majorBidi" w:cstheme="majorBidi"/>
          <w:color w:val="000000"/>
        </w:rPr>
      </w:pPr>
    </w:p>
    <w:p w14:paraId="377BE01B" w14:textId="77777777" w:rsidR="00901906" w:rsidRPr="00BE5DA8" w:rsidRDefault="00901906" w:rsidP="00BE5DA8">
      <w:pPr>
        <w:pBdr>
          <w:top w:val="nil"/>
          <w:left w:val="nil"/>
          <w:bottom w:val="nil"/>
          <w:right w:val="nil"/>
          <w:between w:val="nil"/>
        </w:pBdr>
        <w:spacing w:line="360" w:lineRule="auto"/>
        <w:jc w:val="both"/>
        <w:rPr>
          <w:rFonts w:asciiTheme="majorBidi" w:eastAsia="Times New Roman" w:hAnsiTheme="majorBidi" w:cstheme="majorBidi"/>
          <w:color w:val="000000"/>
        </w:rPr>
      </w:pPr>
    </w:p>
    <w:p w14:paraId="179730E0" w14:textId="77777777" w:rsidR="00C30472" w:rsidRPr="00BE5DA8" w:rsidRDefault="00287189" w:rsidP="00BE5DA8">
      <w:pPr>
        <w:tabs>
          <w:tab w:val="left" w:pos="284"/>
        </w:tabs>
        <w:spacing w:line="360" w:lineRule="auto"/>
        <w:jc w:val="both"/>
        <w:rPr>
          <w:rFonts w:asciiTheme="majorBidi" w:hAnsiTheme="majorBidi" w:cstheme="majorBidi"/>
          <w:b/>
        </w:rPr>
      </w:pPr>
      <w:r w:rsidRPr="00BE5DA8">
        <w:rPr>
          <w:rFonts w:asciiTheme="majorBidi" w:hAnsiTheme="majorBidi" w:cstheme="majorBidi"/>
          <w:b/>
        </w:rPr>
        <w:lastRenderedPageBreak/>
        <w:t>METODE PENELITIAN</w:t>
      </w:r>
    </w:p>
    <w:p w14:paraId="1E3AC99C" w14:textId="588CA96C" w:rsidR="00C30472" w:rsidRPr="00BE5DA8" w:rsidRDefault="003A0859" w:rsidP="00BE5DA8">
      <w:pPr>
        <w:spacing w:line="360" w:lineRule="auto"/>
        <w:ind w:firstLine="720"/>
        <w:jc w:val="both"/>
        <w:rPr>
          <w:rFonts w:asciiTheme="majorBidi" w:hAnsiTheme="majorBidi" w:cstheme="majorBidi"/>
        </w:rPr>
      </w:pPr>
      <w:commentRangeStart w:id="2"/>
      <w:r w:rsidRPr="00BE5DA8">
        <w:rPr>
          <w:rFonts w:asciiTheme="majorBidi" w:hAnsiTheme="majorBidi" w:cstheme="majorBidi"/>
        </w:rPr>
        <w:t xml:space="preserve">Penelitian ini menggunakan pendekatan kualitatif dengan metode studi pustaka </w:t>
      </w:r>
      <w:commentRangeEnd w:id="2"/>
      <w:r w:rsidR="0028573F" w:rsidRPr="00BE5DA8">
        <w:rPr>
          <w:rStyle w:val="ReferensiKomentar"/>
          <w:rFonts w:asciiTheme="majorBidi" w:hAnsiTheme="majorBidi" w:cstheme="majorBidi"/>
          <w:sz w:val="24"/>
          <w:szCs w:val="24"/>
        </w:rPr>
        <w:commentReference w:id="2"/>
      </w:r>
      <w:r w:rsidRPr="00BE5DA8">
        <w:rPr>
          <w:rFonts w:asciiTheme="majorBidi" w:hAnsiTheme="majorBidi" w:cstheme="majorBidi"/>
        </w:rPr>
        <w:t>(library research),</w:t>
      </w:r>
      <w:r w:rsidRPr="00BE5DA8">
        <w:rPr>
          <w:rStyle w:val="ReferensiCatatanKaki"/>
          <w:rFonts w:asciiTheme="majorBidi" w:hAnsiTheme="majorBidi" w:cstheme="majorBidi"/>
        </w:rPr>
        <w:footnoteReference w:id="15"/>
      </w:r>
      <w:r w:rsidRPr="00BE5DA8">
        <w:rPr>
          <w:rFonts w:asciiTheme="majorBidi" w:hAnsiTheme="majorBidi" w:cstheme="majorBidi"/>
        </w:rPr>
        <w:t xml:space="preserve"> sebab fokus utama penelitian adalah menelaah teks Alkitab dan literatur ilmiah yang membahas fungsi Bait Suci dalam membentuk spiritualitas dan identitas umat pilihan Allah. Jenis penelitian yang dipakai adalah deskriptif-analitis, yaitu memberikan uraian mendalam mengenai peran mezbah, kemah pertemuan, tabut perjanjian, dan Bait Suci dalam sejarah religius Israel dengan menekankan pemaknaan teologisnya. Data primer diperoleh dari teks Kitab Suci, khususnya Pentateukh dan kitab-kitab Sejarah, serta buku-buku terkait sementara data sekunder bersumber dari artikel jurnal teologi dan arkeologi biblis bereputasi nasional dan internasional. Prosedur penelitian mencakup tiga tahap: pertama, pengumpulan data melalui penelusuran ayat-ayat Alkitab dan literatur akademis yang relevan; kedua, analisis data menggunakan pendekatan hermeneutika biblis dan metode analisis isi (</w:t>
      </w:r>
      <w:r w:rsidRPr="00BE5DA8">
        <w:rPr>
          <w:rFonts w:asciiTheme="majorBidi" w:hAnsiTheme="majorBidi" w:cstheme="majorBidi"/>
          <w:i/>
          <w:iCs/>
        </w:rPr>
        <w:t>content analysis</w:t>
      </w:r>
      <w:r w:rsidRPr="00BE5DA8">
        <w:rPr>
          <w:rFonts w:asciiTheme="majorBidi" w:hAnsiTheme="majorBidi" w:cstheme="majorBidi"/>
        </w:rPr>
        <w:t>) untuk menemukan makna teologis dan historis dari teks yang diteliti; ketiga, sintesis hasil berupa penarikan kesimpulan mengenai bagaimana Bait Suci berfungsi bukan hanya sebagai pusat ibadah, melainkan juga sebagai simbol identitas kolektif umat Israel. Penelitian ini dilaksanakan dalam rentang waktu enam bulan dengan memanfaatkan sumber pustaka yang tersedia di perpustakaan serta basis data daring seperti JSTOR, SAGE Journals, dan Garuda/Sinta, dengan prinsip validitas akademis melalui verifikasi DOI dari setiap literatur. Dengan perumusan metodologi yang jelas ini, penelitian dapat ditiru kembali oleh peneliti lain dengan prosedur yang sama (</w:t>
      </w:r>
      <w:r w:rsidRPr="00BE5DA8">
        <w:rPr>
          <w:rFonts w:asciiTheme="majorBidi" w:hAnsiTheme="majorBidi" w:cstheme="majorBidi"/>
          <w:i/>
          <w:iCs/>
        </w:rPr>
        <w:t>replicability principle</w:t>
      </w:r>
      <w:r w:rsidRPr="00BE5DA8">
        <w:rPr>
          <w:rFonts w:asciiTheme="majorBidi" w:hAnsiTheme="majorBidi" w:cstheme="majorBidi"/>
        </w:rPr>
        <w:t>) sehingga diharapkan menghasilkan kesimpulan yang konsisten.</w:t>
      </w:r>
    </w:p>
    <w:p w14:paraId="50551D0B" w14:textId="77777777" w:rsidR="00C30472" w:rsidRPr="00BE5DA8" w:rsidRDefault="00C30472" w:rsidP="00BE5DA8">
      <w:pPr>
        <w:spacing w:line="360" w:lineRule="auto"/>
        <w:jc w:val="both"/>
        <w:rPr>
          <w:rFonts w:asciiTheme="majorBidi" w:hAnsiTheme="majorBidi" w:cstheme="majorBidi"/>
          <w:b/>
        </w:rPr>
      </w:pPr>
    </w:p>
    <w:p w14:paraId="6C4811C0" w14:textId="77777777" w:rsidR="00C30472" w:rsidRPr="00BE5DA8" w:rsidRDefault="00C30472" w:rsidP="00BE5DA8">
      <w:pPr>
        <w:spacing w:line="360" w:lineRule="auto"/>
        <w:jc w:val="both"/>
        <w:rPr>
          <w:rFonts w:asciiTheme="majorBidi" w:hAnsiTheme="majorBidi" w:cstheme="majorBidi"/>
          <w:b/>
        </w:rPr>
      </w:pPr>
    </w:p>
    <w:p w14:paraId="14F7B64C" w14:textId="59C95DB6" w:rsidR="00880B38" w:rsidRPr="00BE5DA8" w:rsidRDefault="00287189" w:rsidP="00BE5DA8">
      <w:pPr>
        <w:spacing w:line="360" w:lineRule="auto"/>
        <w:jc w:val="both"/>
        <w:rPr>
          <w:rFonts w:asciiTheme="majorBidi" w:hAnsiTheme="majorBidi" w:cstheme="majorBidi"/>
          <w:b/>
        </w:rPr>
      </w:pPr>
      <w:r w:rsidRPr="00BE5DA8">
        <w:rPr>
          <w:rFonts w:asciiTheme="majorBidi" w:hAnsiTheme="majorBidi" w:cstheme="majorBidi"/>
          <w:b/>
        </w:rPr>
        <w:t>HASIL DAN PEMBAHASAN</w:t>
      </w:r>
    </w:p>
    <w:p w14:paraId="30B2EA9D" w14:textId="4D4CC393" w:rsidR="00880B38" w:rsidRPr="00BE5DA8" w:rsidRDefault="00880B38" w:rsidP="00BE5DA8">
      <w:pPr>
        <w:spacing w:line="360" w:lineRule="auto"/>
        <w:jc w:val="both"/>
        <w:rPr>
          <w:rFonts w:asciiTheme="majorBidi" w:hAnsiTheme="majorBidi" w:cstheme="majorBidi"/>
          <w:b/>
        </w:rPr>
      </w:pPr>
      <w:r w:rsidRPr="00BE5DA8">
        <w:rPr>
          <w:rFonts w:asciiTheme="majorBidi" w:hAnsiTheme="majorBidi" w:cstheme="majorBidi"/>
          <w:b/>
        </w:rPr>
        <w:t>Bait Suci Sebagai Pusat Kehadiran Ilahi</w:t>
      </w:r>
    </w:p>
    <w:p w14:paraId="6221B9FD" w14:textId="1C6D060B" w:rsidR="00880B38" w:rsidRPr="00880B38" w:rsidRDefault="00880B38" w:rsidP="00DA24DA">
      <w:pPr>
        <w:spacing w:line="360" w:lineRule="auto"/>
        <w:ind w:firstLine="720"/>
        <w:jc w:val="both"/>
        <w:rPr>
          <w:rFonts w:asciiTheme="majorBidi" w:hAnsiTheme="majorBidi" w:cstheme="majorBidi"/>
        </w:rPr>
      </w:pPr>
      <w:r w:rsidRPr="00880B38">
        <w:rPr>
          <w:rFonts w:asciiTheme="majorBidi" w:hAnsiTheme="majorBidi" w:cstheme="majorBidi"/>
        </w:rPr>
        <w:t xml:space="preserve">Sejarah mencatat bahwa pembangunan Bait Suci di Yerusalem merupakan tonggak penting dalam kehidupan religius Israel. Bait suci ini didirikan pada masa pemerintahan Raja Salomo, putra Daud, dan memiliki kaitan erat dengan tradisi peribadatan sebelumnya yang menggunakan mezbah, kuil, maupun tabut perjanjian sebagai simbol kehadiran Allah. Raja Daud sendiri memiliki kerinduan mendalam agar Tuhan bersemayam dalam sebuah rumah yang layak, sebab ia merasa tidak pantas tinggal di istana megah sementara Allah belum </w:t>
      </w:r>
      <w:r w:rsidRPr="00880B38">
        <w:rPr>
          <w:rFonts w:asciiTheme="majorBidi" w:hAnsiTheme="majorBidi" w:cstheme="majorBidi"/>
        </w:rPr>
        <w:lastRenderedPageBreak/>
        <w:t xml:space="preserve">memiliki kediaman (2 Sam. 7:2; 1 Taw. 17:1). Bahkan ia bernazar untuk tidak beristirahat sebelum menemukan tempat bagi Tuhan, </w:t>
      </w:r>
      <w:r w:rsidR="00DA24DA" w:rsidRPr="00DA24DA">
        <w:rPr>
          <w:rFonts w:asciiTheme="majorBidi" w:hAnsiTheme="majorBidi" w:cstheme="majorBidi"/>
        </w:rPr>
        <w:t>Sebagaimana tercatat dalam Mazmur 132:2–5, Daud berjanji membangun rumah bagi Allah Yakub. Pendirian Bait Suci itu ia persiapkan secara serius dengan perencanaan yang terarah</w:t>
      </w:r>
      <w:r w:rsidRPr="00880B38">
        <w:rPr>
          <w:rFonts w:asciiTheme="majorBidi" w:hAnsiTheme="majorBidi" w:cstheme="majorBidi"/>
        </w:rPr>
        <w:t>, mulai dari penyediaan lokasi, material, dana, hingga tenaga kerja (2 Taw. 22:2–29). Namun, menurut catatan kitab Tawarikh, Tuhan tidak mengizinkannya untuk melaksanakan pembangunan karena Daud dianggap telah menumpahkan banyak darah dalam peperangan besar yang dilakukannya (1 Taw. 22:8; 28:3), ditambah kesalahan berat yang diperbuatnya dalam peristiwa sensus Israel (1 Taw. 21:2–6).</w:t>
      </w:r>
      <w:r w:rsidRPr="00BE5DA8">
        <w:rPr>
          <w:rStyle w:val="ReferensiCatatanKaki"/>
          <w:rFonts w:asciiTheme="majorBidi" w:hAnsiTheme="majorBidi" w:cstheme="majorBidi"/>
        </w:rPr>
        <w:footnoteReference w:id="16"/>
      </w:r>
    </w:p>
    <w:p w14:paraId="1B677947" w14:textId="1F2B7152" w:rsidR="007F1CCC" w:rsidRPr="00BE5DA8" w:rsidRDefault="00880B38" w:rsidP="00680DA7">
      <w:pPr>
        <w:spacing w:line="360" w:lineRule="auto"/>
        <w:ind w:firstLine="720"/>
        <w:jc w:val="both"/>
        <w:rPr>
          <w:rFonts w:asciiTheme="majorBidi" w:hAnsiTheme="majorBidi" w:cstheme="majorBidi"/>
        </w:rPr>
      </w:pPr>
      <w:r w:rsidRPr="00880B38">
        <w:rPr>
          <w:rFonts w:asciiTheme="majorBidi" w:hAnsiTheme="majorBidi" w:cstheme="majorBidi"/>
        </w:rPr>
        <w:t xml:space="preserve">Tugas tersebut kemudian dipercayakan kepada Salomo, putranya, yang akhirnya mendirikan Bait Suci sesuai persiapan yang telah dilakukan Daud. Dalam proses pembangunan, Salomo tidak hanya mengandalkan sumber daya lokal, </w:t>
      </w:r>
      <w:r w:rsidR="00680DA7">
        <w:rPr>
          <w:rFonts w:asciiTheme="majorBidi" w:hAnsiTheme="majorBidi" w:cstheme="majorBidi"/>
        </w:rPr>
        <w:t>tetapi t</w:t>
      </w:r>
      <w:r w:rsidR="00680DA7" w:rsidRPr="00680DA7">
        <w:rPr>
          <w:rFonts w:asciiTheme="majorBidi" w:hAnsiTheme="majorBidi" w:cstheme="majorBidi"/>
        </w:rPr>
        <w:t>idak hanya itu, sumber daya manusia berpengalaman beserta bahan bangunan turut didatangkan dari luar Israel.</w:t>
      </w:r>
      <w:r w:rsidRPr="00880B38">
        <w:rPr>
          <w:rFonts w:asciiTheme="majorBidi" w:hAnsiTheme="majorBidi" w:cstheme="majorBidi"/>
        </w:rPr>
        <w:t xml:space="preserve"> Hal ini tampak dari hiasan-hiasan yang memenuhi bangunan bait, seperti ornamen kerub, pohon kurma, bunga mengembang (1 Raj. 6:29), serta ukiran singa dan lembu (1 Raj. 7:29).</w:t>
      </w:r>
      <w:r w:rsidRPr="00BE5DA8">
        <w:rPr>
          <w:rStyle w:val="ReferensiCatatanKaki"/>
          <w:rFonts w:asciiTheme="majorBidi" w:hAnsiTheme="majorBidi" w:cstheme="majorBidi"/>
        </w:rPr>
        <w:footnoteReference w:id="17"/>
      </w:r>
      <w:r w:rsidRPr="00880B38">
        <w:rPr>
          <w:rFonts w:asciiTheme="majorBidi" w:hAnsiTheme="majorBidi" w:cstheme="majorBidi"/>
        </w:rPr>
        <w:t xml:space="preserve"> Kehadiran unsur-unsur seni dari luar Israel menunjukkan bahwa pembangunan Bait Suci di Yerusalem tidak hanya berfungsi sebagai pusat ibadah umat pilihan Allah, melainkan juga menjadi simbol perjumpaan antara iman Israel dengan pengaruh budaya sekitarnya. Dengan demikian, Bait Suci bukan sekadar tempat ibadah, tetapi juga lambang identitas kolektif bangsa Israel yang terus diperbarui melalui pengalaman religius dan sejarahnya.</w:t>
      </w:r>
      <w:r w:rsidR="007F1CCC" w:rsidRPr="00BE5DA8">
        <w:rPr>
          <w:rFonts w:asciiTheme="majorBidi" w:hAnsiTheme="majorBidi" w:cstheme="majorBidi"/>
        </w:rPr>
        <w:t xml:space="preserve"> </w:t>
      </w:r>
      <w:r w:rsidR="007F1CCC" w:rsidRPr="00BE5DA8">
        <w:rPr>
          <w:rFonts w:asciiTheme="majorBidi" w:hAnsiTheme="majorBidi" w:cstheme="majorBidi"/>
          <w:lang w:val="id-ID"/>
        </w:rPr>
        <w:t>Pembangunan Bait Suci oleh Salomo di Yerusalem menandai babak baru dalam sejarah iman Israel. Bangunan ini didirikan di atas bukit di sebelah utara kota, berdekatan dengan istana kerajaan. Dengan ukuran sekitar 30 meter panjang, 15 meter tinggi, dan 10 meter lebar, Bait Suci dibagi ke dalam tiga bagian ruang utama. Bagian terdalam adalah ruang maha kudus, yang menyatu dengan ruang kudus sebagai tempat ibadah inti, sementara bagian terluar adalah pelataran yang terbuka untuk umat. Pembagian ruang ini memperlihatkan bahwa seluruh rancangan Bait Suci diarahkan kepada pengalaman perjumpaan umat dengan Allah.</w:t>
      </w:r>
      <w:r w:rsidR="00C435B7" w:rsidRPr="00BE5DA8">
        <w:rPr>
          <w:rStyle w:val="ReferensiCatatanKaki"/>
          <w:rFonts w:asciiTheme="majorBidi" w:hAnsiTheme="majorBidi" w:cstheme="majorBidi"/>
          <w:lang w:val="id-ID"/>
        </w:rPr>
        <w:footnoteReference w:id="18"/>
      </w:r>
    </w:p>
    <w:p w14:paraId="1D6172F3" w14:textId="031C5529" w:rsidR="007F1CCC" w:rsidRPr="00BE5DA8" w:rsidRDefault="00F7172A" w:rsidP="005660D3">
      <w:pPr>
        <w:spacing w:line="360" w:lineRule="auto"/>
        <w:ind w:firstLine="720"/>
        <w:jc w:val="both"/>
        <w:rPr>
          <w:rFonts w:asciiTheme="majorBidi" w:hAnsiTheme="majorBidi" w:cstheme="majorBidi"/>
        </w:rPr>
      </w:pPr>
      <w:r w:rsidRPr="00F7172A">
        <w:rPr>
          <w:rFonts w:asciiTheme="majorBidi" w:hAnsiTheme="majorBidi" w:cstheme="majorBidi"/>
        </w:rPr>
        <w:t xml:space="preserve">Di ruang Maha Kudus ditempatkan Tabut Perjanjian yang dijaga oleh dua kerub besar, sedangkan ruang Kudus berisi mezbah pembakaran ukupan, meja roti sajian, dan </w:t>
      </w:r>
      <w:r w:rsidRPr="00F7172A">
        <w:rPr>
          <w:rFonts w:asciiTheme="majorBidi" w:hAnsiTheme="majorBidi" w:cstheme="majorBidi"/>
        </w:rPr>
        <w:lastRenderedPageBreak/>
        <w:t xml:space="preserve">sepuluh pelita bercabang tujuh yang berjajar di sisi kanan dan kiri. Pada halaman depan berdiri mezbah korban bakaran, sebuah “laut tembaga” yang melambangkan kosmos, serta sepuluh bejana yang digunakan dalam ritus penyucian para imam. Pintu gerbang dilengkapi dengan dua tiang monumental bernama Yakhin dan Boas yang melambangkan kekuatan dan keteguhan. Seluruh susunan ini dipahami sebagai “rumah kediaman bagi TUHAN,” sebagaimana dinyatakan Salomo dalam doa pentahbisan: </w:t>
      </w:r>
      <w:r w:rsidRPr="00F7172A">
        <w:rPr>
          <w:rFonts w:asciiTheme="majorBidi" w:hAnsiTheme="majorBidi" w:cstheme="majorBidi"/>
          <w:i/>
          <w:iCs/>
        </w:rPr>
        <w:t>“</w:t>
      </w:r>
      <w:r w:rsidRPr="00F7172A">
        <w:rPr>
          <w:rFonts w:asciiTheme="majorBidi" w:hAnsiTheme="majorBidi" w:cstheme="majorBidi"/>
        </w:rPr>
        <w:t>Sekarang aku telah mendirikan rumah kediaman bagi-Mu, tempat Engkau menetap untuk selama-lamanya” (</w:t>
      </w:r>
      <w:r w:rsidR="00DD3442">
        <w:rPr>
          <w:rFonts w:asciiTheme="majorBidi" w:hAnsiTheme="majorBidi" w:cstheme="majorBidi"/>
        </w:rPr>
        <w:t>I</w:t>
      </w:r>
      <w:r w:rsidRPr="00F7172A">
        <w:rPr>
          <w:rFonts w:asciiTheme="majorBidi" w:hAnsiTheme="majorBidi" w:cstheme="majorBidi"/>
        </w:rPr>
        <w:t xml:space="preserve"> Raj. 8:13). Ungkapan “perhentian” (</w:t>
      </w:r>
      <w:r w:rsidRPr="00F7172A">
        <w:rPr>
          <w:rFonts w:asciiTheme="majorBidi" w:hAnsiTheme="majorBidi" w:cstheme="majorBidi"/>
          <w:i/>
          <w:iCs/>
        </w:rPr>
        <w:t>menuhah</w:t>
      </w:r>
      <w:r w:rsidRPr="00F7172A">
        <w:rPr>
          <w:rFonts w:asciiTheme="majorBidi" w:hAnsiTheme="majorBidi" w:cstheme="majorBidi"/>
        </w:rPr>
        <w:t>) di sini menggambarkan perjalanan panjang seorang musafir yang akhirnya menemukan tempat tinggal yang tetap</w:t>
      </w:r>
      <w:r w:rsidR="007F1CCC" w:rsidRPr="007F1CCC">
        <w:rPr>
          <w:rFonts w:asciiTheme="majorBidi" w:hAnsiTheme="majorBidi" w:cstheme="majorBidi"/>
        </w:rPr>
        <w:t>. Hal ini bukan berarti Allah dibatasi oleh bangunan fisik yang indah, melainkan bahwa bangsa Israel memandang Bait Suci sebagai istana Allah, tempat Dia bersemayam sebagai Raja atas segala ciptaan. Dengan demikian, keberadaan Bait Suci tidak hanya menjadi pusat liturgi, tetapi juga simbol permanen kehadiran Allah yang memperkokoh spiritualitas dan identitas umat pilihan-Nya.</w:t>
      </w:r>
    </w:p>
    <w:p w14:paraId="319D2F88" w14:textId="06109D1A" w:rsidR="00A34F37" w:rsidRPr="00A34F37" w:rsidRDefault="00DD3442" w:rsidP="00DD3442">
      <w:pPr>
        <w:spacing w:line="360" w:lineRule="auto"/>
        <w:ind w:firstLine="720"/>
        <w:jc w:val="both"/>
        <w:rPr>
          <w:rFonts w:asciiTheme="majorBidi" w:hAnsiTheme="majorBidi" w:cstheme="majorBidi"/>
        </w:rPr>
      </w:pPr>
      <w:r w:rsidRPr="00DD3442">
        <w:rPr>
          <w:rFonts w:asciiTheme="majorBidi" w:hAnsiTheme="majorBidi" w:cstheme="majorBidi"/>
        </w:rPr>
        <w:t>Catatan Vriezen menegaskan bahwa Bait Suci di Yerusalem dipandang sebagai “Rumah Yahwe,” simbol tempat Allah menetap bersama umat-Nya.</w:t>
      </w:r>
      <w:r w:rsidR="00A34F37" w:rsidRPr="00BE5DA8">
        <w:rPr>
          <w:rStyle w:val="ReferensiCatatanKaki"/>
          <w:rFonts w:asciiTheme="majorBidi" w:hAnsiTheme="majorBidi" w:cstheme="majorBidi"/>
        </w:rPr>
        <w:footnoteReference w:id="19"/>
      </w:r>
      <w:r w:rsidR="00A34F37" w:rsidRPr="00A34F37">
        <w:rPr>
          <w:rFonts w:asciiTheme="majorBidi" w:hAnsiTheme="majorBidi" w:cstheme="majorBidi"/>
        </w:rPr>
        <w:t xml:space="preserve"> Namun, tradisi teologi Deuteronomis yang berkembang pada masa kemudian menafsirkan gagasan ini dengan lebih hati-hati. Bagi mereka, bukan Yahwe secara fisik yang tinggal di Bait Suci, melainkan “Nama-Nya” yang ditempatkan di sana. Penegasan ini dimaksudkan untuk menjembatani ketegangan antara konsep kehadiran Allah di </w:t>
      </w:r>
      <w:r>
        <w:rPr>
          <w:rFonts w:asciiTheme="majorBidi" w:hAnsiTheme="majorBidi" w:cstheme="majorBidi"/>
        </w:rPr>
        <w:t>Kemah</w:t>
      </w:r>
      <w:r w:rsidR="00A34F37" w:rsidRPr="00A34F37">
        <w:rPr>
          <w:rFonts w:asciiTheme="majorBidi" w:hAnsiTheme="majorBidi" w:cstheme="majorBidi"/>
        </w:rPr>
        <w:t xml:space="preserve"> Suci, di surga, maupun di</w:t>
      </w:r>
      <w:r>
        <w:rPr>
          <w:rFonts w:asciiTheme="majorBidi" w:hAnsiTheme="majorBidi" w:cstheme="majorBidi"/>
        </w:rPr>
        <w:t xml:space="preserve"> </w:t>
      </w:r>
      <w:r w:rsidR="00A34F37" w:rsidRPr="00A34F37">
        <w:rPr>
          <w:rFonts w:asciiTheme="majorBidi" w:hAnsiTheme="majorBidi" w:cstheme="majorBidi"/>
        </w:rPr>
        <w:t xml:space="preserve">Sinai. </w:t>
      </w:r>
      <w:r>
        <w:rPr>
          <w:rFonts w:asciiTheme="majorBidi" w:hAnsiTheme="majorBidi" w:cstheme="majorBidi"/>
        </w:rPr>
        <w:t>Melalui</w:t>
      </w:r>
      <w:r w:rsidR="00A34F37" w:rsidRPr="00A34F37">
        <w:rPr>
          <w:rFonts w:asciiTheme="majorBidi" w:hAnsiTheme="majorBidi" w:cstheme="majorBidi"/>
        </w:rPr>
        <w:t xml:space="preserve"> pemahaman tersebut, jelaslah </w:t>
      </w:r>
      <w:r>
        <w:rPr>
          <w:rFonts w:asciiTheme="majorBidi" w:hAnsiTheme="majorBidi" w:cstheme="majorBidi"/>
        </w:rPr>
        <w:t xml:space="preserve"> </w:t>
      </w:r>
      <w:r w:rsidR="00A34F37" w:rsidRPr="00A34F37">
        <w:rPr>
          <w:rFonts w:asciiTheme="majorBidi" w:hAnsiTheme="majorBidi" w:cstheme="majorBidi"/>
        </w:rPr>
        <w:t>Allah sungguh hadir di Bait Suci, namun keberadaan-Nya tidak dibatasi oleh tembok atau bangunan, melainkan melampaui seluruh ciptaan.</w:t>
      </w:r>
    </w:p>
    <w:p w14:paraId="724D437E" w14:textId="7D7BB748" w:rsidR="00A34F37" w:rsidRPr="00A34F37" w:rsidRDefault="00A34F37" w:rsidP="00BE5DA8">
      <w:pPr>
        <w:spacing w:line="360" w:lineRule="auto"/>
        <w:ind w:firstLine="720"/>
        <w:jc w:val="both"/>
        <w:rPr>
          <w:rFonts w:asciiTheme="majorBidi" w:hAnsiTheme="majorBidi" w:cstheme="majorBidi"/>
        </w:rPr>
      </w:pPr>
      <w:r w:rsidRPr="00A34F37">
        <w:rPr>
          <w:rFonts w:asciiTheme="majorBidi" w:hAnsiTheme="majorBidi" w:cstheme="majorBidi"/>
        </w:rPr>
        <w:t xml:space="preserve">Homer Heater juga memberikan penekanan serupa, bahwa Tuhan bersifat universal </w:t>
      </w:r>
      <w:r w:rsidR="00DD3442">
        <w:rPr>
          <w:rFonts w:asciiTheme="majorBidi" w:hAnsiTheme="majorBidi" w:cstheme="majorBidi"/>
        </w:rPr>
        <w:t>serta</w:t>
      </w:r>
      <w:r w:rsidRPr="00A34F37">
        <w:rPr>
          <w:rFonts w:asciiTheme="majorBidi" w:hAnsiTheme="majorBidi" w:cstheme="majorBidi"/>
        </w:rPr>
        <w:t xml:space="preserve"> Mahahadir</w:t>
      </w:r>
      <w:r w:rsidR="00DD3442">
        <w:rPr>
          <w:rFonts w:asciiTheme="majorBidi" w:hAnsiTheme="majorBidi" w:cstheme="majorBidi"/>
        </w:rPr>
        <w:t xml:space="preserve"> juga merupakan</w:t>
      </w:r>
      <w:r w:rsidRPr="00A34F37">
        <w:rPr>
          <w:rFonts w:asciiTheme="majorBidi" w:hAnsiTheme="majorBidi" w:cstheme="majorBidi"/>
        </w:rPr>
        <w:t xml:space="preserve"> keliru jika berpikir bahwa Ia dapat dibatasi </w:t>
      </w:r>
      <w:r w:rsidR="00DD3442">
        <w:rPr>
          <w:rFonts w:asciiTheme="majorBidi" w:hAnsiTheme="majorBidi" w:cstheme="majorBidi"/>
        </w:rPr>
        <w:t>oleh</w:t>
      </w:r>
      <w:r w:rsidRPr="00A34F37">
        <w:rPr>
          <w:rFonts w:asciiTheme="majorBidi" w:hAnsiTheme="majorBidi" w:cstheme="majorBidi"/>
        </w:rPr>
        <w:t xml:space="preserve"> satu lokasi tertentu (1 Raj. 8:27). Namun, kemurahan Allah ditunjukkan melalui pengakuan-Nya untuk “menaruh nama-Nya” di Bait Suci, sehingga umat Israel dapat menghadap ke arah Bait Suci ketika berdoa dengan keyakinan bahwa Allah mendengarnya (1 Raj. 8:30). Dengan demikian, Bait Suci di bumi berfungsi sebagai simbol dan representasi dari Bait Allah di surga, tempat Allah sejati bersemayam. Akan tetapi, dalam perkembangan sejarah, konsep ini sering disalahpahami, sehingga tempat suci itu sendiri dianggap sebagai jaminan keselamatan. Akibatnya, banyak yang beranggapan bahwa selama Bait Suci masih berdiri, Yerusalem akan aman dari hukuman Allah.</w:t>
      </w:r>
      <w:r w:rsidRPr="00BE5DA8">
        <w:rPr>
          <w:rStyle w:val="ReferensiCatatanKaki"/>
          <w:rFonts w:asciiTheme="majorBidi" w:hAnsiTheme="majorBidi" w:cstheme="majorBidi"/>
        </w:rPr>
        <w:footnoteReference w:id="20"/>
      </w:r>
      <w:r w:rsidRPr="00BE5DA8">
        <w:rPr>
          <w:rFonts w:asciiTheme="majorBidi" w:hAnsiTheme="majorBidi" w:cstheme="majorBidi"/>
        </w:rPr>
        <w:t xml:space="preserve"> </w:t>
      </w:r>
      <w:r w:rsidRPr="00A34F37">
        <w:rPr>
          <w:rFonts w:asciiTheme="majorBidi" w:hAnsiTheme="majorBidi" w:cstheme="majorBidi"/>
        </w:rPr>
        <w:t xml:space="preserve">Pemikiran teologis Homer Heater tetap relevan hingga masa kini, khususnya bagi umat pilihan Allah dalam memahami sifat Allah yang </w:t>
      </w:r>
      <w:r w:rsidRPr="00A34F37">
        <w:rPr>
          <w:rFonts w:asciiTheme="majorBidi" w:hAnsiTheme="majorBidi" w:cstheme="majorBidi"/>
        </w:rPr>
        <w:lastRenderedPageBreak/>
        <w:t>universal. Kehadiran-Nya tidak terbatas hanya pada Yerusalem atau bangunan fisik tertentu, melainkan melingkupi seluruh ciptaan. Hal ini menegaskan bahwa ibadah kepada Allah tidak harus terikat pada satu lokasi, sebab Ia hadir di mana-mana dan dapat dijumpai di setiap tempat di mana umat-Nya mencari-Nya dengan tulus hati.</w:t>
      </w:r>
    </w:p>
    <w:p w14:paraId="7852BA6F" w14:textId="77777777" w:rsidR="00A34F37" w:rsidRPr="00A34F37" w:rsidRDefault="00A34F37" w:rsidP="00BE5DA8">
      <w:pPr>
        <w:spacing w:line="360" w:lineRule="auto"/>
        <w:ind w:firstLine="720"/>
        <w:jc w:val="both"/>
        <w:rPr>
          <w:rFonts w:asciiTheme="majorBidi" w:hAnsiTheme="majorBidi" w:cstheme="majorBidi"/>
        </w:rPr>
      </w:pPr>
      <w:r w:rsidRPr="00A34F37">
        <w:rPr>
          <w:rFonts w:asciiTheme="majorBidi" w:hAnsiTheme="majorBidi" w:cstheme="majorBidi"/>
        </w:rPr>
        <w:t>Bait Suci di Yerusalem tidak hanya dipahami sebagai pusat ibadah, tetapi juga sebagai simbol kerajaan Allah yang erat kaitannya dengan figur raja Israel. Letaknya yang berdampingan dengan istana menunjukkan adanya keterhubungan yang kuat antara kekuasaan kerajaan dan fungsi keagamaan. Kedekatan lokasi ini memperlihatkan bahwa Bait Suci dan istana dipandang sebagai satu kesatuan simbolis, yang menegaskan peran raja sebagai tokoh utama dalam menghadap Tuhan. Salomo, misalnya, tidak hanya berperan sebagai raja, tetapi juga bertindak sebagai imam terkemuka dalam berbagai upacara keagamaan (1 Raj. 8:5, 62–66; 9:25). Hal ini menandakan bahwa pembangunan Bait Suci sekaligus mewujudkan integrasi antara kekuasaan politik dan keagamaan di Israel. Kedaulatan raja semakin tampak ketika Salomo mengangkat Zadok sebagai imam besar, menegaskan posisi raja sebagai “tuan rumah” Bait Suci (1 Raj. 2:35). Namun demikian, akses ke dalam ruang-ruang Bait Suci tetap dibatasi; hanya raja dan para imam yang diperkenankan masuk. Pembatasan ini justru menegaskan fungsi mereka sebagai penghubung antara umat dengan Allah.</w:t>
      </w:r>
    </w:p>
    <w:p w14:paraId="51107554" w14:textId="30FDB94D" w:rsidR="002758F3" w:rsidRPr="002758F3" w:rsidRDefault="00A34F37" w:rsidP="00BE5DA8">
      <w:pPr>
        <w:spacing w:line="360" w:lineRule="auto"/>
        <w:ind w:firstLine="720"/>
        <w:jc w:val="both"/>
        <w:rPr>
          <w:rFonts w:asciiTheme="majorBidi" w:hAnsiTheme="majorBidi" w:cstheme="majorBidi"/>
        </w:rPr>
      </w:pPr>
      <w:r w:rsidRPr="00A34F37">
        <w:rPr>
          <w:rFonts w:asciiTheme="majorBidi" w:hAnsiTheme="majorBidi" w:cstheme="majorBidi"/>
        </w:rPr>
        <w:t xml:space="preserve">Setelah wafatnya Salomo, Bait Suci tetap berdiri kokoh selama lebih dari tiga abad. Namun, perjalanan sejarah panjang membawa dampak terhadap pemaknaannya. Perpecahan kerajaan menjadi Israel Utara dan Yehuda, kemunduran politik, konflik internal, serta seruan para nabi memunculkan refleksi baru mengenai fungsi dan makna Bait Suci. Tidak cukup lagi menjunjungnya sebagai “rumah kediaman Tuhan” atau “bait kerajaan” semata, melainkan perlu pemahaman yang lebih mendalam mengenai bagaimana kehadiran Allah bekerja di tengah umat, terlepas dari kemegahan bangunannya. Dengan demikian, Bait Suci bukan hanya sekadar monumen arsitektur, tetapi juga arena teologis tempat bangsa Israel terus menafsirkan ulang relasi mereka dengan Allah sepanjang </w:t>
      </w:r>
      <w:r w:rsidR="00782D3F">
        <w:rPr>
          <w:rFonts w:asciiTheme="majorBidi" w:hAnsiTheme="majorBidi" w:cstheme="majorBidi"/>
        </w:rPr>
        <w:t>Sejarah, Ezra menjadi sosok penting dalam pemulihan spiritualitas dan komunitas bangsa Israel</w:t>
      </w:r>
      <w:r w:rsidRPr="00A34F37">
        <w:rPr>
          <w:rFonts w:asciiTheme="majorBidi" w:hAnsiTheme="majorBidi" w:cstheme="majorBidi"/>
        </w:rPr>
        <w:t>.</w:t>
      </w:r>
      <w:r w:rsidR="00782D3F">
        <w:rPr>
          <w:rStyle w:val="ReferensiCatatanKaki"/>
          <w:rFonts w:asciiTheme="majorBidi" w:hAnsiTheme="majorBidi" w:cstheme="majorBidi"/>
        </w:rPr>
        <w:footnoteReference w:id="21"/>
      </w:r>
      <w:r w:rsidR="002758F3" w:rsidRPr="00BE5DA8">
        <w:rPr>
          <w:rFonts w:asciiTheme="majorBidi" w:hAnsiTheme="majorBidi" w:cstheme="majorBidi"/>
        </w:rPr>
        <w:t xml:space="preserve"> </w:t>
      </w:r>
      <w:r w:rsidR="002758F3" w:rsidRPr="002758F3">
        <w:rPr>
          <w:rFonts w:asciiTheme="majorBidi" w:hAnsiTheme="majorBidi" w:cstheme="majorBidi"/>
        </w:rPr>
        <w:t xml:space="preserve">Konsep Bait Suci sebagai tempat tinggal Allah mengalami perkembangan pemahaman yang menarik. Fase pertama, munculnya ide tentang Bait Suci sebagai "rumah bagi nama Allah" tentu memiliki latar belakang historis yang terkait dengan bagaimana umat memahami kesucian Allah. </w:t>
      </w:r>
      <w:r w:rsidR="002758F3" w:rsidRPr="002758F3">
        <w:rPr>
          <w:rFonts w:asciiTheme="majorBidi" w:hAnsiTheme="majorBidi" w:cstheme="majorBidi"/>
        </w:rPr>
        <w:lastRenderedPageBreak/>
        <w:t>Pemahaman ini berbeda-beda di setiap periode</w:t>
      </w:r>
      <w:r w:rsidR="002758F3" w:rsidRPr="00BE5DA8">
        <w:rPr>
          <w:rFonts w:asciiTheme="majorBidi" w:hAnsiTheme="majorBidi" w:cstheme="majorBidi"/>
        </w:rPr>
        <w:t xml:space="preserve"> </w:t>
      </w:r>
      <w:r w:rsidR="002758F3" w:rsidRPr="002758F3">
        <w:rPr>
          <w:rFonts w:asciiTheme="majorBidi" w:hAnsiTheme="majorBidi" w:cstheme="majorBidi"/>
        </w:rPr>
        <w:t>pemahaman pada masa awal kerajaan tidak sama dengan pemahaman menjelang akhir zaman.</w:t>
      </w:r>
    </w:p>
    <w:p w14:paraId="50031037" w14:textId="4A2EECEC" w:rsidR="002758F3" w:rsidRPr="002758F3" w:rsidRDefault="002758F3" w:rsidP="00BE5DA8">
      <w:pPr>
        <w:spacing w:line="360" w:lineRule="auto"/>
        <w:ind w:firstLine="720"/>
        <w:jc w:val="both"/>
        <w:rPr>
          <w:rFonts w:asciiTheme="majorBidi" w:hAnsiTheme="majorBidi" w:cstheme="majorBidi"/>
        </w:rPr>
      </w:pPr>
      <w:r w:rsidRPr="002758F3">
        <w:rPr>
          <w:rFonts w:asciiTheme="majorBidi" w:hAnsiTheme="majorBidi" w:cstheme="majorBidi"/>
        </w:rPr>
        <w:t>Pada mulanya, keberadaan Allah di berbagai tempat ibadah seperti Silo, Betel, Dan, Samaria, dan Yerusalem dianggap sebagai sesuatu yang otomatis dan pasti. Namun seiring berjalannya waktu, ketika kerajaan Israel Utara runtuh, tempat-tempat ibadah yang dulunya dihormati mulai kehilangan nilai kesakralannya, kerajaan Yehuda semakin terdesak oleh kekuatan-kekuatan luar, ditambah dengan seruan keras para nabi</w:t>
      </w:r>
      <w:r w:rsidR="00987582" w:rsidRPr="00BE5DA8">
        <w:rPr>
          <w:rFonts w:asciiTheme="majorBidi" w:hAnsiTheme="majorBidi" w:cstheme="majorBidi"/>
        </w:rPr>
        <w:t xml:space="preserve"> </w:t>
      </w:r>
      <w:r w:rsidR="00687328">
        <w:rPr>
          <w:rFonts w:asciiTheme="majorBidi" w:hAnsiTheme="majorBidi" w:cstheme="majorBidi"/>
        </w:rPr>
        <w:t>di</w:t>
      </w:r>
      <w:r w:rsidRPr="002758F3">
        <w:rPr>
          <w:rFonts w:asciiTheme="majorBidi" w:hAnsiTheme="majorBidi" w:cstheme="majorBidi"/>
        </w:rPr>
        <w:t xml:space="preserve"> abad</w:t>
      </w:r>
      <w:r w:rsidR="00687328">
        <w:rPr>
          <w:rFonts w:asciiTheme="majorBidi" w:hAnsiTheme="majorBidi" w:cstheme="majorBidi"/>
        </w:rPr>
        <w:t>-abad</w:t>
      </w:r>
      <w:r w:rsidRPr="002758F3">
        <w:rPr>
          <w:rFonts w:asciiTheme="majorBidi" w:hAnsiTheme="majorBidi" w:cstheme="majorBidi"/>
        </w:rPr>
        <w:t xml:space="preserve"> 8 </w:t>
      </w:r>
      <w:r w:rsidR="00687328">
        <w:rPr>
          <w:rFonts w:asciiTheme="majorBidi" w:hAnsiTheme="majorBidi" w:cstheme="majorBidi"/>
        </w:rPr>
        <w:t xml:space="preserve">dan </w:t>
      </w:r>
      <w:r w:rsidRPr="002758F3">
        <w:rPr>
          <w:rFonts w:asciiTheme="majorBidi" w:hAnsiTheme="majorBidi" w:cstheme="majorBidi"/>
        </w:rPr>
        <w:t>7 SM</w:t>
      </w:r>
      <w:r w:rsidR="00987582" w:rsidRPr="00BE5DA8">
        <w:rPr>
          <w:rFonts w:asciiTheme="majorBidi" w:hAnsiTheme="majorBidi" w:cstheme="majorBidi"/>
        </w:rPr>
        <w:t xml:space="preserve"> </w:t>
      </w:r>
      <w:r w:rsidRPr="002758F3">
        <w:rPr>
          <w:rFonts w:asciiTheme="majorBidi" w:hAnsiTheme="majorBidi" w:cstheme="majorBidi"/>
        </w:rPr>
        <w:t>keyakinan lama tersebut mulai goyah secara bertahap.</w:t>
      </w:r>
      <w:r w:rsidR="00987582" w:rsidRPr="00BE5DA8">
        <w:rPr>
          <w:rFonts w:asciiTheme="majorBidi" w:hAnsiTheme="majorBidi" w:cstheme="majorBidi"/>
        </w:rPr>
        <w:t xml:space="preserve"> </w:t>
      </w:r>
      <w:r w:rsidRPr="002758F3">
        <w:rPr>
          <w:rFonts w:asciiTheme="majorBidi" w:hAnsiTheme="majorBidi" w:cstheme="majorBidi"/>
        </w:rPr>
        <w:t>Dari kondisi ini muncul kesadaran baru: meskipun Allah berkenan untuk hadir di antara umat-Nya, Ia tetap mempertahankan kekudusan, kemuliaan, dan kebebasan-Nya. Dengan kata lain, Allah tidak terikat pada bangsa tertentu, lokasi geografis, maupun bangunan fisik manapun. Nabi Hosea menyampaikan bahwa Allah adalah "Yang Kudus di tengah-tengahmu" yang sifatnya ilahi, bukan manusiawi (Hos</w:t>
      </w:r>
      <w:r w:rsidR="005A4919">
        <w:rPr>
          <w:rFonts w:asciiTheme="majorBidi" w:hAnsiTheme="majorBidi" w:cstheme="majorBidi"/>
        </w:rPr>
        <w:t>.</w:t>
      </w:r>
      <w:r w:rsidRPr="002758F3">
        <w:rPr>
          <w:rFonts w:asciiTheme="majorBidi" w:hAnsiTheme="majorBidi" w:cstheme="majorBidi"/>
        </w:rPr>
        <w:t xml:space="preserve"> 11:9). </w:t>
      </w:r>
      <w:r w:rsidR="005A4919">
        <w:rPr>
          <w:rFonts w:asciiTheme="majorBidi" w:hAnsiTheme="majorBidi" w:cstheme="majorBidi"/>
        </w:rPr>
        <w:t>Kemudian Nabi Yesaya juga</w:t>
      </w:r>
      <w:r w:rsidRPr="002758F3">
        <w:rPr>
          <w:rFonts w:asciiTheme="majorBidi" w:hAnsiTheme="majorBidi" w:cstheme="majorBidi"/>
        </w:rPr>
        <w:t xml:space="preserve"> menegaskan konsep "Yang Mahakudus, Allah Israel" dalam nubuatannya (Yes</w:t>
      </w:r>
      <w:r w:rsidR="005A4919">
        <w:rPr>
          <w:rFonts w:asciiTheme="majorBidi" w:hAnsiTheme="majorBidi" w:cstheme="majorBidi"/>
        </w:rPr>
        <w:t>.</w:t>
      </w:r>
      <w:r w:rsidRPr="002758F3">
        <w:rPr>
          <w:rFonts w:asciiTheme="majorBidi" w:hAnsiTheme="majorBidi" w:cstheme="majorBidi"/>
        </w:rPr>
        <w:t xml:space="preserve"> 5:16; 17:7; 30:15; 31:1). Sementara </w:t>
      </w:r>
      <w:r w:rsidR="005A4919">
        <w:rPr>
          <w:rFonts w:asciiTheme="majorBidi" w:hAnsiTheme="majorBidi" w:cstheme="majorBidi"/>
        </w:rPr>
        <w:t xml:space="preserve">Nabi </w:t>
      </w:r>
      <w:r w:rsidRPr="002758F3">
        <w:rPr>
          <w:rFonts w:asciiTheme="majorBidi" w:hAnsiTheme="majorBidi" w:cstheme="majorBidi"/>
        </w:rPr>
        <w:t>Yeremia tetap menegaskan pentingnya Bait Allah (Yer</w:t>
      </w:r>
      <w:r w:rsidR="005A4919">
        <w:rPr>
          <w:rFonts w:asciiTheme="majorBidi" w:hAnsiTheme="majorBidi" w:cstheme="majorBidi"/>
        </w:rPr>
        <w:t>.</w:t>
      </w:r>
      <w:r w:rsidRPr="002758F3">
        <w:rPr>
          <w:rFonts w:asciiTheme="majorBidi" w:hAnsiTheme="majorBidi" w:cstheme="majorBidi"/>
        </w:rPr>
        <w:t xml:space="preserve"> 7:4). Pemahaman baru tentang pentingnya satu tempat ibadah yang sentral ini sebenarnya berakar dari kesadaran yang lebih mendalam tentang keesaan Allah yang disembah bangsa Israel (lihat Ulangan 12:1-28)</w:t>
      </w:r>
      <w:r w:rsidR="00987582" w:rsidRPr="00BE5DA8">
        <w:rPr>
          <w:rFonts w:asciiTheme="majorBidi" w:hAnsiTheme="majorBidi" w:cstheme="majorBidi"/>
        </w:rPr>
        <w:t>.</w:t>
      </w:r>
      <w:r w:rsidR="00987582" w:rsidRPr="00BE5DA8">
        <w:rPr>
          <w:rStyle w:val="ReferensiCatatanKaki"/>
          <w:rFonts w:asciiTheme="majorBidi" w:hAnsiTheme="majorBidi" w:cstheme="majorBidi"/>
        </w:rPr>
        <w:footnoteReference w:id="22"/>
      </w:r>
    </w:p>
    <w:p w14:paraId="1899B369" w14:textId="33BBDEEC" w:rsidR="002758F3" w:rsidRPr="00BE5DA8" w:rsidRDefault="002758F3" w:rsidP="007E31AE">
      <w:pPr>
        <w:spacing w:line="360" w:lineRule="auto"/>
        <w:ind w:firstLine="720"/>
        <w:jc w:val="both"/>
        <w:rPr>
          <w:rFonts w:asciiTheme="majorBidi" w:hAnsiTheme="majorBidi" w:cstheme="majorBidi"/>
        </w:rPr>
      </w:pPr>
      <w:r w:rsidRPr="002758F3">
        <w:rPr>
          <w:rFonts w:asciiTheme="majorBidi" w:hAnsiTheme="majorBidi" w:cstheme="majorBidi"/>
        </w:rPr>
        <w:t xml:space="preserve">Fase kedua, konsep "kehadiran nama Allah" kerap disalahpahami, seolah-olah yang hadir di bumi, khususnya di Bait Suci, hanyalah nama-Nya saja, bukan Allah sendiri secara langsung. Interpretasi ini muncul dari pemikiran bahwa dalam teologi yang berkembang kemudian, Allah secara permanen bersemayam di surga, </w:t>
      </w:r>
      <w:r w:rsidR="007E31AE" w:rsidRPr="007E31AE">
        <w:rPr>
          <w:rFonts w:asciiTheme="majorBidi" w:hAnsiTheme="majorBidi" w:cstheme="majorBidi"/>
        </w:rPr>
        <w:t>Di bumi, Allah menghadirkan nama-Nya sebagai tanda otoritas ilahi, meskipun tetap dibedakan dari hakikat-Nya. Namun, nama itu tidak terpisah dari diri-Nya, sebab keduanya merupakan satu kesatuan yang utuh. Penyebutan “nama Allah” justru menegaskan realitas kehadiran-Nya yang penuh kuasa dan kemuliaan. Kehadiran nama berarti kehadiran Allah sendiri dalam kekudusan-Nya, sebagai Tuhan Israel yang berdaulat atas segala bangsa dan melampaui dewa-dewa asing. Penekanan terhadap konsep “nama Allah” ini muncul dalam konteks kesadaran akan perlunya pembaruan ibadah Israel yang telah menyimpang, sebagaimana tampak dalam reformasi yang dilakukan raja-raja seperti Hizkia dan Yosia (2Raj. 18; 22–23</w:t>
      </w:r>
      <w:r w:rsidRPr="002758F3">
        <w:rPr>
          <w:rFonts w:asciiTheme="majorBidi" w:hAnsiTheme="majorBidi" w:cstheme="majorBidi"/>
        </w:rPr>
        <w:t>)</w:t>
      </w:r>
      <w:r w:rsidR="007E31AE">
        <w:rPr>
          <w:rFonts w:asciiTheme="majorBidi" w:hAnsiTheme="majorBidi" w:cstheme="majorBidi"/>
        </w:rPr>
        <w:t>.</w:t>
      </w:r>
      <w:r w:rsidR="00987582" w:rsidRPr="00BE5DA8">
        <w:rPr>
          <w:rStyle w:val="ReferensiCatatanKaki"/>
          <w:rFonts w:asciiTheme="majorBidi" w:hAnsiTheme="majorBidi" w:cstheme="majorBidi"/>
        </w:rPr>
        <w:footnoteReference w:id="23"/>
      </w:r>
      <w:r w:rsidRPr="002758F3">
        <w:rPr>
          <w:rFonts w:asciiTheme="majorBidi" w:hAnsiTheme="majorBidi" w:cstheme="majorBidi"/>
        </w:rPr>
        <w:t xml:space="preserve"> </w:t>
      </w:r>
    </w:p>
    <w:p w14:paraId="0C0D6553" w14:textId="562C6D5E" w:rsidR="00987582" w:rsidRPr="00987582" w:rsidRDefault="00551C7E" w:rsidP="00551C7E">
      <w:pPr>
        <w:spacing w:line="360" w:lineRule="auto"/>
        <w:ind w:firstLine="720"/>
        <w:jc w:val="both"/>
        <w:rPr>
          <w:rFonts w:asciiTheme="majorBidi" w:hAnsiTheme="majorBidi" w:cstheme="majorBidi"/>
        </w:rPr>
      </w:pPr>
      <w:r w:rsidRPr="00551C7E">
        <w:rPr>
          <w:rFonts w:asciiTheme="majorBidi" w:hAnsiTheme="majorBidi" w:cstheme="majorBidi"/>
        </w:rPr>
        <w:t xml:space="preserve">Pada fase ketiga, pemahaman mengenai Bait </w:t>
      </w:r>
      <w:r>
        <w:rPr>
          <w:rFonts w:asciiTheme="majorBidi" w:hAnsiTheme="majorBidi" w:cstheme="majorBidi"/>
        </w:rPr>
        <w:t>Allah</w:t>
      </w:r>
      <w:r w:rsidRPr="00551C7E">
        <w:rPr>
          <w:rFonts w:asciiTheme="majorBidi" w:hAnsiTheme="majorBidi" w:cstheme="majorBidi"/>
        </w:rPr>
        <w:t xml:space="preserve"> sebagai “tempat tinggal nama Allah” berkembang seiring dengan munculnya perspektif baru tentang fungsi Tabut Perjanjian. Tabut yang ditempatkan di ruang paling kudus, berada di bawah naungan kerub, </w:t>
      </w:r>
      <w:r w:rsidRPr="00551C7E">
        <w:rPr>
          <w:rFonts w:asciiTheme="majorBidi" w:hAnsiTheme="majorBidi" w:cstheme="majorBidi"/>
        </w:rPr>
        <w:lastRenderedPageBreak/>
        <w:t>awalnya berperan sebagai lambang kehadiran Allah yang tidak kelihatan, sesuai dengan fungsinya ketika masih berpindah-pindah tanpa tempat tetap. Namun, pada masa pemerintahan Raja Yosia (lih. 2Raj. 22–23), tabut ini tampaknya mengalami pergeseran fungsi yang penting, yakni sebagai wadah bagi loh batu berisi sepuluh firman Allah. Sejak periode tersebut, catatan Alkitab mulai menampilkan penyebutan baru, yaitu “tabut perjanjian TUHAN.” Dalam konteks ini, kata “perjanjian” dipahami sepadan dengan “tora” atau hukum, yakni ketetapan Allah yang wajib dijalankan oleh umat-Nya</w:t>
      </w:r>
      <w:r w:rsidR="00987582" w:rsidRPr="00BE5DA8">
        <w:rPr>
          <w:rFonts w:asciiTheme="majorBidi" w:hAnsiTheme="majorBidi" w:cstheme="majorBidi"/>
        </w:rPr>
        <w:t>.</w:t>
      </w:r>
      <w:r w:rsidR="00987582" w:rsidRPr="00BE5DA8">
        <w:rPr>
          <w:rStyle w:val="ReferensiCatatanKaki"/>
          <w:rFonts w:asciiTheme="majorBidi" w:hAnsiTheme="majorBidi" w:cstheme="majorBidi"/>
        </w:rPr>
        <w:footnoteReference w:id="24"/>
      </w:r>
    </w:p>
    <w:p w14:paraId="78F4DBE5" w14:textId="0B9067E6" w:rsidR="00987582" w:rsidRPr="00BE5DA8" w:rsidRDefault="00551C7E" w:rsidP="00551C7E">
      <w:pPr>
        <w:spacing w:line="360" w:lineRule="auto"/>
        <w:ind w:firstLine="720"/>
        <w:jc w:val="both"/>
        <w:rPr>
          <w:rFonts w:asciiTheme="majorBidi" w:hAnsiTheme="majorBidi" w:cstheme="majorBidi"/>
        </w:rPr>
      </w:pPr>
      <w:r w:rsidRPr="00551C7E">
        <w:rPr>
          <w:rFonts w:asciiTheme="majorBidi" w:hAnsiTheme="majorBidi" w:cstheme="majorBidi"/>
        </w:rPr>
        <w:t>Tabut yang kemudian dikenal sebagai “</w:t>
      </w:r>
      <w:r w:rsidR="0057698C">
        <w:rPr>
          <w:rFonts w:asciiTheme="majorBidi" w:hAnsiTheme="majorBidi" w:cstheme="majorBidi"/>
        </w:rPr>
        <w:t>T</w:t>
      </w:r>
      <w:r w:rsidRPr="00551C7E">
        <w:rPr>
          <w:rFonts w:asciiTheme="majorBidi" w:hAnsiTheme="majorBidi" w:cstheme="majorBidi"/>
        </w:rPr>
        <w:t xml:space="preserve">abut </w:t>
      </w:r>
      <w:r w:rsidR="0057698C">
        <w:rPr>
          <w:rFonts w:asciiTheme="majorBidi" w:hAnsiTheme="majorBidi" w:cstheme="majorBidi"/>
        </w:rPr>
        <w:t>P</w:t>
      </w:r>
      <w:r w:rsidRPr="00551C7E">
        <w:rPr>
          <w:rFonts w:asciiTheme="majorBidi" w:hAnsiTheme="majorBidi" w:cstheme="majorBidi"/>
        </w:rPr>
        <w:t>erjanjian TUHAN” dipahami sebagai tanda kehadiran Allah di dalam rumah ibadah-Nya. Pemahaman mengenai kehadiran ilahi mengalami pergeseran: bukan lagi terutama melalui berkat atau perlindungan yang diberikan, melainkan melalui firman-Nya, yakni ketetapan dan perintah yang mengikat umat Israel sejak pembebasan dari Mesir. Perubahan nama sekaligus fungsi tabut ini menegaskan bahwa kehadiran Allah diwujudkan melalui sabda dan relasi-Nya dengan umat perjanjian. Dalam hal ini, tabut berperan serupa dengan gulungan Taurat yang kemudian menjadi pusat kehidupan rohani di sinagoge-sinagoge Yahudi. Transformasi tersebut terkait erat dengan konsep Bait Suci sebagai tempat berdiamnya “nama Allah,” sebab nama itu melambangkan Allah sendiri yang hadir untuk menyatakan janji sekaligus tuntutan-Nya, sebagaimana tertulis pada loh batu yang tersimpan di dalam tabut</w:t>
      </w:r>
      <w:r w:rsidR="00D07E9A" w:rsidRPr="00BE5DA8">
        <w:rPr>
          <w:rFonts w:asciiTheme="majorBidi" w:hAnsiTheme="majorBidi" w:cstheme="majorBidi"/>
        </w:rPr>
        <w:t>.</w:t>
      </w:r>
      <w:r w:rsidR="00D07E9A" w:rsidRPr="00BE5DA8">
        <w:rPr>
          <w:rStyle w:val="ReferensiCatatanKaki"/>
          <w:rFonts w:asciiTheme="majorBidi" w:hAnsiTheme="majorBidi" w:cstheme="majorBidi"/>
        </w:rPr>
        <w:footnoteReference w:id="25"/>
      </w:r>
    </w:p>
    <w:p w14:paraId="5A6AFEE7" w14:textId="4C6766C9" w:rsidR="00D07E9A" w:rsidRPr="00D07E9A" w:rsidRDefault="0057698C" w:rsidP="0057698C">
      <w:pPr>
        <w:spacing w:line="360" w:lineRule="auto"/>
        <w:ind w:firstLine="720"/>
        <w:jc w:val="both"/>
        <w:rPr>
          <w:rFonts w:asciiTheme="majorBidi" w:hAnsiTheme="majorBidi" w:cstheme="majorBidi"/>
        </w:rPr>
      </w:pPr>
      <w:r w:rsidRPr="0057698C">
        <w:rPr>
          <w:rFonts w:asciiTheme="majorBidi" w:hAnsiTheme="majorBidi" w:cstheme="majorBidi"/>
        </w:rPr>
        <w:t>Pada fase keempat, keyakinan bangsa Israel bahwa Bait Suci adalah tempat bersemayamnya nama Allah semakin menguat. Dari keyakinan ini lahirlah kesadaran baru bahwa seharusnya hanya ada satu Bait Suci yang sah. Konsekuensi tersebut sesungguhnya berbeda dengan praktik keagamaan sebelumnya, karena sejak mula Israel terbiasa dengan keberagaman tempat ibadah. Allah pernah menampakkan diri-Nya di berbagai lokasi, para leluhur mendirikan mezbah, dan generasi sesudahnya melanjutkan tradisi itu dengan membangun tempat-tempat ibadah dari Dan hingga Bersyeba. Meskipun Yerusalem kemudian ditetapkan sebagai kota Allah sekaligus kota Daud, penetapan itu belum secara otomatis menghapus sistem pluralitas ibadah. Pada kenyataannya, meskipun umat beribadah di Yerusalem, mereka tetap menikmati kebebasan untuk beribadah di berbagai tempat lain</w:t>
      </w:r>
      <w:r w:rsidR="00D07E9A" w:rsidRPr="00BE5DA8">
        <w:rPr>
          <w:rFonts w:asciiTheme="majorBidi" w:hAnsiTheme="majorBidi" w:cstheme="majorBidi"/>
        </w:rPr>
        <w:t>.</w:t>
      </w:r>
      <w:r w:rsidR="00D07E9A" w:rsidRPr="00BE5DA8">
        <w:rPr>
          <w:rStyle w:val="ReferensiCatatanKaki"/>
          <w:rFonts w:asciiTheme="majorBidi" w:hAnsiTheme="majorBidi" w:cstheme="majorBidi"/>
        </w:rPr>
        <w:footnoteReference w:id="26"/>
      </w:r>
    </w:p>
    <w:p w14:paraId="55C1BA29" w14:textId="6A65DAC6" w:rsidR="00D07E9A" w:rsidRPr="00D07E9A" w:rsidRDefault="00D07E9A" w:rsidP="00BE5DA8">
      <w:pPr>
        <w:spacing w:line="360" w:lineRule="auto"/>
        <w:ind w:firstLine="720"/>
        <w:jc w:val="both"/>
        <w:rPr>
          <w:rFonts w:asciiTheme="majorBidi" w:hAnsiTheme="majorBidi" w:cstheme="majorBidi"/>
        </w:rPr>
      </w:pPr>
      <w:r w:rsidRPr="00D07E9A">
        <w:rPr>
          <w:rFonts w:asciiTheme="majorBidi" w:hAnsiTheme="majorBidi" w:cstheme="majorBidi"/>
        </w:rPr>
        <w:t>Yang mendorong perubahan bukanlah gagasan sentralisasi itu sendiri yang bersifat mutlak, melainkan pemahaman baru tentang kehendak Allah</w:t>
      </w:r>
      <w:r w:rsidRPr="00BE5DA8">
        <w:rPr>
          <w:rFonts w:asciiTheme="majorBidi" w:hAnsiTheme="majorBidi" w:cstheme="majorBidi"/>
        </w:rPr>
        <w:t xml:space="preserve"> </w:t>
      </w:r>
      <w:r w:rsidRPr="00D07E9A">
        <w:rPr>
          <w:rFonts w:asciiTheme="majorBidi" w:hAnsiTheme="majorBidi" w:cstheme="majorBidi"/>
        </w:rPr>
        <w:t xml:space="preserve">inilah yang menggerakkan umat untuk mengubah cara berpikir mereka. Pesan-pesan para nabi yang mengkritik </w:t>
      </w:r>
      <w:r w:rsidRPr="00D07E9A">
        <w:rPr>
          <w:rFonts w:asciiTheme="majorBidi" w:hAnsiTheme="majorBidi" w:cstheme="majorBidi"/>
        </w:rPr>
        <w:lastRenderedPageBreak/>
        <w:t xml:space="preserve">banyaknya tempat ibadah dipandang sebagai bentuk kemunduran dalam respons mereka terhadap Allah yang Esa. Melalui gerakan reformasi, disebarluaskanlah tuntutan ilahi agar praktik ibadah </w:t>
      </w:r>
      <w:r w:rsidR="005B7BAB">
        <w:rPr>
          <w:rFonts w:asciiTheme="majorBidi" w:hAnsiTheme="majorBidi" w:cstheme="majorBidi"/>
        </w:rPr>
        <w:t>berpusat pada Allah Tri</w:t>
      </w:r>
      <w:r w:rsidRPr="00D07E9A">
        <w:rPr>
          <w:rFonts w:asciiTheme="majorBidi" w:hAnsiTheme="majorBidi" w:cstheme="majorBidi"/>
        </w:rPr>
        <w:t xml:space="preserve"> </w:t>
      </w:r>
      <w:r w:rsidR="005B7BAB">
        <w:rPr>
          <w:rFonts w:asciiTheme="majorBidi" w:hAnsiTheme="majorBidi" w:cstheme="majorBidi"/>
        </w:rPr>
        <w:t>T</w:t>
      </w:r>
      <w:r w:rsidRPr="00D07E9A">
        <w:rPr>
          <w:rFonts w:asciiTheme="majorBidi" w:hAnsiTheme="majorBidi" w:cstheme="majorBidi"/>
        </w:rPr>
        <w:t>unggal</w:t>
      </w:r>
      <w:r w:rsidR="005B7BAB">
        <w:rPr>
          <w:rFonts w:asciiTheme="majorBidi" w:hAnsiTheme="majorBidi" w:cstheme="majorBidi"/>
        </w:rPr>
        <w:t xml:space="preserve"> Maha Kudus</w:t>
      </w:r>
      <w:r w:rsidRPr="00D07E9A">
        <w:rPr>
          <w:rFonts w:asciiTheme="majorBidi" w:hAnsiTheme="majorBidi" w:cstheme="majorBidi"/>
        </w:rPr>
        <w:t>. "Dengarlah, hai Israel! TUHAN itu Allah kita, TUHAN itu esa" (Ul</w:t>
      </w:r>
      <w:r w:rsidR="005B7BAB">
        <w:rPr>
          <w:rFonts w:asciiTheme="majorBidi" w:hAnsiTheme="majorBidi" w:cstheme="majorBidi"/>
        </w:rPr>
        <w:t>.</w:t>
      </w:r>
      <w:r w:rsidRPr="00D07E9A">
        <w:rPr>
          <w:rFonts w:asciiTheme="majorBidi" w:hAnsiTheme="majorBidi" w:cstheme="majorBidi"/>
        </w:rPr>
        <w:t xml:space="preserve"> 6:4).</w:t>
      </w:r>
      <w:r w:rsidRPr="00BE5DA8">
        <w:rPr>
          <w:rStyle w:val="ReferensiCatatanKaki"/>
          <w:rFonts w:asciiTheme="majorBidi" w:hAnsiTheme="majorBidi" w:cstheme="majorBidi"/>
        </w:rPr>
        <w:footnoteReference w:id="27"/>
      </w:r>
      <w:r w:rsidRPr="00D07E9A">
        <w:rPr>
          <w:rFonts w:asciiTheme="majorBidi" w:hAnsiTheme="majorBidi" w:cstheme="majorBidi"/>
        </w:rPr>
        <w:t xml:space="preserve"> Sangat mungkin penemuan kembali konsep Allah</w:t>
      </w:r>
      <w:r w:rsidR="005B7BAB">
        <w:rPr>
          <w:rFonts w:asciiTheme="majorBidi" w:hAnsiTheme="majorBidi" w:cstheme="majorBidi"/>
        </w:rPr>
        <w:t xml:space="preserve"> yang esa</w:t>
      </w:r>
      <w:r w:rsidRPr="00D07E9A">
        <w:rPr>
          <w:rFonts w:asciiTheme="majorBidi" w:hAnsiTheme="majorBidi" w:cstheme="majorBidi"/>
        </w:rPr>
        <w:t xml:space="preserve"> ini menjadi motivasi untuk meninggalkan sistem ibadah yang beragam yang justru menjadi jerat. Seiring berjalannya waktu, seruan untuk memusatkan ibadah di satu Bait Suci semakin kuat, yakni di lokasi yang khusus dipilih Allah sebagai tempat tinggal bagi nama-Nya (Ul</w:t>
      </w:r>
      <w:r w:rsidR="00221797">
        <w:rPr>
          <w:rFonts w:asciiTheme="majorBidi" w:hAnsiTheme="majorBidi" w:cstheme="majorBidi"/>
        </w:rPr>
        <w:t>.</w:t>
      </w:r>
      <w:r w:rsidRPr="00D07E9A">
        <w:rPr>
          <w:rFonts w:asciiTheme="majorBidi" w:hAnsiTheme="majorBidi" w:cstheme="majorBidi"/>
        </w:rPr>
        <w:t xml:space="preserve"> 12). Implementasi sentralisasi ini terlaksana pada masa kepemimpinan Raja Yosia atas Yehuda (</w:t>
      </w:r>
      <w:r w:rsidR="00221797">
        <w:rPr>
          <w:rFonts w:asciiTheme="majorBidi" w:hAnsiTheme="majorBidi" w:cstheme="majorBidi"/>
        </w:rPr>
        <w:t>II</w:t>
      </w:r>
      <w:r w:rsidRPr="00D07E9A">
        <w:rPr>
          <w:rFonts w:asciiTheme="majorBidi" w:hAnsiTheme="majorBidi" w:cstheme="majorBidi"/>
        </w:rPr>
        <w:t xml:space="preserve"> Raj</w:t>
      </w:r>
      <w:r w:rsidR="00221797">
        <w:rPr>
          <w:rFonts w:asciiTheme="majorBidi" w:hAnsiTheme="majorBidi" w:cstheme="majorBidi"/>
        </w:rPr>
        <w:t>.</w:t>
      </w:r>
      <w:r w:rsidRPr="00D07E9A">
        <w:rPr>
          <w:rFonts w:asciiTheme="majorBidi" w:hAnsiTheme="majorBidi" w:cstheme="majorBidi"/>
        </w:rPr>
        <w:t xml:space="preserve"> 22-23).</w:t>
      </w:r>
    </w:p>
    <w:p w14:paraId="0537E1C1" w14:textId="37D1100A" w:rsidR="00221797" w:rsidRDefault="00221797" w:rsidP="00221797">
      <w:pPr>
        <w:spacing w:line="360" w:lineRule="auto"/>
        <w:ind w:firstLine="720"/>
        <w:jc w:val="both"/>
        <w:rPr>
          <w:rFonts w:asciiTheme="majorBidi" w:hAnsiTheme="majorBidi" w:cstheme="majorBidi"/>
        </w:rPr>
      </w:pPr>
      <w:r w:rsidRPr="00221797">
        <w:rPr>
          <w:rFonts w:asciiTheme="majorBidi" w:hAnsiTheme="majorBidi" w:cstheme="majorBidi"/>
        </w:rPr>
        <w:t xml:space="preserve">Bait Suci di Yerusalem yang didirikan oleh Salomo akhirnya dimusnahkan oleh Raja Nebukadnezar dari Babilonia, di mana seluruh perlengkapan kudusnya dibawa ke Babel bersama para tawanan yang kemudian menjalani kehidupan dalam masa pembuangan. Peristiwa penghancuran ini dipandang sebagai bentuk penghukuman Allah akibat pelanggaran-pelanggaran yang dilakukan oleh Israel dan Yehuda terhadap perjanjian-Nya. Namun, setelah masa pembuangan berakhir dan umat kembali ke tanah leluhur mereka, Bait Suci yang telah menjadi puing-puing itu dibangun kembali oleh Zerubabel dan rekan-rekannya. Seiring berdirinya kembali Bait Suci tersebut, </w:t>
      </w:r>
      <w:r>
        <w:rPr>
          <w:rFonts w:asciiTheme="majorBidi" w:hAnsiTheme="majorBidi" w:cstheme="majorBidi"/>
        </w:rPr>
        <w:t xml:space="preserve">pertama, </w:t>
      </w:r>
      <w:r w:rsidRPr="00221797">
        <w:rPr>
          <w:rFonts w:asciiTheme="majorBidi" w:hAnsiTheme="majorBidi" w:cstheme="majorBidi"/>
        </w:rPr>
        <w:t>muncul suatu pemahaman baru yang dilandasi oleh penglihatan-penglihatan Nabi Yehezkiel. Dalam pasal 1–3 dan 8–11, Yehezkiel menyingkapkan penglihatan tentang Bait Suci lama yang penuh dengan keberdosaan umat sehingga kemuliaan TUHAN meninggalkannya, sedangkan dalam pasal 40–48 ia menggambarkan visi eskatologis mengenai Bait Suci baru yang dijanjikan Allah bagi masa depan, sebuah simbol pemulihan relasi antara Allah dan umat-Nya dalam kesucian dan kemuliaan yang lebih luhur</w:t>
      </w:r>
      <w:r w:rsidR="00D07E9A" w:rsidRPr="00D07E9A">
        <w:rPr>
          <w:rFonts w:asciiTheme="majorBidi" w:hAnsiTheme="majorBidi" w:cstheme="majorBidi"/>
        </w:rPr>
        <w:t>.</w:t>
      </w:r>
      <w:r w:rsidR="00D07E9A" w:rsidRPr="00BE5DA8">
        <w:rPr>
          <w:rStyle w:val="ReferensiCatatanKaki"/>
          <w:rFonts w:asciiTheme="majorBidi" w:hAnsiTheme="majorBidi" w:cstheme="majorBidi"/>
        </w:rPr>
        <w:footnoteReference w:id="28"/>
      </w:r>
      <w:r w:rsidR="00D07E9A" w:rsidRPr="00D07E9A">
        <w:rPr>
          <w:rFonts w:asciiTheme="majorBidi" w:hAnsiTheme="majorBidi" w:cstheme="majorBidi"/>
        </w:rPr>
        <w:t xml:space="preserve"> </w:t>
      </w:r>
      <w:r w:rsidRPr="00221797">
        <w:rPr>
          <w:rFonts w:asciiTheme="majorBidi" w:hAnsiTheme="majorBidi" w:cstheme="majorBidi"/>
        </w:rPr>
        <w:t>Ketiga penglihatan Yehezkiel tersebut sesungguhnya berpusat pada persoalan kehadiran Allah di dalam Bait Suci-Nya, suatu isu yang mencuat secara dramatis ketika Bait Allah di Yerusalem musnah terbakar dan kemuliaan Allah meninggalkan tempat kudus-Nya (Rat</w:t>
      </w:r>
      <w:r>
        <w:rPr>
          <w:rFonts w:asciiTheme="majorBidi" w:hAnsiTheme="majorBidi" w:cstheme="majorBidi"/>
        </w:rPr>
        <w:t>.</w:t>
      </w:r>
      <w:r w:rsidRPr="00221797">
        <w:rPr>
          <w:rFonts w:asciiTheme="majorBidi" w:hAnsiTheme="majorBidi" w:cstheme="majorBidi"/>
        </w:rPr>
        <w:t xml:space="preserve"> 2:7). Namun, inti dari penglihatan itu bukan sekadar absennya Allah, melainkan lahirnya kesadaran baru tentang hakikat kehadiran-Nya. Yehezkiel menegaskan bahwa Allah tidak pernah terikat oleh janji ataupun bangunan Bait Suci, melainkan bebas dan berdaulat dalam menyatakan kehadiran-Nya. Kehadiran kemuliaan Allah bukanlah sebuah kondisi yang otomatis, melainkan peristiwa anugerah </w:t>
      </w:r>
      <w:r w:rsidRPr="00221797">
        <w:rPr>
          <w:rFonts w:asciiTheme="majorBidi" w:hAnsiTheme="majorBidi" w:cstheme="majorBidi"/>
        </w:rPr>
        <w:lastRenderedPageBreak/>
        <w:t>yang luar biasa, di mana kasih dan kesetiaan-Nya senantiasa menyatu dengan kebebasan dan kekudusan-Nya. Karena itu, bila pada awalnya nabi terperangah menyaksikan kemuliaan Allah meninggalkan Bait-Nya yang lama, maka ia justru semakin takjub ketika menyaksikan Allah yang bebas dan kudus itu berkenan kembali hadir dalam Bait-Nya yang baru sebagai tanda pemulihan relasi-Nya dengan umat.</w:t>
      </w:r>
    </w:p>
    <w:p w14:paraId="03DD7F6F" w14:textId="7A2100B4" w:rsidR="007300A0" w:rsidRPr="003D31CF" w:rsidRDefault="00221797" w:rsidP="003D31CF">
      <w:pPr>
        <w:spacing w:line="360" w:lineRule="auto"/>
        <w:ind w:firstLine="720"/>
        <w:jc w:val="both"/>
        <w:rPr>
          <w:rFonts w:asciiTheme="majorBidi" w:hAnsiTheme="majorBidi" w:cstheme="majorBidi"/>
          <w:lang w:val="id-ID"/>
        </w:rPr>
      </w:pPr>
      <w:r w:rsidRPr="00221797">
        <w:rPr>
          <w:rFonts w:asciiTheme="majorBidi" w:hAnsiTheme="majorBidi" w:cstheme="majorBidi"/>
        </w:rPr>
        <w:t>Kedua, teks-teks Alkitab yang menguraikan Kemah Pertemuan terutama dalam Kitab Keluaran, Imamat, dan Bilangan sebaiknya ditafsirkan dengan memperhitungkan konteks pembuangan, ketika para imam menghadapi kebutuhan mendasar untuk mereformasi ibadah dengan fokus pada bait baru</w:t>
      </w:r>
      <w:r w:rsidR="00D07E9A" w:rsidRPr="00D07E9A">
        <w:rPr>
          <w:rFonts w:asciiTheme="majorBidi" w:hAnsiTheme="majorBidi" w:cstheme="majorBidi"/>
        </w:rPr>
        <w:t>.</w:t>
      </w:r>
      <w:r w:rsidR="00D07E9A" w:rsidRPr="00BE5DA8">
        <w:rPr>
          <w:rStyle w:val="ReferensiCatatanKaki"/>
          <w:rFonts w:asciiTheme="majorBidi" w:hAnsiTheme="majorBidi" w:cstheme="majorBidi"/>
        </w:rPr>
        <w:footnoteReference w:id="29"/>
      </w:r>
      <w:r w:rsidR="00D07E9A" w:rsidRPr="00D07E9A">
        <w:rPr>
          <w:rFonts w:asciiTheme="majorBidi" w:hAnsiTheme="majorBidi" w:cstheme="majorBidi"/>
        </w:rPr>
        <w:t xml:space="preserve"> </w:t>
      </w:r>
      <w:r w:rsidR="003D31CF" w:rsidRPr="003D31CF">
        <w:rPr>
          <w:rFonts w:asciiTheme="majorBidi" w:hAnsiTheme="majorBidi" w:cstheme="majorBidi"/>
          <w:lang w:val="id-ID"/>
        </w:rPr>
        <w:t>Bagi umat Israel pada masa pasca-pembuangan, keyakinan akan pembaruan ibadah tidak perlu dicari dari luar sejarah mereka, sebab Allah sejak awal telah menegakkan dasarnya melalui penyataan di gunung Sinai. Dari sanalah mereka menafsirkan bahwa Kemah Pertemuan, yang dahulu menjadi pusat ibadah para leluhur di padang gurun, seharusnya dijadikan pola dasar dan inspirasi dalam merancang kembali Bait Suci. Kemah tersebut berfungsi ganda, yakni sebagai “rumah bagi Allah” dan sekaligus tempat perjumpaan antara Allah dan umat-Nya, baik secara langsung maupun lewat perantaraan Musa (Kel. 25:22; 29:42–43; Im. 1:1). Kedua dimensi ini dipahami sebagai saling melengkapi, sehingga Bait yang baru pun diharapkan dapat memadukan keduanya: menjadi tempat tinggal Allah, namun terutama sebagai ruang perjumpaan di mana firman-Nya disampaikan. Sifat Kemah Pertemuan yang portabel dan ditempatkan di tengah perkemahan umat memberi penekanan bahwa kehadiran Allah senantiasa dekat dan melingkupi komunitas-Nya. Meski demikian, dalam kerangka pembaruan, Bait Suci yang dibayangkan pasca-pembuangan adalah bangunan permanen di Yerusalem, yang tetap meneguhkan makna relasional</w:t>
      </w:r>
      <w:r w:rsidR="005660D3">
        <w:rPr>
          <w:rFonts w:asciiTheme="majorBidi" w:hAnsiTheme="majorBidi" w:cstheme="majorBidi"/>
          <w:lang w:val="id-ID"/>
        </w:rPr>
        <w:t xml:space="preserve"> </w:t>
      </w:r>
      <w:r w:rsidR="003D31CF" w:rsidRPr="003D31CF">
        <w:rPr>
          <w:rFonts w:asciiTheme="majorBidi" w:hAnsiTheme="majorBidi" w:cstheme="majorBidi"/>
          <w:lang w:val="id-ID"/>
        </w:rPr>
        <w:t>yakni persekutuan intim Allah dengan umat-Nya sebagai pusat kehidupan mereka</w:t>
      </w:r>
      <w:r w:rsidR="007300A0" w:rsidRPr="003D31CF">
        <w:rPr>
          <w:rFonts w:asciiTheme="majorBidi" w:hAnsiTheme="majorBidi" w:cstheme="majorBidi"/>
          <w:lang w:val="id-ID"/>
        </w:rPr>
        <w:t>.</w:t>
      </w:r>
      <w:r w:rsidR="00A2275C">
        <w:rPr>
          <w:rStyle w:val="ReferensiCatatanKaki"/>
          <w:rFonts w:asciiTheme="majorBidi" w:hAnsiTheme="majorBidi" w:cstheme="majorBidi"/>
        </w:rPr>
        <w:footnoteReference w:id="30"/>
      </w:r>
    </w:p>
    <w:p w14:paraId="6D533ED4" w14:textId="3256E827" w:rsidR="00D07E9A" w:rsidRDefault="005C71C3" w:rsidP="005C71C3">
      <w:pPr>
        <w:spacing w:line="360" w:lineRule="auto"/>
        <w:ind w:firstLine="720"/>
        <w:jc w:val="both"/>
        <w:rPr>
          <w:rFonts w:asciiTheme="majorBidi" w:hAnsiTheme="majorBidi" w:cstheme="majorBidi"/>
        </w:rPr>
      </w:pPr>
      <w:r w:rsidRPr="005C71C3">
        <w:rPr>
          <w:rFonts w:asciiTheme="majorBidi" w:hAnsiTheme="majorBidi" w:cstheme="majorBidi"/>
        </w:rPr>
        <w:t xml:space="preserve">Aspek ketiga yang mendapat perhatian dalam pemikiran para imam pada masa pembuangan berkaitan dengan ruang mahakudus dalam Bait Suci yang baru. Ruang tersebut dipahami sebagai tempat khusus kehadiran Allah, di mana dua kerub besar digambarkan sebagai takhta atau wahana bagi Allah yang bersemayam di atas kerub (1Sam. 4:4; 2Sam. 6:2; 2Raj. 19:15; Mzm. 80:2; 99:1), sementara tabut ditempatkan di bawah sayapnya (1Raj. 8:6). Namun, sejak kehancuran bait Salomo, kerub dan tabut itu lenyap, sehingga keutuhan </w:t>
      </w:r>
      <w:r w:rsidRPr="005C71C3">
        <w:rPr>
          <w:rFonts w:asciiTheme="majorBidi" w:hAnsiTheme="majorBidi" w:cstheme="majorBidi"/>
        </w:rPr>
        <w:lastRenderedPageBreak/>
        <w:t>ruang mahakudus pun hilang. Meski demikian, keyakinan akan pemulihan ruang tersebut tetap hidup dalam imajinasi religius Israel pasca-pembuangan, dengan harapan bahwa kehadiran Allah akan dipulihkan sebagaimana semula. Jika dibandingkan dengan Bait Suci sebelumnya, fungsi ruang mahakudus dalam bait yang baru memperlihatkan perkembangan pemahaman teologis, meskipun tidak bersifat radikal, sebab pengalaman umat bersama Allah di masa pembuangan serta karya pemulangan yang dikerjakan-Nya telah cukup meneguhkan kesadaran mereka akan cara Allah hadir di tengah umat-Nya.</w:t>
      </w:r>
    </w:p>
    <w:p w14:paraId="32763583" w14:textId="77777777" w:rsidR="005C71C3" w:rsidRPr="00BE5DA8" w:rsidRDefault="005C71C3" w:rsidP="005C71C3">
      <w:pPr>
        <w:spacing w:line="360" w:lineRule="auto"/>
        <w:jc w:val="both"/>
        <w:rPr>
          <w:rFonts w:asciiTheme="majorBidi" w:hAnsiTheme="majorBidi" w:cstheme="majorBidi"/>
        </w:rPr>
      </w:pPr>
    </w:p>
    <w:p w14:paraId="765D07E0" w14:textId="68A38024" w:rsidR="00595524" w:rsidRPr="00595524" w:rsidRDefault="00595524" w:rsidP="00BE5DA8">
      <w:pPr>
        <w:spacing w:line="360" w:lineRule="auto"/>
        <w:jc w:val="both"/>
        <w:rPr>
          <w:rFonts w:asciiTheme="majorBidi" w:hAnsiTheme="majorBidi" w:cstheme="majorBidi"/>
          <w:b/>
          <w:bCs/>
        </w:rPr>
      </w:pPr>
      <w:r w:rsidRPr="00595524">
        <w:rPr>
          <w:rFonts w:asciiTheme="majorBidi" w:hAnsiTheme="majorBidi" w:cstheme="majorBidi"/>
          <w:b/>
          <w:bCs/>
        </w:rPr>
        <w:t xml:space="preserve">Bait </w:t>
      </w:r>
      <w:commentRangeStart w:id="3"/>
      <w:r w:rsidR="00FD3874">
        <w:rPr>
          <w:rFonts w:asciiTheme="majorBidi" w:hAnsiTheme="majorBidi" w:cstheme="majorBidi"/>
          <w:b/>
          <w:bCs/>
        </w:rPr>
        <w:t>Allah</w:t>
      </w:r>
      <w:commentRangeEnd w:id="3"/>
      <w:r w:rsidR="006E65F0">
        <w:rPr>
          <w:rStyle w:val="ReferensiKomentar"/>
          <w:rFonts w:asciiTheme="majorBidi" w:hAnsiTheme="majorBidi" w:cstheme="majorBidi"/>
          <w:b/>
          <w:bCs/>
          <w:sz w:val="24"/>
          <w:szCs w:val="24"/>
        </w:rPr>
        <w:commentReference w:id="3"/>
      </w:r>
      <w:r w:rsidR="00FD3874">
        <w:rPr>
          <w:rFonts w:asciiTheme="majorBidi" w:hAnsiTheme="majorBidi" w:cstheme="majorBidi"/>
          <w:b/>
          <w:bCs/>
        </w:rPr>
        <w:t xml:space="preserve"> </w:t>
      </w:r>
      <w:r w:rsidRPr="00595524">
        <w:rPr>
          <w:rFonts w:asciiTheme="majorBidi" w:hAnsiTheme="majorBidi" w:cstheme="majorBidi"/>
          <w:b/>
          <w:bCs/>
        </w:rPr>
        <w:t>Sebagai Pusat Penyembahan Allah</w:t>
      </w:r>
    </w:p>
    <w:p w14:paraId="30F600F2" w14:textId="082B6741" w:rsidR="00595524" w:rsidRPr="00BE5DA8" w:rsidRDefault="00595524" w:rsidP="00FD3874">
      <w:pPr>
        <w:spacing w:line="360" w:lineRule="auto"/>
        <w:jc w:val="both"/>
        <w:rPr>
          <w:rFonts w:asciiTheme="majorBidi" w:hAnsiTheme="majorBidi" w:cstheme="majorBidi"/>
        </w:rPr>
      </w:pPr>
      <w:r w:rsidRPr="00BE5DA8">
        <w:rPr>
          <w:rFonts w:asciiTheme="majorBidi" w:hAnsiTheme="majorBidi" w:cstheme="majorBidi"/>
          <w:b/>
          <w:bCs/>
        </w:rPr>
        <w:tab/>
      </w:r>
      <w:r w:rsidR="00FD3874" w:rsidRPr="00FD3874">
        <w:rPr>
          <w:rFonts w:asciiTheme="majorBidi" w:hAnsiTheme="majorBidi" w:cstheme="majorBidi"/>
        </w:rPr>
        <w:t>Kehadiran Allah di dalam Bait Suci selalu dimaknai sebagai undangan ilahi bagi umat-Nya untuk datang, berjumpa, dan menyembah-Nya. Karena itu, Bait Suci tidak hanya dipahami sebagai tempat tinggal Allah, melainkan juga sebagai ruang perjumpaan yang kudus antara Sang Pencipta dengan umat pilihan-Nya. Nilai sakral dari perjumpaan tersebut sepenuhnya bergantung pada realitas kehadiran Allah yang menjadikannya sah dan bermakna. Kehadiran yang berdaulat itu kemudian dikenang dan dihidupi terus-menerus melalui praktik ibadah, sehingga penyembahan Israel tidak berhenti pada ritual semata, melainkan menjadi wujud respons syukur atas anugerah Allah yang senantiasa menyertai mereka</w:t>
      </w:r>
      <w:r w:rsidRPr="00BE5DA8">
        <w:rPr>
          <w:rFonts w:asciiTheme="majorBidi" w:hAnsiTheme="majorBidi" w:cstheme="majorBidi"/>
        </w:rPr>
        <w:t>.</w:t>
      </w:r>
      <w:r w:rsidR="00D233DE">
        <w:rPr>
          <w:rStyle w:val="ReferensiCatatanKaki"/>
          <w:rFonts w:asciiTheme="majorBidi" w:hAnsiTheme="majorBidi" w:cstheme="majorBidi"/>
        </w:rPr>
        <w:footnoteReference w:id="31"/>
      </w:r>
      <w:r w:rsidRPr="00BE5DA8">
        <w:rPr>
          <w:rFonts w:asciiTheme="majorBidi" w:hAnsiTheme="majorBidi" w:cstheme="majorBidi"/>
        </w:rPr>
        <w:t xml:space="preserve"> </w:t>
      </w:r>
      <w:r w:rsidR="00FD3874" w:rsidRPr="00FD3874">
        <w:rPr>
          <w:rFonts w:asciiTheme="majorBidi" w:hAnsiTheme="majorBidi" w:cstheme="majorBidi"/>
        </w:rPr>
        <w:t>Dalam praktik penyembahan Israel, esensi yang paling menonjol adalah pengalaman “berjumpa dengan Allah.” Hal ini tersirat dari dinamika liturgis yang selalu menuntut seseorang untuk meninggalkan ruang kehidupannya sehari-hari dan bergerak menuju tempat ibadah. Proses ini digambarkan dengan kata-kata seperti “pergi,” “berjalan,” “mendekat,” dan “masuk,” yang masing-masing mencerminkan intensi dan kesadaran bahwa ibadah adalah sebuah perjalanan menuju hadirat ilahi. Penggunaan istilah-istilah tersebut dalam Kitab Suci</w:t>
      </w:r>
      <w:r w:rsidR="00FD3874">
        <w:rPr>
          <w:rFonts w:asciiTheme="majorBidi" w:hAnsiTheme="majorBidi" w:cstheme="majorBidi"/>
        </w:rPr>
        <w:t xml:space="preserve"> </w:t>
      </w:r>
      <w:r w:rsidR="00FD3874" w:rsidRPr="00FD3874">
        <w:rPr>
          <w:rFonts w:asciiTheme="majorBidi" w:hAnsiTheme="majorBidi" w:cstheme="majorBidi"/>
        </w:rPr>
        <w:t>misalnya “pergi” (Yes. 30:29), “datang untuk sujud” (Yer. 26:2; 1 Sam. 1:3; Mzm. 122:1), atau “mendekat” (Mzm. 65:5; Im. 9:5)</w:t>
      </w:r>
      <w:r w:rsidR="00FD3874">
        <w:rPr>
          <w:rFonts w:asciiTheme="majorBidi" w:hAnsiTheme="majorBidi" w:cstheme="majorBidi"/>
        </w:rPr>
        <w:t xml:space="preserve"> </w:t>
      </w:r>
      <w:r w:rsidR="00FD3874" w:rsidRPr="00FD3874">
        <w:rPr>
          <w:rFonts w:asciiTheme="majorBidi" w:hAnsiTheme="majorBidi" w:cstheme="majorBidi"/>
        </w:rPr>
        <w:t>menunjukkan bahwa ibadah selalu menuntut keterlibatan aktif, bukan sekadar tindakan ritual, tetapi sebuah gerak iman yang menghantar umat memasuki perjumpaan yang kudus dengan Allah.</w:t>
      </w:r>
      <w:r w:rsidRPr="00BE5DA8">
        <w:rPr>
          <w:rStyle w:val="ReferensiCatatanKaki"/>
          <w:rFonts w:asciiTheme="majorBidi" w:hAnsiTheme="majorBidi" w:cstheme="majorBidi"/>
        </w:rPr>
        <w:footnoteReference w:id="32"/>
      </w:r>
      <w:r w:rsidRPr="00595524">
        <w:rPr>
          <w:rFonts w:asciiTheme="majorBidi" w:hAnsiTheme="majorBidi" w:cstheme="majorBidi"/>
        </w:rPr>
        <w:t xml:space="preserve"> </w:t>
      </w:r>
      <w:r w:rsidR="00FD3874" w:rsidRPr="00FD3874">
        <w:rPr>
          <w:rFonts w:asciiTheme="majorBidi" w:hAnsiTheme="majorBidi" w:cstheme="majorBidi"/>
        </w:rPr>
        <w:t xml:space="preserve">Ungkapan “pergi, datang, masuk, dan mendekat” dalam konteks ibadah Israel tidak dapat dipahami sekadar sebagai tahap pembukaan atau persiapan belaka. Tindakan meninggalkan ruang keseharian dan memasuki hadirat Allah sesungguhnya menandai sebuah peralihan dari dunia </w:t>
      </w:r>
      <w:r w:rsidR="00FD3874" w:rsidRPr="00FD3874">
        <w:rPr>
          <w:rFonts w:asciiTheme="majorBidi" w:hAnsiTheme="majorBidi" w:cstheme="majorBidi"/>
        </w:rPr>
        <w:lastRenderedPageBreak/>
        <w:t>yang fana menuju realitas ilahi, di mana Allah berkenan menyatakan diri di tengah umat. Mazmur 100:2 menegaskan dimensi ini dengan seruan, “Beribadahlah kepada TUHAN dengan sukacita, datanglah ke hadapan-Nya dengan sorak-sorai!” Dengan demikian, aspek pergerakan lahiriah dan makna rohaniah dari ibadah tidak dapat dipisahkan, sebab keduanya menyatu dalam pengalaman perjumpaan umat dengan Allah yang kudus</w:t>
      </w:r>
      <w:r w:rsidR="00687726" w:rsidRPr="00BE5DA8">
        <w:rPr>
          <w:rFonts w:asciiTheme="majorBidi" w:hAnsiTheme="majorBidi" w:cstheme="majorBidi"/>
        </w:rPr>
        <w:t>.</w:t>
      </w:r>
      <w:r w:rsidR="00687726" w:rsidRPr="00BE5DA8">
        <w:rPr>
          <w:rStyle w:val="ReferensiCatatanKaki"/>
          <w:rFonts w:asciiTheme="majorBidi" w:hAnsiTheme="majorBidi" w:cstheme="majorBidi"/>
        </w:rPr>
        <w:footnoteReference w:id="33"/>
      </w:r>
    </w:p>
    <w:p w14:paraId="6924262C" w14:textId="77777777" w:rsidR="008B2100" w:rsidRDefault="008B2100" w:rsidP="008B2100">
      <w:pPr>
        <w:spacing w:line="360" w:lineRule="auto"/>
        <w:ind w:firstLine="720"/>
        <w:jc w:val="both"/>
        <w:rPr>
          <w:rFonts w:asciiTheme="majorBidi" w:hAnsiTheme="majorBidi" w:cstheme="majorBidi"/>
        </w:rPr>
      </w:pPr>
      <w:r w:rsidRPr="008B2100">
        <w:rPr>
          <w:rFonts w:asciiTheme="majorBidi" w:hAnsiTheme="majorBidi" w:cstheme="majorBidi"/>
        </w:rPr>
        <w:t>Setiap penyembahan yang dilakukan di hadapan kehadiran Allah senantiasa menuntut sikap hormat dari umat, sebagai wujud pengakuan atas keterbatasan manusia sekaligus pengagungan terhadap kemuliaan-Nya. Ungkapan penghormatan tersebut biasanya diekspresikan melalui pemuliaan nama Allah dan tindakan bersujud, yang sejak dahulu kala telah menjadi bagian dari tradisi Israel tanpa dipersoalkan asal-usulnya. Namun demikian, para nabi berulang kali mengingatkan bahwa tanda-tanda lahiriah ini tidak otomatis mencerminkan sikap batin yang tulus. Ritual yang dijalankan secara mekanis dapat kehilangan makna rohaninya jika tidak disertai hati yang murni. Kritik Yesaya menegaskan hal ini: umat hanya menghormati Allah dengan kata-kata, sementara hati mereka jauh dari-Nya (Yes. 29:13). Teguran tersebut menunjukkan adanya kesenjangan antara ibadah formal yang tampak di luar dengan kedalaman batin yang seharusnya menopang penyembahan sejati.</w:t>
      </w:r>
    </w:p>
    <w:p w14:paraId="5B1E94DB" w14:textId="553722C2" w:rsidR="00687726" w:rsidRPr="00595524" w:rsidRDefault="00687726" w:rsidP="008B2100">
      <w:pPr>
        <w:spacing w:line="360" w:lineRule="auto"/>
        <w:ind w:firstLine="720"/>
        <w:jc w:val="both"/>
        <w:rPr>
          <w:rFonts w:asciiTheme="majorBidi" w:hAnsiTheme="majorBidi" w:cstheme="majorBidi"/>
        </w:rPr>
      </w:pPr>
      <w:r w:rsidRPr="00687726">
        <w:rPr>
          <w:rFonts w:asciiTheme="majorBidi" w:hAnsiTheme="majorBidi" w:cstheme="majorBidi"/>
        </w:rPr>
        <w:t xml:space="preserve">Peringatan serupa juga bergema dalam Perjanjian Baru, ketika Yesus menegaskan: "Bukan setiap orang yang berseru kepada-Ku: Tuhan, Tuhan! akan masuk ke dalam Kerajaan Sorga, melainkan dia yang melakukan kehendak Bapa-Ku yang di sorga" (Matius 7:21). Pernyataan ini menekankan bahwa penyembahan yang autentik bukan hanya tentang pengakuan verbal atau ritual keagamaan semata, melainkan harus diwujudkan dalam ketaatan yang nyata terhadap kehendak Allah. </w:t>
      </w:r>
      <w:r w:rsidR="000B5DC2">
        <w:rPr>
          <w:rFonts w:asciiTheme="majorBidi" w:hAnsiTheme="majorBidi" w:cstheme="majorBidi"/>
        </w:rPr>
        <w:t>Hormat kepada</w:t>
      </w:r>
      <w:r w:rsidRPr="00687726">
        <w:rPr>
          <w:rFonts w:asciiTheme="majorBidi" w:hAnsiTheme="majorBidi" w:cstheme="majorBidi"/>
        </w:rPr>
        <w:t xml:space="preserve"> Allah dengan kejujuran dan kesungguhan hati </w:t>
      </w:r>
      <w:r w:rsidR="000B5DC2">
        <w:rPr>
          <w:rFonts w:asciiTheme="majorBidi" w:hAnsiTheme="majorBidi" w:cstheme="majorBidi"/>
        </w:rPr>
        <w:t>merupakan</w:t>
      </w:r>
      <w:r w:rsidRPr="00687726">
        <w:rPr>
          <w:rFonts w:asciiTheme="majorBidi" w:hAnsiTheme="majorBidi" w:cstheme="majorBidi"/>
        </w:rPr>
        <w:t xml:space="preserve"> tindakan tidak </w:t>
      </w:r>
      <w:r w:rsidR="000B5DC2">
        <w:rPr>
          <w:rFonts w:asciiTheme="majorBidi" w:hAnsiTheme="majorBidi" w:cstheme="majorBidi"/>
        </w:rPr>
        <w:t>gampang</w:t>
      </w:r>
      <w:r w:rsidRPr="00687726">
        <w:rPr>
          <w:rFonts w:asciiTheme="majorBidi" w:hAnsiTheme="majorBidi" w:cstheme="majorBidi"/>
        </w:rPr>
        <w:t xml:space="preserve"> dilaksanakan, namun justru itulah yang dikehendaki Allah dari umat-Nya</w:t>
      </w:r>
      <w:r w:rsidRPr="00BE5DA8">
        <w:rPr>
          <w:rFonts w:asciiTheme="majorBidi" w:hAnsiTheme="majorBidi" w:cstheme="majorBidi"/>
        </w:rPr>
        <w:t>.</w:t>
      </w:r>
      <w:r w:rsidRPr="00BE5DA8">
        <w:rPr>
          <w:rStyle w:val="ReferensiCatatanKaki"/>
          <w:rFonts w:asciiTheme="majorBidi" w:hAnsiTheme="majorBidi" w:cstheme="majorBidi"/>
        </w:rPr>
        <w:footnoteReference w:id="34"/>
      </w:r>
      <w:r w:rsidRPr="00BE5DA8">
        <w:rPr>
          <w:rFonts w:asciiTheme="majorBidi" w:hAnsiTheme="majorBidi" w:cstheme="majorBidi"/>
        </w:rPr>
        <w:t xml:space="preserve"> </w:t>
      </w:r>
      <w:r w:rsidRPr="00687726">
        <w:rPr>
          <w:rFonts w:asciiTheme="majorBidi" w:hAnsiTheme="majorBidi" w:cstheme="majorBidi"/>
        </w:rPr>
        <w:t>Dimensi ketulusan dalam penyembahan ini menjadi tema sentral dalam teologi ibadah Israel. Walter Brueggemann dalam karyanya menjelaskan bahwa penyembahan Israel yang sejati selalu melibatkan seluruh eksistensi manusia—bukan hanya tindakan ritual, tetapi transformasi orientasi hidup yang menyeluruh</w:t>
      </w:r>
      <w:r w:rsidRPr="00BE5DA8">
        <w:rPr>
          <w:rFonts w:asciiTheme="majorBidi" w:hAnsiTheme="majorBidi" w:cstheme="majorBidi"/>
        </w:rPr>
        <w:t>.</w:t>
      </w:r>
      <w:r w:rsidRPr="00BE5DA8">
        <w:rPr>
          <w:rStyle w:val="ReferensiCatatanKaki"/>
          <w:rFonts w:asciiTheme="majorBidi" w:hAnsiTheme="majorBidi" w:cstheme="majorBidi"/>
        </w:rPr>
        <w:footnoteReference w:id="35"/>
      </w:r>
      <w:r w:rsidRPr="00687726">
        <w:rPr>
          <w:rFonts w:asciiTheme="majorBidi" w:hAnsiTheme="majorBidi" w:cstheme="majorBidi"/>
        </w:rPr>
        <w:t xml:space="preserve"> Integritas dalam penyembahan memerlukan koherensi antara pengakuan </w:t>
      </w:r>
      <w:r w:rsidRPr="00687726">
        <w:rPr>
          <w:rFonts w:asciiTheme="majorBidi" w:hAnsiTheme="majorBidi" w:cstheme="majorBidi"/>
        </w:rPr>
        <w:lastRenderedPageBreak/>
        <w:t>iman (</w:t>
      </w:r>
      <w:r w:rsidRPr="00687726">
        <w:rPr>
          <w:rFonts w:asciiTheme="majorBidi" w:hAnsiTheme="majorBidi" w:cstheme="majorBidi"/>
          <w:i/>
          <w:iCs/>
        </w:rPr>
        <w:t>confession</w:t>
      </w:r>
      <w:r w:rsidRPr="00687726">
        <w:rPr>
          <w:rFonts w:asciiTheme="majorBidi" w:hAnsiTheme="majorBidi" w:cstheme="majorBidi"/>
        </w:rPr>
        <w:t>), praktik ritual (</w:t>
      </w:r>
      <w:r w:rsidRPr="00687726">
        <w:rPr>
          <w:rFonts w:asciiTheme="majorBidi" w:hAnsiTheme="majorBidi" w:cstheme="majorBidi"/>
          <w:i/>
          <w:iCs/>
        </w:rPr>
        <w:t>ritual practice</w:t>
      </w:r>
      <w:r w:rsidRPr="00687726">
        <w:rPr>
          <w:rFonts w:asciiTheme="majorBidi" w:hAnsiTheme="majorBidi" w:cstheme="majorBidi"/>
        </w:rPr>
        <w:t>), dan kehidupan etis sehari-hari (</w:t>
      </w:r>
      <w:r w:rsidRPr="00687726">
        <w:rPr>
          <w:rFonts w:asciiTheme="majorBidi" w:hAnsiTheme="majorBidi" w:cstheme="majorBidi"/>
          <w:i/>
          <w:iCs/>
        </w:rPr>
        <w:t>ethical living</w:t>
      </w:r>
      <w:r w:rsidRPr="00687726">
        <w:rPr>
          <w:rFonts w:asciiTheme="majorBidi" w:hAnsiTheme="majorBidi" w:cstheme="majorBidi"/>
        </w:rPr>
        <w:t>). Ketiga dimensi ini tidak dapat dipisahkan dalam konsep ibadah yang komprehensif menurut tradisi Perjanjian Lama.</w:t>
      </w:r>
      <w:r w:rsidR="00E80035" w:rsidRPr="00BE5DA8">
        <w:rPr>
          <w:rFonts w:asciiTheme="majorBidi" w:hAnsiTheme="majorBidi" w:cstheme="majorBidi"/>
        </w:rPr>
        <w:t xml:space="preserve"> </w:t>
      </w:r>
      <w:r w:rsidRPr="00687726">
        <w:rPr>
          <w:rFonts w:asciiTheme="majorBidi" w:hAnsiTheme="majorBidi" w:cstheme="majorBidi"/>
        </w:rPr>
        <w:t xml:space="preserve">Lebih lanjut, </w:t>
      </w:r>
      <w:r w:rsidR="00E80035" w:rsidRPr="00BE5DA8">
        <w:rPr>
          <w:rFonts w:asciiTheme="majorBidi" w:hAnsiTheme="majorBidi" w:cstheme="majorBidi"/>
        </w:rPr>
        <w:t>Bruegman</w:t>
      </w:r>
      <w:r w:rsidRPr="00687726">
        <w:rPr>
          <w:rFonts w:asciiTheme="majorBidi" w:hAnsiTheme="majorBidi" w:cstheme="majorBidi"/>
        </w:rPr>
        <w:t xml:space="preserve"> menegaskan bahwa kritik para nabi terhadap ibadah yang formalistik mencerminkan concern teologis yang mendalam tentang bagaimana umat memahami karakter Allah. Penyembahan yang sejati harus mencerminkan pemahaman yang benar tentang siapa Allah</w:t>
      </w:r>
      <w:r w:rsidR="00E80035" w:rsidRPr="00BE5DA8">
        <w:rPr>
          <w:rFonts w:asciiTheme="majorBidi" w:hAnsiTheme="majorBidi" w:cstheme="majorBidi"/>
        </w:rPr>
        <w:t xml:space="preserve">. </w:t>
      </w:r>
      <w:r w:rsidRPr="00687726">
        <w:rPr>
          <w:rFonts w:asciiTheme="majorBidi" w:hAnsiTheme="majorBidi" w:cstheme="majorBidi"/>
        </w:rPr>
        <w:t>Allah yang menghendaki keadilan, belas kasihan, dan kerendahan hati, bukan hanya korban dan ritual belaka</w:t>
      </w:r>
      <w:r w:rsidR="00E80035" w:rsidRPr="00BE5DA8">
        <w:rPr>
          <w:rFonts w:asciiTheme="majorBidi" w:hAnsiTheme="majorBidi" w:cstheme="majorBidi"/>
        </w:rPr>
        <w:t>.</w:t>
      </w:r>
      <w:r w:rsidR="00E80035" w:rsidRPr="00BE5DA8">
        <w:rPr>
          <w:rStyle w:val="ReferensiCatatanKaki"/>
          <w:rFonts w:asciiTheme="majorBidi" w:hAnsiTheme="majorBidi" w:cstheme="majorBidi"/>
        </w:rPr>
        <w:footnoteReference w:id="36"/>
      </w:r>
      <w:r w:rsidR="00E80035" w:rsidRPr="00BE5DA8">
        <w:rPr>
          <w:rFonts w:asciiTheme="majorBidi" w:hAnsiTheme="majorBidi" w:cstheme="majorBidi"/>
        </w:rPr>
        <w:t xml:space="preserve"> </w:t>
      </w:r>
      <w:r w:rsidRPr="00687726">
        <w:rPr>
          <w:rFonts w:asciiTheme="majorBidi" w:hAnsiTheme="majorBidi" w:cstheme="majorBidi"/>
        </w:rPr>
        <w:t>Dengan demikian, menghormati Allah secara autentik menuntut transformasi internal yang fundamental, bukan sekadar kepatuhan eksternal terhadap prosedur liturgis.</w:t>
      </w:r>
    </w:p>
    <w:p w14:paraId="056F35E6" w14:textId="6DD9A6A7" w:rsidR="00BD4471" w:rsidRPr="00BD4471" w:rsidRDefault="00595524" w:rsidP="00BD4471">
      <w:pPr>
        <w:spacing w:line="360" w:lineRule="auto"/>
        <w:jc w:val="both"/>
        <w:rPr>
          <w:rFonts w:asciiTheme="majorBidi" w:hAnsiTheme="majorBidi" w:cstheme="majorBidi"/>
          <w:lang w:val="id-ID"/>
        </w:rPr>
      </w:pPr>
      <w:r w:rsidRPr="00BE5DA8">
        <w:rPr>
          <w:rFonts w:asciiTheme="majorBidi" w:hAnsiTheme="majorBidi" w:cstheme="majorBidi"/>
        </w:rPr>
        <w:tab/>
      </w:r>
      <w:r w:rsidR="00BD4471">
        <w:rPr>
          <w:rFonts w:asciiTheme="majorBidi" w:hAnsiTheme="majorBidi" w:cstheme="majorBidi"/>
        </w:rPr>
        <w:t>D</w:t>
      </w:r>
      <w:r w:rsidR="00BD4471" w:rsidRPr="00BD4471">
        <w:rPr>
          <w:rFonts w:asciiTheme="majorBidi" w:hAnsiTheme="majorBidi" w:cstheme="majorBidi"/>
          <w:lang w:val="id-ID"/>
        </w:rPr>
        <w:t>alam kaitannya dengan penyembahan di ruang kudus, Kitab Suci menekankan gagasan tentang “wajah Allah.” Hampir seluruh praktik liturgi Israel dapat dipahami berpusat pada dimensi ini. Jika sebelumnya Bait Suci dimengerti sebagai ruang perjumpaan, tempat umat bertemu dengan Allah, maka pada tahap berikutnya penyembahan juga dipahami sebagai pengalaman berhadapan langsung dengan-Nya. Tentu istilah “wajah Allah” tidak dimaksudkan secara harfiah sebagai pertemuan fisik dengan diri Allah, melainkan sebagai simbol perjumpaan rohani yang penuh kekuatan. Pengalaman ini bersifat paradoksal: di satu sisi menghadirkan kegentaran dan rasa gentar yang mendalam, namun di sisi lain menghadirkan kedekatan yang penuh sukacita. Dalam ibadah di Bait Suci, umat datang menghadap mezbah, patung kerub, dan tabut Allah, sementara para imam dan orang Lewi menjalankan pelayanan dengan penuh ketelitian. Ribuan orang berkumpul dalam persekutuan komunal, tetapi di tengah-tengah kebersamaan itu setiap individu juga mengalami relasi pribadi dengan Allah yang hadir secara nyata.</w:t>
      </w:r>
    </w:p>
    <w:p w14:paraId="48274EB0" w14:textId="12DDAF9A" w:rsidR="007B16C7" w:rsidRPr="007B16C7" w:rsidRDefault="00BD4471" w:rsidP="00BD4471">
      <w:pPr>
        <w:spacing w:line="360" w:lineRule="auto"/>
        <w:ind w:firstLine="720"/>
        <w:jc w:val="both"/>
        <w:rPr>
          <w:rFonts w:asciiTheme="majorBidi" w:hAnsiTheme="majorBidi" w:cstheme="majorBidi"/>
        </w:rPr>
      </w:pPr>
      <w:r w:rsidRPr="00BD4471">
        <w:rPr>
          <w:rFonts w:asciiTheme="majorBidi" w:hAnsiTheme="majorBidi" w:cstheme="majorBidi"/>
        </w:rPr>
        <w:t>Meskipun umat sering dibatasi oleh kelemahan dan ketumpulan rohani mereka, Allah tetap berkenan memberi kesempatan untuk mengalami perjumpaan langsung dengan-Nya, Sang Mahakudus. Dalam momen ibadah itu, seluruh keberadaan manusia</w:t>
      </w:r>
      <w:r>
        <w:rPr>
          <w:rFonts w:asciiTheme="majorBidi" w:hAnsiTheme="majorBidi" w:cstheme="majorBidi"/>
        </w:rPr>
        <w:t xml:space="preserve"> </w:t>
      </w:r>
      <w:r w:rsidRPr="00BD4471">
        <w:rPr>
          <w:rFonts w:asciiTheme="majorBidi" w:hAnsiTheme="majorBidi" w:cstheme="majorBidi"/>
        </w:rPr>
        <w:t>baik jiwa maupun raga</w:t>
      </w:r>
      <w:r>
        <w:rPr>
          <w:rFonts w:asciiTheme="majorBidi" w:hAnsiTheme="majorBidi" w:cstheme="majorBidi"/>
        </w:rPr>
        <w:t xml:space="preserve"> </w:t>
      </w:r>
      <w:r w:rsidRPr="00BD4471">
        <w:rPr>
          <w:rFonts w:asciiTheme="majorBidi" w:hAnsiTheme="majorBidi" w:cstheme="majorBidi"/>
        </w:rPr>
        <w:t>dilibatkan untuk merasakan, menghayati, dan menyaksikan kebaikan Allah. Dialah yang dengan kasih-Nya memungkinkan diri-Nya hadir secara nyata dan dapat dialami umat, suatu pengalaman yang dalam tradisi Israel disebut sebagai perjumpaan dengan “wajah Allah.”</w:t>
      </w:r>
      <w:r w:rsidR="007B16C7" w:rsidRPr="00BE5DA8">
        <w:rPr>
          <w:rStyle w:val="ReferensiCatatanKaki"/>
          <w:rFonts w:asciiTheme="majorBidi" w:hAnsiTheme="majorBidi" w:cstheme="majorBidi"/>
        </w:rPr>
        <w:footnoteReference w:id="37"/>
      </w:r>
      <w:r w:rsidR="007B16C7" w:rsidRPr="00BE5DA8">
        <w:rPr>
          <w:rFonts w:asciiTheme="majorBidi" w:hAnsiTheme="majorBidi" w:cstheme="majorBidi"/>
        </w:rPr>
        <w:t xml:space="preserve"> </w:t>
      </w:r>
      <w:r w:rsidR="007B16C7" w:rsidRPr="007B16C7">
        <w:rPr>
          <w:rFonts w:asciiTheme="majorBidi" w:hAnsiTheme="majorBidi" w:cstheme="majorBidi"/>
        </w:rPr>
        <w:t>Konsep teologis tentang "wajah Allah" ini memiliki signifikansi yang mendalam dalam spiritualitas Israel kuno. Samuel Terrien dalam studinya yang komprehensif menjelaskan bahwa metafora "wajah Allah" (</w:t>
      </w:r>
      <w:r w:rsidR="007B16C7" w:rsidRPr="007B16C7">
        <w:rPr>
          <w:rFonts w:asciiTheme="majorBidi" w:hAnsiTheme="majorBidi" w:cstheme="majorBidi"/>
          <w:i/>
          <w:iCs/>
        </w:rPr>
        <w:t>panim YHWH</w:t>
      </w:r>
      <w:r w:rsidR="007B16C7" w:rsidRPr="007B16C7">
        <w:rPr>
          <w:rFonts w:asciiTheme="majorBidi" w:hAnsiTheme="majorBidi" w:cstheme="majorBidi"/>
        </w:rPr>
        <w:t xml:space="preserve">) </w:t>
      </w:r>
      <w:r w:rsidR="007B16C7" w:rsidRPr="007B16C7">
        <w:rPr>
          <w:rFonts w:asciiTheme="majorBidi" w:hAnsiTheme="majorBidi" w:cstheme="majorBidi"/>
        </w:rPr>
        <w:lastRenderedPageBreak/>
        <w:t xml:space="preserve">merepresentasikan kehadiran ilahi yang dapat dialami secara langsung namun tetap misterius. Ini bukan tentang visualisasi fisik, melainkan tentang perjumpaan eksistensial yang transformatif dengan realitas </w:t>
      </w:r>
      <w:r w:rsidR="007B16C7" w:rsidRPr="00BE5DA8">
        <w:rPr>
          <w:rFonts w:asciiTheme="majorBidi" w:hAnsiTheme="majorBidi" w:cstheme="majorBidi"/>
        </w:rPr>
        <w:t>Ilahi.</w:t>
      </w:r>
      <w:r w:rsidR="007B16C7" w:rsidRPr="00BE5DA8">
        <w:rPr>
          <w:rStyle w:val="ReferensiCatatanKaki"/>
          <w:rFonts w:asciiTheme="majorBidi" w:hAnsiTheme="majorBidi" w:cstheme="majorBidi"/>
        </w:rPr>
        <w:footnoteReference w:id="38"/>
      </w:r>
      <w:r w:rsidR="007B16C7" w:rsidRPr="00BE5DA8">
        <w:rPr>
          <w:rFonts w:asciiTheme="majorBidi" w:hAnsiTheme="majorBidi" w:cstheme="majorBidi"/>
        </w:rPr>
        <w:t xml:space="preserve"> </w:t>
      </w:r>
      <w:r w:rsidR="007B16C7" w:rsidRPr="007B16C7">
        <w:rPr>
          <w:rFonts w:asciiTheme="majorBidi" w:hAnsiTheme="majorBidi" w:cstheme="majorBidi"/>
        </w:rPr>
        <w:t>Pengalaman melihat "wajah Allah" adalah pengalaman teofani</w:t>
      </w:r>
      <w:r w:rsidR="007B16C7" w:rsidRPr="00BE5DA8">
        <w:rPr>
          <w:rFonts w:asciiTheme="majorBidi" w:hAnsiTheme="majorBidi" w:cstheme="majorBidi"/>
        </w:rPr>
        <w:t xml:space="preserve"> </w:t>
      </w:r>
      <w:r w:rsidR="007B16C7" w:rsidRPr="007B16C7">
        <w:rPr>
          <w:rFonts w:asciiTheme="majorBidi" w:hAnsiTheme="majorBidi" w:cstheme="majorBidi"/>
        </w:rPr>
        <w:t>manifestasi kehadiran ilahi yang dapat dirasakan melalui seluruh dimensi kemanusiaan.</w:t>
      </w:r>
      <w:r w:rsidR="007B16C7" w:rsidRPr="00BE5DA8">
        <w:rPr>
          <w:rFonts w:asciiTheme="majorBidi" w:hAnsiTheme="majorBidi" w:cstheme="majorBidi"/>
        </w:rPr>
        <w:t xml:space="preserve"> </w:t>
      </w:r>
      <w:r w:rsidR="007B16C7" w:rsidRPr="007B16C7">
        <w:rPr>
          <w:rFonts w:asciiTheme="majorBidi" w:hAnsiTheme="majorBidi" w:cstheme="majorBidi"/>
        </w:rPr>
        <w:t>Lebih lanjut, Terence Fretheim menggarisbawahi bahwa dalam tradisi Perjanjian Lama, pencarian akan "wajah Allah" (</w:t>
      </w:r>
      <w:r w:rsidR="007B16C7" w:rsidRPr="007B16C7">
        <w:rPr>
          <w:rFonts w:asciiTheme="majorBidi" w:hAnsiTheme="majorBidi" w:cstheme="majorBidi"/>
          <w:i/>
          <w:iCs/>
        </w:rPr>
        <w:t>baqash panim YHWH</w:t>
      </w:r>
      <w:r w:rsidR="007B16C7" w:rsidRPr="007B16C7">
        <w:rPr>
          <w:rFonts w:asciiTheme="majorBidi" w:hAnsiTheme="majorBidi" w:cstheme="majorBidi"/>
        </w:rPr>
        <w:t>) menjadi motif sentral dalam kehidupan ibadah. Ini mencerminkan kerinduan mendalam umat untuk mengalami kedekatan personal dengan Allah, bukan sekadar menjalankan kewajiban ritual.</w:t>
      </w:r>
      <w:r w:rsidR="009F43A6" w:rsidRPr="00BE5DA8">
        <w:rPr>
          <w:rStyle w:val="ReferensiCatatanKaki"/>
          <w:rFonts w:asciiTheme="majorBidi" w:hAnsiTheme="majorBidi" w:cstheme="majorBidi"/>
        </w:rPr>
        <w:footnoteReference w:id="39"/>
      </w:r>
      <w:r w:rsidR="007B16C7" w:rsidRPr="007B16C7">
        <w:rPr>
          <w:rFonts w:asciiTheme="majorBidi" w:hAnsiTheme="majorBidi" w:cstheme="majorBidi"/>
        </w:rPr>
        <w:t xml:space="preserve"> Pengalaman berhadapan muka dengan Allah di Bait Suci bukan sekadar moment liturgis, tetapi encounter yang mengubah dan membentuk identitas rohani umat Israel.</w:t>
      </w:r>
      <w:r w:rsidR="009F43A6" w:rsidRPr="00BE5DA8">
        <w:rPr>
          <w:rFonts w:asciiTheme="majorBidi" w:hAnsiTheme="majorBidi" w:cstheme="majorBidi"/>
        </w:rPr>
        <w:t xml:space="preserve"> </w:t>
      </w:r>
      <w:r w:rsidR="007B16C7" w:rsidRPr="007B16C7">
        <w:rPr>
          <w:rFonts w:asciiTheme="majorBidi" w:hAnsiTheme="majorBidi" w:cstheme="majorBidi"/>
        </w:rPr>
        <w:t>"</w:t>
      </w:r>
      <w:r w:rsidR="009F43A6" w:rsidRPr="00BE5DA8">
        <w:rPr>
          <w:rFonts w:asciiTheme="majorBidi" w:hAnsiTheme="majorBidi" w:cstheme="majorBidi"/>
        </w:rPr>
        <w:t>M</w:t>
      </w:r>
      <w:r w:rsidR="007B16C7" w:rsidRPr="007B16C7">
        <w:rPr>
          <w:rFonts w:asciiTheme="majorBidi" w:hAnsiTheme="majorBidi" w:cstheme="majorBidi"/>
        </w:rPr>
        <w:t>encari wajah-Nya" dan "memandang wajah-Nya" dalam Mazmur-mazmur mengungkapkan dimensi relasional yang kaya dalam penyembahan Israel. Ini menunjukkan bahwa ibadah bukan transaksi impersonal atau pelaksanaan ritual mekanis, melainkan perjumpaan pribadi dengan Allah yang hidup, yang memiliki kepribadian dan yang merespons umat-Ny.</w:t>
      </w:r>
      <w:r w:rsidR="009F43A6" w:rsidRPr="00BE5DA8">
        <w:rPr>
          <w:rStyle w:val="ReferensiCatatanKaki"/>
          <w:rFonts w:asciiTheme="majorBidi" w:hAnsiTheme="majorBidi" w:cstheme="majorBidi"/>
        </w:rPr>
        <w:footnoteReference w:id="40"/>
      </w:r>
      <w:r w:rsidR="007B16C7" w:rsidRPr="007B16C7">
        <w:rPr>
          <w:rFonts w:asciiTheme="majorBidi" w:hAnsiTheme="majorBidi" w:cstheme="majorBidi"/>
        </w:rPr>
        <w:t xml:space="preserve"> Dalam konteks inilah, Bait Suci berfungsi sebagai ruang sakral di mana boundary antara yang ilahi dan yang manusiawi menjadi tipis, memungkinkan terjadinya komunikasi dan persekutuan yang autentik.</w:t>
      </w:r>
    </w:p>
    <w:p w14:paraId="096C7E37" w14:textId="77777777" w:rsidR="001B0696" w:rsidRDefault="009F43A6" w:rsidP="001B0696">
      <w:pPr>
        <w:spacing w:line="360" w:lineRule="auto"/>
        <w:jc w:val="both"/>
        <w:rPr>
          <w:rFonts w:asciiTheme="majorBidi" w:hAnsiTheme="majorBidi" w:cstheme="majorBidi"/>
        </w:rPr>
      </w:pPr>
      <w:r w:rsidRPr="00BE5DA8">
        <w:rPr>
          <w:rFonts w:asciiTheme="majorBidi" w:hAnsiTheme="majorBidi" w:cstheme="majorBidi"/>
        </w:rPr>
        <w:tab/>
      </w:r>
      <w:r w:rsidR="00BD4471">
        <w:rPr>
          <w:rFonts w:asciiTheme="majorBidi" w:hAnsiTheme="majorBidi" w:cstheme="majorBidi"/>
        </w:rPr>
        <w:t>P</w:t>
      </w:r>
      <w:r w:rsidR="00BD4471" w:rsidRPr="00BD4471">
        <w:rPr>
          <w:rFonts w:asciiTheme="majorBidi" w:hAnsiTheme="majorBidi" w:cstheme="majorBidi"/>
        </w:rPr>
        <w:t>raktik ibadah di Bait Suci senantiasa diiringi dengan tindakan mempersembahkan sesuatu kepada Allah. Bagi umat Israel, beribadah tanpa membawa persembahan dipandang tidak layak, sebab prinsip “jangan datang menghadap TUHAN dengan tangan hampa” menjadi aturan mendasar dalam tradisi mereka (Kel. 23:15; 34:20; Ul. 16:16-17). Namun demikian, harus disadari bahwa setiap persembahan umat hanyalah respons terhadap anugerah Allah yang lebih dahulu dinyatakan. Sejak awal, Allah telah menyatakan kesediaan-Nya untuk menjadi Allah bagi Israel (Kej. 17:7-8), dan komitmen ilahi inilah yang mendahului sekaligus melampaui segala usaha manusia. Dengan demikian, struktur ibadah Israel menegaskan urutan yang sangat penting: inisiatif Allah selalu lebih dahulu, sedangkan persembahan umat hanyalah jawaban atas kemurahan-Nya.</w:t>
      </w:r>
      <w:r w:rsidRPr="00BE5DA8">
        <w:rPr>
          <w:rFonts w:asciiTheme="majorBidi" w:hAnsiTheme="majorBidi" w:cstheme="majorBidi"/>
        </w:rPr>
        <w:t>.</w:t>
      </w:r>
      <w:r w:rsidRPr="00BE5DA8">
        <w:rPr>
          <w:rStyle w:val="ReferensiCatatanKaki"/>
          <w:rFonts w:asciiTheme="majorBidi" w:hAnsiTheme="majorBidi" w:cstheme="majorBidi"/>
        </w:rPr>
        <w:footnoteReference w:id="41"/>
      </w:r>
      <w:r w:rsidRPr="00BE5DA8">
        <w:rPr>
          <w:rFonts w:asciiTheme="majorBidi" w:hAnsiTheme="majorBidi" w:cstheme="majorBidi"/>
        </w:rPr>
        <w:t xml:space="preserve"> </w:t>
      </w:r>
      <w:r w:rsidR="001B0696" w:rsidRPr="001B0696">
        <w:rPr>
          <w:rFonts w:asciiTheme="majorBidi" w:hAnsiTheme="majorBidi" w:cstheme="majorBidi"/>
        </w:rPr>
        <w:t xml:space="preserve">Segala bentuk persembahan, baik berupa korban hewan, sajian makanan, benda berharga, logam mulia, maupun uang, semuanya dipersembahkan hanya bagi Allah Israel, Sang Mahakudus, yang dimuliakan </w:t>
      </w:r>
      <w:r w:rsidR="001B0696" w:rsidRPr="001B0696">
        <w:rPr>
          <w:rFonts w:asciiTheme="majorBidi" w:hAnsiTheme="majorBidi" w:cstheme="majorBidi"/>
        </w:rPr>
        <w:lastRenderedPageBreak/>
        <w:t>sebagai “lebih dahsyat daripada segala allah” (Mzm. 96:4). Inilah yang membedakan persembahan Israel dari praktik persembahan dalam tradisi keagamaan bangsa-bangsa lain. Nilai dari segala persembahan tersebut tidak dapat diukur sekadar dengan ukuran materi, sebab maknanya terletak pada pengabdian kepada Allah yang transenden dan agung, sehingga nilainya melampaui batas perhitungan duniawi.</w:t>
      </w:r>
    </w:p>
    <w:p w14:paraId="74D30924" w14:textId="16281B4D" w:rsidR="009F43A6" w:rsidRPr="009F43A6" w:rsidRDefault="00B632B6" w:rsidP="00B632B6">
      <w:pPr>
        <w:spacing w:line="360" w:lineRule="auto"/>
        <w:ind w:firstLine="720"/>
        <w:jc w:val="both"/>
        <w:rPr>
          <w:rFonts w:asciiTheme="majorBidi" w:hAnsiTheme="majorBidi" w:cstheme="majorBidi"/>
        </w:rPr>
      </w:pPr>
      <w:r w:rsidRPr="00B632B6">
        <w:rPr>
          <w:rFonts w:asciiTheme="majorBidi" w:hAnsiTheme="majorBidi" w:cstheme="majorBidi"/>
        </w:rPr>
        <w:t>Meskipun persembahan dalam bentuk korban, sajian, maupun pemberian lainnya telah menjadi bagian dari ibadah Israel, Kitab Suci menegaskan bahwa Allah sesungguhnya tidak membutuhkan santapan atau persembahan materi dari umat-Nya (Yes. 43:23-24; Mzm. 40:7; 50:7-15; 51:18-19). Melalui suara para nabi, Allah menyingkapkan tuntutan-Nya yang sejati, yakni pengabdian yang lahir dari ketulusan hati, penyerahan diri yang utuh, serta kesetiaan yang diwujudkan dalam perilaku sehari-hari. Persembahan yang sejati bukan sekadar ritual formal, melainkan hidup yang dipenuhi ketaatan, keadilan, dan kasih (Mi. 6:8). Karena itu, Allah menolak ibadah yang hanya berhenti pada korban lahiriah tanpa integritas batin, apalagi yang dipersembahkan dengan motivasi yang salah.</w:t>
      </w:r>
      <w:r>
        <w:rPr>
          <w:rFonts w:asciiTheme="majorBidi" w:hAnsiTheme="majorBidi" w:cstheme="majorBidi"/>
        </w:rPr>
        <w:t xml:space="preserve"> </w:t>
      </w:r>
      <w:r w:rsidR="009F43A6" w:rsidRPr="009F43A6">
        <w:rPr>
          <w:rFonts w:asciiTheme="majorBidi" w:hAnsiTheme="majorBidi" w:cstheme="majorBidi"/>
        </w:rPr>
        <w:t>Teologi persembahan dalam tradisi Israel ini memiliki dimensi yang kompleks dan kaya makna. Jon D. Levenson dalam studinya menjelaskan bahwa sistem persembahan Israel tidak dapat dipahami sebagai upaya manipulatif untuk mempengaruhi atau "menyuap" Allah, melainkan sebagai respons syukur dan pengakuan atas kedaulatan Allah yang telah terlebih dahulu berinisiatif dalam hubungan covenant</w:t>
      </w:r>
      <w:r w:rsidR="00660ABD" w:rsidRPr="00BE5DA8">
        <w:rPr>
          <w:rFonts w:asciiTheme="majorBidi" w:hAnsiTheme="majorBidi" w:cstheme="majorBidi"/>
        </w:rPr>
        <w:t>.</w:t>
      </w:r>
      <w:r w:rsidR="00660ABD" w:rsidRPr="00BE5DA8">
        <w:rPr>
          <w:rStyle w:val="ReferensiCatatanKaki"/>
          <w:rFonts w:asciiTheme="majorBidi" w:hAnsiTheme="majorBidi" w:cstheme="majorBidi"/>
        </w:rPr>
        <w:footnoteReference w:id="42"/>
      </w:r>
      <w:r w:rsidR="009F43A6" w:rsidRPr="009F43A6">
        <w:rPr>
          <w:rFonts w:asciiTheme="majorBidi" w:hAnsiTheme="majorBidi" w:cstheme="majorBidi"/>
        </w:rPr>
        <w:t xml:space="preserve"> Persembahan adalah bentuk dramatisasi dari komitmen </w:t>
      </w:r>
      <w:r w:rsidR="009F43A6" w:rsidRPr="009F43A6">
        <w:rPr>
          <w:rFonts w:asciiTheme="majorBidi" w:hAnsiTheme="majorBidi" w:cstheme="majorBidi"/>
          <w:i/>
          <w:iCs/>
        </w:rPr>
        <w:t>covenant</w:t>
      </w:r>
      <w:r w:rsidR="00660ABD" w:rsidRPr="00BE5DA8">
        <w:rPr>
          <w:rFonts w:asciiTheme="majorBidi" w:hAnsiTheme="majorBidi" w:cstheme="majorBidi"/>
        </w:rPr>
        <w:t xml:space="preserve"> </w:t>
      </w:r>
      <w:r w:rsidR="009F43A6" w:rsidRPr="009F43A6">
        <w:rPr>
          <w:rFonts w:asciiTheme="majorBidi" w:hAnsiTheme="majorBidi" w:cstheme="majorBidi"/>
        </w:rPr>
        <w:t xml:space="preserve">sebuah </w:t>
      </w:r>
      <w:r w:rsidR="009F43A6" w:rsidRPr="009F43A6">
        <w:rPr>
          <w:rFonts w:asciiTheme="majorBidi" w:hAnsiTheme="majorBidi" w:cstheme="majorBidi"/>
          <w:i/>
          <w:iCs/>
        </w:rPr>
        <w:t xml:space="preserve">enacted theology </w:t>
      </w:r>
      <w:r w:rsidR="009F43A6" w:rsidRPr="009F43A6">
        <w:rPr>
          <w:rFonts w:asciiTheme="majorBidi" w:hAnsiTheme="majorBidi" w:cstheme="majorBidi"/>
        </w:rPr>
        <w:t>yang menerjemahkan keyakinan teologis ke dalam tindakan ritual yang konkret.</w:t>
      </w:r>
    </w:p>
    <w:p w14:paraId="65DFAEBB" w14:textId="0627F106" w:rsidR="009F43A6" w:rsidRPr="009F43A6" w:rsidRDefault="009F43A6" w:rsidP="00BE5DA8">
      <w:pPr>
        <w:spacing w:line="360" w:lineRule="auto"/>
        <w:ind w:firstLine="720"/>
        <w:jc w:val="both"/>
        <w:rPr>
          <w:rFonts w:asciiTheme="majorBidi" w:hAnsiTheme="majorBidi" w:cstheme="majorBidi"/>
        </w:rPr>
      </w:pPr>
      <w:r w:rsidRPr="009F43A6">
        <w:rPr>
          <w:rFonts w:asciiTheme="majorBidi" w:hAnsiTheme="majorBidi" w:cstheme="majorBidi"/>
        </w:rPr>
        <w:t>Baruch A. Levine lebih lanjut menekankan bahwa dalam konteks Timur Dekat kuno, persembahan berfungsi sebagai medium komunikasi antara manusia dan yang ilahi. Namun berbeda dengan konsep persembahan dalam kultus-kultus pagan yang dipahami sebagai "makanan bagi para dewa," persembahan Israel memiliki karakter yang unik</w:t>
      </w:r>
      <w:r w:rsidR="00660ABD" w:rsidRPr="00BE5DA8">
        <w:rPr>
          <w:rFonts w:asciiTheme="majorBidi" w:hAnsiTheme="majorBidi" w:cstheme="majorBidi"/>
        </w:rPr>
        <w:t xml:space="preserve"> </w:t>
      </w:r>
      <w:r w:rsidRPr="009F43A6">
        <w:rPr>
          <w:rFonts w:asciiTheme="majorBidi" w:hAnsiTheme="majorBidi" w:cstheme="majorBidi"/>
        </w:rPr>
        <w:t xml:space="preserve">ia berfungsi sebagai sarana untuk mengekspresikan dedikasi, </w:t>
      </w:r>
      <w:r w:rsidRPr="009F43A6">
        <w:rPr>
          <w:rFonts w:asciiTheme="majorBidi" w:hAnsiTheme="majorBidi" w:cstheme="majorBidi"/>
          <w:i/>
          <w:iCs/>
        </w:rPr>
        <w:t>gratitud</w:t>
      </w:r>
      <w:r w:rsidRPr="009F43A6">
        <w:rPr>
          <w:rFonts w:asciiTheme="majorBidi" w:hAnsiTheme="majorBidi" w:cstheme="majorBidi"/>
        </w:rPr>
        <w:t>e, dan reorientasi eksistensial umat terhadap Allah yang berdaulat</w:t>
      </w:r>
      <w:r w:rsidR="00660ABD" w:rsidRPr="00BE5DA8">
        <w:rPr>
          <w:rFonts w:asciiTheme="majorBidi" w:hAnsiTheme="majorBidi" w:cstheme="majorBidi"/>
        </w:rPr>
        <w:t>.</w:t>
      </w:r>
      <w:r w:rsidR="00660ABD" w:rsidRPr="00BE5DA8">
        <w:rPr>
          <w:rStyle w:val="ReferensiCatatanKaki"/>
          <w:rFonts w:asciiTheme="majorBidi" w:hAnsiTheme="majorBidi" w:cstheme="majorBidi"/>
        </w:rPr>
        <w:footnoteReference w:id="43"/>
      </w:r>
      <w:r w:rsidR="00660ABD" w:rsidRPr="00BE5DA8">
        <w:rPr>
          <w:rFonts w:asciiTheme="majorBidi" w:hAnsiTheme="majorBidi" w:cstheme="majorBidi"/>
        </w:rPr>
        <w:t xml:space="preserve"> </w:t>
      </w:r>
      <w:r w:rsidRPr="009F43A6">
        <w:rPr>
          <w:rFonts w:asciiTheme="majorBidi" w:hAnsiTheme="majorBidi" w:cstheme="majorBidi"/>
        </w:rPr>
        <w:t>Gordon J. Wenham dalam komentarnya terhadap kitab Imamat menjelaskan bahwa berbagai jenis persembahan</w:t>
      </w:r>
      <w:r w:rsidR="00660ABD" w:rsidRPr="00BE5DA8">
        <w:rPr>
          <w:rFonts w:asciiTheme="majorBidi" w:hAnsiTheme="majorBidi" w:cstheme="majorBidi"/>
        </w:rPr>
        <w:t xml:space="preserve"> </w:t>
      </w:r>
      <w:r w:rsidRPr="009F43A6">
        <w:rPr>
          <w:rFonts w:asciiTheme="majorBidi" w:hAnsiTheme="majorBidi" w:cstheme="majorBidi"/>
        </w:rPr>
        <w:t>korban bakaran (</w:t>
      </w:r>
      <w:r w:rsidRPr="009F43A6">
        <w:rPr>
          <w:rFonts w:asciiTheme="majorBidi" w:hAnsiTheme="majorBidi" w:cstheme="majorBidi"/>
          <w:i/>
          <w:iCs/>
        </w:rPr>
        <w:t>olah</w:t>
      </w:r>
      <w:r w:rsidRPr="009F43A6">
        <w:rPr>
          <w:rFonts w:asciiTheme="majorBidi" w:hAnsiTheme="majorBidi" w:cstheme="majorBidi"/>
        </w:rPr>
        <w:t>), korban sajian (</w:t>
      </w:r>
      <w:r w:rsidRPr="009F43A6">
        <w:rPr>
          <w:rFonts w:asciiTheme="majorBidi" w:hAnsiTheme="majorBidi" w:cstheme="majorBidi"/>
          <w:i/>
          <w:iCs/>
        </w:rPr>
        <w:t>minchah</w:t>
      </w:r>
      <w:r w:rsidRPr="009F43A6">
        <w:rPr>
          <w:rFonts w:asciiTheme="majorBidi" w:hAnsiTheme="majorBidi" w:cstheme="majorBidi"/>
        </w:rPr>
        <w:t>), korban keselamatan (</w:t>
      </w:r>
      <w:r w:rsidRPr="009F43A6">
        <w:rPr>
          <w:rFonts w:asciiTheme="majorBidi" w:hAnsiTheme="majorBidi" w:cstheme="majorBidi"/>
          <w:i/>
          <w:iCs/>
        </w:rPr>
        <w:t>shelamim</w:t>
      </w:r>
      <w:r w:rsidRPr="009F43A6">
        <w:rPr>
          <w:rFonts w:asciiTheme="majorBidi" w:hAnsiTheme="majorBidi" w:cstheme="majorBidi"/>
        </w:rPr>
        <w:t>), korban penghapus dosa (</w:t>
      </w:r>
      <w:r w:rsidRPr="009F43A6">
        <w:rPr>
          <w:rFonts w:asciiTheme="majorBidi" w:hAnsiTheme="majorBidi" w:cstheme="majorBidi"/>
          <w:i/>
          <w:iCs/>
        </w:rPr>
        <w:t>chattat</w:t>
      </w:r>
      <w:r w:rsidRPr="009F43A6">
        <w:rPr>
          <w:rFonts w:asciiTheme="majorBidi" w:hAnsiTheme="majorBidi" w:cstheme="majorBidi"/>
        </w:rPr>
        <w:t>), dan korban penebus salah (</w:t>
      </w:r>
      <w:r w:rsidRPr="009F43A6">
        <w:rPr>
          <w:rFonts w:asciiTheme="majorBidi" w:hAnsiTheme="majorBidi" w:cstheme="majorBidi"/>
          <w:i/>
          <w:iCs/>
        </w:rPr>
        <w:t>asham</w:t>
      </w:r>
      <w:r w:rsidRPr="009F43A6">
        <w:rPr>
          <w:rFonts w:asciiTheme="majorBidi" w:hAnsiTheme="majorBidi" w:cstheme="majorBidi"/>
        </w:rPr>
        <w:t>)</w:t>
      </w:r>
      <w:r w:rsidR="00660ABD" w:rsidRPr="00BE5DA8">
        <w:rPr>
          <w:rFonts w:asciiTheme="majorBidi" w:hAnsiTheme="majorBidi" w:cstheme="majorBidi"/>
        </w:rPr>
        <w:t xml:space="preserve"> </w:t>
      </w:r>
      <w:r w:rsidRPr="009F43A6">
        <w:rPr>
          <w:rFonts w:asciiTheme="majorBidi" w:hAnsiTheme="majorBidi" w:cstheme="majorBidi"/>
        </w:rPr>
        <w:t xml:space="preserve">masing-masing memiliki fungsi teologis yang spesifik dalam </w:t>
      </w:r>
      <w:r w:rsidRPr="009F43A6">
        <w:rPr>
          <w:rFonts w:asciiTheme="majorBidi" w:hAnsiTheme="majorBidi" w:cstheme="majorBidi"/>
        </w:rPr>
        <w:lastRenderedPageBreak/>
        <w:t>memfasilitasi dan memulihkan hubungan antara Allah dan umat-Nya.</w:t>
      </w:r>
      <w:r w:rsidR="00660ABD" w:rsidRPr="00BE5DA8">
        <w:rPr>
          <w:rStyle w:val="ReferensiCatatanKaki"/>
          <w:rFonts w:asciiTheme="majorBidi" w:hAnsiTheme="majorBidi" w:cstheme="majorBidi"/>
        </w:rPr>
        <w:footnoteReference w:id="44"/>
      </w:r>
      <w:r w:rsidRPr="009F43A6">
        <w:rPr>
          <w:rFonts w:asciiTheme="majorBidi" w:hAnsiTheme="majorBidi" w:cstheme="majorBidi"/>
        </w:rPr>
        <w:t xml:space="preserve"> Sistem persembahan ini bukanlah mekanisme otomatis yang menjamin pengampunan, melainkan ekspresi simbolis dari transformasi internal yang harus terjadi dalam hati penyembah.</w:t>
      </w:r>
    </w:p>
    <w:p w14:paraId="01158659" w14:textId="521FBC69" w:rsidR="009F43A6" w:rsidRPr="00BE5DA8" w:rsidRDefault="009F43A6" w:rsidP="00BE5DA8">
      <w:pPr>
        <w:spacing w:line="360" w:lineRule="auto"/>
        <w:ind w:firstLine="720"/>
        <w:jc w:val="both"/>
        <w:rPr>
          <w:rFonts w:asciiTheme="majorBidi" w:hAnsiTheme="majorBidi" w:cstheme="majorBidi"/>
        </w:rPr>
      </w:pPr>
      <w:r w:rsidRPr="009F43A6">
        <w:rPr>
          <w:rFonts w:asciiTheme="majorBidi" w:hAnsiTheme="majorBidi" w:cstheme="majorBidi"/>
        </w:rPr>
        <w:t>Walter Brueggemann menegaskan bahwa kritik profetik terhadap sistem persembahan yang formalistik mencerminkan tension teologis yang fundamental: antara ritual eksternal dan disposisi internal, antara tindakan liturgis dan kehidupan etis</w:t>
      </w:r>
      <w:r w:rsidR="00660ABD" w:rsidRPr="00BE5DA8">
        <w:rPr>
          <w:rFonts w:asciiTheme="majorBidi" w:hAnsiTheme="majorBidi" w:cstheme="majorBidi"/>
        </w:rPr>
        <w:t>.</w:t>
      </w:r>
      <w:r w:rsidR="00660ABD" w:rsidRPr="00BE5DA8">
        <w:rPr>
          <w:rStyle w:val="ReferensiCatatanKaki"/>
          <w:rFonts w:asciiTheme="majorBidi" w:hAnsiTheme="majorBidi" w:cstheme="majorBidi"/>
        </w:rPr>
        <w:footnoteReference w:id="45"/>
      </w:r>
      <w:r w:rsidRPr="009F43A6">
        <w:rPr>
          <w:rFonts w:asciiTheme="majorBidi" w:hAnsiTheme="majorBidi" w:cstheme="majorBidi"/>
        </w:rPr>
        <w:t xml:space="preserve"> Para nabi tidak menolak sistem persembahan itu sendiri, melainkan menolak praktik persembahan yang terpisah dari keadilan sosial dan integritas moral. Persembahan yang autentik harus mengalir dari hati yang taat dan kehidupan yang mencerminkan karakter Allah</w:t>
      </w:r>
      <w:r w:rsidR="00660ABD" w:rsidRPr="00BE5DA8">
        <w:rPr>
          <w:rFonts w:asciiTheme="majorBidi" w:hAnsiTheme="majorBidi" w:cstheme="majorBidi"/>
        </w:rPr>
        <w:t xml:space="preserve"> </w:t>
      </w:r>
      <w:r w:rsidRPr="009F43A6">
        <w:rPr>
          <w:rFonts w:asciiTheme="majorBidi" w:hAnsiTheme="majorBidi" w:cstheme="majorBidi"/>
        </w:rPr>
        <w:t>penuh belas kasihan, keadilan, dan kerendahan hati.</w:t>
      </w:r>
      <w:r w:rsidR="00660ABD" w:rsidRPr="00BE5DA8">
        <w:rPr>
          <w:rFonts w:asciiTheme="majorBidi" w:hAnsiTheme="majorBidi" w:cstheme="majorBidi"/>
        </w:rPr>
        <w:t xml:space="preserve"> </w:t>
      </w:r>
      <w:r w:rsidRPr="009F43A6">
        <w:rPr>
          <w:rFonts w:asciiTheme="majorBidi" w:hAnsiTheme="majorBidi" w:cstheme="majorBidi"/>
        </w:rPr>
        <w:t>Dengan demikian, praktik membawa persembahan ke Bait Suci bukan sekadar kewajiban ritualistik, melainkan moment sakramental di mana umat mengekspresikan dan menegaskan kembali komitmen covenant mereka. Persembahan adalah respons yang appropriate terhadap pemberian Allah yang mendahului dan melampaui segala yang dapat diberikan manusia</w:t>
      </w:r>
      <w:r w:rsidR="00660ABD" w:rsidRPr="00BE5DA8">
        <w:rPr>
          <w:rFonts w:asciiTheme="majorBidi" w:hAnsiTheme="majorBidi" w:cstheme="majorBidi"/>
        </w:rPr>
        <w:t xml:space="preserve"> </w:t>
      </w:r>
      <w:r w:rsidRPr="009F43A6">
        <w:rPr>
          <w:rFonts w:asciiTheme="majorBidi" w:hAnsiTheme="majorBidi" w:cstheme="majorBidi"/>
        </w:rPr>
        <w:t xml:space="preserve">sebuah pengakuan bahwa segala yang mereka miliki sesungguhnya berasal dari Allah dan dikembalikan kepada-Nya sebagai tanda ketundukan dan </w:t>
      </w:r>
      <w:r w:rsidR="00660ABD" w:rsidRPr="00BE5DA8">
        <w:rPr>
          <w:rFonts w:asciiTheme="majorBidi" w:hAnsiTheme="majorBidi" w:cstheme="majorBidi"/>
        </w:rPr>
        <w:t>Syukur.</w:t>
      </w:r>
    </w:p>
    <w:p w14:paraId="3553B364" w14:textId="77777777" w:rsidR="00B632B6" w:rsidRDefault="00B632B6" w:rsidP="00B632B6">
      <w:pPr>
        <w:spacing w:line="360" w:lineRule="auto"/>
        <w:ind w:firstLine="720"/>
        <w:jc w:val="both"/>
        <w:rPr>
          <w:rFonts w:asciiTheme="majorBidi" w:hAnsiTheme="majorBidi" w:cstheme="majorBidi"/>
        </w:rPr>
      </w:pPr>
      <w:r w:rsidRPr="00B632B6">
        <w:rPr>
          <w:rFonts w:asciiTheme="majorBidi" w:hAnsiTheme="majorBidi" w:cstheme="majorBidi"/>
        </w:rPr>
        <w:t xml:space="preserve">Dalam tradisi Israel, ibadah tidak dilakukan semata karena paksaan hukum atau ketakutan akan sanksi, melainkan lahir dari kesadaran dan kerelaan hati yang tulus. Doa menjadi unsur utama, dipanjatkan dari berbagai tempat tetapi terpusat di Bait Suci Yerusalem sebagai titik perjumpaan dengan Allah, sebagaimana tercermin dalam doa Salomo pada saat pentahbisan Bait Suci (1Raj. 8:27–53). Bait itu sendiri kelak digambarkan sebagai rumah doa bagi segala bangsa (Yes. 56:7; Mat. 21:13). Doa-doa umat sering muncul dari pengalaman penderitaan dan kesulitan, menjadikan situasi konkret sebagai motivasi untuk mencari pertolongan Allah. Ibadah kadang disertai dengan postur tubuh, tindakan simbolis, dan prosesi khusus, serta diungkapkan baik secara personal maupun komunal. Dalam hal ini, ibadah Israel memperlihatkan ciri khas voluntarisme yang membedakannya dari kultus-kultus Timur Dekat kuno: relasi mereka dengan Allah dipahami bukan sekadar kontrak legal, tetapi sebagai hubungan perjanjian yang hidup dan dinamis. Selain doa permohonan, ibadah di Bait Suci juga mencakup ucapan syukur atas karya Allah—penyembuhan, pembebasan, atau keselamatan yang dialami umat. Ucapan syukur yang bersifat personal ini tidak berhenti pada pengalaman individu, melainkan dihadirkan di </w:t>
      </w:r>
      <w:r w:rsidRPr="00B632B6">
        <w:rPr>
          <w:rFonts w:asciiTheme="majorBidi" w:hAnsiTheme="majorBidi" w:cstheme="majorBidi"/>
        </w:rPr>
        <w:lastRenderedPageBreak/>
        <w:t>tengah jemaat melalui korban syukur dan kesaksian komunal, sehingga berfungsi memperkuat iman serta membangun spiritualitas bersama. Dengan demikian, ibadah Israel memperlihatkan keseimbangan antara ritual yang teratur dengan spontanitas devosi pribadi, serta antara dimensi individu dan komunitas, sehingga seluruh aspek kehidupan manusia terlibat dalam respons iman kepada Allah yang hidup.</w:t>
      </w:r>
    </w:p>
    <w:p w14:paraId="452A7F12" w14:textId="32A7A801" w:rsidR="00486D66" w:rsidRPr="00486D66" w:rsidRDefault="00486D66" w:rsidP="00FA125F">
      <w:pPr>
        <w:spacing w:line="360" w:lineRule="auto"/>
        <w:ind w:firstLine="720"/>
        <w:jc w:val="both"/>
        <w:rPr>
          <w:rFonts w:asciiTheme="majorBidi" w:hAnsiTheme="majorBidi" w:cstheme="majorBidi"/>
        </w:rPr>
      </w:pPr>
      <w:r w:rsidRPr="00486D66">
        <w:rPr>
          <w:rFonts w:asciiTheme="majorBidi" w:hAnsiTheme="majorBidi" w:cstheme="majorBidi"/>
        </w:rPr>
        <w:t>Pengucapan syukur kepada Allah terdiri dari dua dimensi yang tak terpisahkan: ekspresi verbal yang singkat dan tindakan konkret berupa persembahan korban syukur. Kedua aspek ini</w:t>
      </w:r>
      <w:r w:rsidRPr="00BE5DA8">
        <w:rPr>
          <w:rFonts w:asciiTheme="majorBidi" w:hAnsiTheme="majorBidi" w:cstheme="majorBidi"/>
        </w:rPr>
        <w:t xml:space="preserve"> </w:t>
      </w:r>
      <w:r w:rsidRPr="00486D66">
        <w:rPr>
          <w:rFonts w:asciiTheme="majorBidi" w:hAnsiTheme="majorBidi" w:cstheme="majorBidi"/>
        </w:rPr>
        <w:t>ucapan lidah dan perbuatan tangan</w:t>
      </w:r>
      <w:r w:rsidRPr="00BE5DA8">
        <w:rPr>
          <w:rFonts w:asciiTheme="majorBidi" w:hAnsiTheme="majorBidi" w:cstheme="majorBidi"/>
        </w:rPr>
        <w:t xml:space="preserve"> </w:t>
      </w:r>
      <w:r w:rsidRPr="00486D66">
        <w:rPr>
          <w:rFonts w:asciiTheme="majorBidi" w:hAnsiTheme="majorBidi" w:cstheme="majorBidi"/>
        </w:rPr>
        <w:t xml:space="preserve">harus ada secara bersamaan, dan persembahan tersebut baru menjadi lengkap ketika pemberi menyatakan maksud pemberiannya dengan jelas. </w:t>
      </w:r>
      <w:r w:rsidR="00FA125F" w:rsidRPr="00FA125F">
        <w:rPr>
          <w:rFonts w:asciiTheme="majorBidi" w:hAnsiTheme="majorBidi" w:cstheme="majorBidi"/>
        </w:rPr>
        <w:t>Tradisi korban syukur memang memiliki tempat penting dalam ibadah Israel, namun praktik ini tidak selalu dianggap cukup untuk mengekspresikan penghargaan yang layak atas kebaikan Allah. Beberapa pemazmur menunjukkan kesadaran bahwa tradisi turun-temurun tersebut tidak bersifat mutlak, sebab ungkapan syukur sejati kadang justru diwujudkan melalui pengabdian hidup yang tulus. Inti ibadah bukan sekadar mempersembahkan korban secara lahiriah, melainkan kesediaan untuk hidup benar di hadapan Allah. Hal ini sejalan dengan seruan Mazmur 50:23: “Siapa yang mempersembahkan syukur sebagai korban, ia memuliakan Allah; siapa yang jujur jalannya, keselamatan akan diperlihatkan kepadanya,” yang menegaskan bahwa kejujuran dan integritas hidup merupakan persembahan syukur yang paling hakiki.</w:t>
      </w:r>
      <w:r w:rsidRPr="00BE5DA8">
        <w:rPr>
          <w:rStyle w:val="ReferensiCatatanKaki"/>
          <w:rFonts w:asciiTheme="majorBidi" w:hAnsiTheme="majorBidi" w:cstheme="majorBidi"/>
        </w:rPr>
        <w:footnoteReference w:id="46"/>
      </w:r>
    </w:p>
    <w:p w14:paraId="7A438CEF" w14:textId="0DE12842" w:rsidR="000D0F7B" w:rsidRDefault="001D1E44" w:rsidP="0029549B">
      <w:pPr>
        <w:tabs>
          <w:tab w:val="left" w:pos="284"/>
        </w:tabs>
        <w:spacing w:line="360" w:lineRule="auto"/>
        <w:jc w:val="both"/>
        <w:rPr>
          <w:rFonts w:asciiTheme="majorBidi" w:hAnsiTheme="majorBidi" w:cstheme="majorBidi"/>
        </w:rPr>
      </w:pPr>
      <w:r>
        <w:rPr>
          <w:rFonts w:asciiTheme="majorBidi" w:hAnsiTheme="majorBidi" w:cstheme="majorBidi"/>
        </w:rPr>
        <w:tab/>
      </w:r>
      <w:r>
        <w:rPr>
          <w:rFonts w:asciiTheme="majorBidi" w:hAnsiTheme="majorBidi" w:cstheme="majorBidi"/>
        </w:rPr>
        <w:tab/>
      </w:r>
      <w:r w:rsidR="0029549B" w:rsidRPr="0029549B">
        <w:rPr>
          <w:rFonts w:asciiTheme="majorBidi" w:hAnsiTheme="majorBidi" w:cstheme="majorBidi"/>
        </w:rPr>
        <w:t xml:space="preserve">Aspek penting lain dari ibadah di Bait Suci adalah pujian yang dinaikkan sebagai respons terhadap panggilan Allah untuk berkumpul, memuliakan nama-Nya, dan mewartakan kebesaran-Nya sebagai kabar sukacita bagi segala makhluk. Pujian ini tidak hanya mengajak umat Israel, tetapi juga mengundang seluruh ciptaan untuk turut serta merasakan kebaikan Allah, sebab di dalam pujian tersimpan rahasia kebahagiaan manusia. Selain sebagai pusat pujian, Bait Suci juga berfungsi sebagai ruang penegakan keadilan, tempat orang-orang yang tertindas dapat berseru kepada Allah untuk memohon pembelaan dan pembuktian kebenaran (1Raj. 8:31). Hal ini menunjukkan bahwa keadilan merupakan dimensi fundamental dalam teologi Perjanjian Lama, karena Allah yang adil menghendaki umat-Nya hidup dalam keadilan. Lebih dari itu, Bait Suci menjadi tempat pengakuan dosa kolektif, khususnya ketika umat mengalami kekalahan sebagai tanda murka Allah. Doa Salomo dalam 1 Raja-raja 8:34 menegaskan peran Bait Suci sebagai pusat pengampunan </w:t>
      </w:r>
      <w:r w:rsidR="0029549B" w:rsidRPr="0029549B">
        <w:rPr>
          <w:rFonts w:asciiTheme="majorBidi" w:hAnsiTheme="majorBidi" w:cstheme="majorBidi"/>
        </w:rPr>
        <w:lastRenderedPageBreak/>
        <w:t>dan pemulihan, di mana umat memohon belas kasih Allah agar dipulihkan kembali ke tanah yang telah dijanjikan kepada nenek moyang mereka.</w:t>
      </w:r>
    </w:p>
    <w:p w14:paraId="1E8D9BD8" w14:textId="02E0C083" w:rsidR="006E65F0" w:rsidRPr="006E65F0" w:rsidRDefault="006E65F0" w:rsidP="0029549B">
      <w:pPr>
        <w:tabs>
          <w:tab w:val="left" w:pos="284"/>
        </w:tabs>
        <w:spacing w:line="360" w:lineRule="auto"/>
        <w:jc w:val="both"/>
        <w:rPr>
          <w:rFonts w:asciiTheme="majorBidi" w:hAnsiTheme="majorBidi" w:cstheme="majorBidi"/>
          <w:b/>
          <w:bCs/>
        </w:rPr>
      </w:pPr>
      <w:commentRangeStart w:id="4"/>
      <w:r w:rsidRPr="006E65F0">
        <w:rPr>
          <w:rFonts w:asciiTheme="majorBidi" w:hAnsiTheme="majorBidi" w:cstheme="majorBidi"/>
          <w:b/>
          <w:bCs/>
        </w:rPr>
        <w:t>Implikasi</w:t>
      </w:r>
      <w:commentRangeEnd w:id="4"/>
      <w:r w:rsidRPr="006E65F0">
        <w:rPr>
          <w:rStyle w:val="ReferensiKomentar"/>
          <w:rFonts w:asciiTheme="majorBidi" w:hAnsiTheme="majorBidi" w:cstheme="majorBidi"/>
          <w:b/>
          <w:bCs/>
          <w:sz w:val="24"/>
          <w:szCs w:val="24"/>
        </w:rPr>
        <w:commentReference w:id="4"/>
      </w:r>
    </w:p>
    <w:p w14:paraId="175BC56E" w14:textId="77777777" w:rsidR="0029549B" w:rsidRDefault="0029549B" w:rsidP="0029549B">
      <w:pPr>
        <w:tabs>
          <w:tab w:val="left" w:pos="284"/>
        </w:tabs>
        <w:spacing w:line="360" w:lineRule="auto"/>
        <w:jc w:val="both"/>
        <w:rPr>
          <w:rFonts w:asciiTheme="majorBidi" w:hAnsiTheme="majorBidi" w:cstheme="majorBidi"/>
          <w:b/>
        </w:rPr>
      </w:pPr>
    </w:p>
    <w:p w14:paraId="1B7C2636" w14:textId="0EBCC0F7" w:rsidR="00C30472" w:rsidRPr="00BE5DA8" w:rsidRDefault="00287189" w:rsidP="00BE5DA8">
      <w:pPr>
        <w:tabs>
          <w:tab w:val="left" w:pos="284"/>
        </w:tabs>
        <w:spacing w:line="360" w:lineRule="auto"/>
        <w:jc w:val="both"/>
        <w:rPr>
          <w:rFonts w:asciiTheme="majorBidi" w:hAnsiTheme="majorBidi" w:cstheme="majorBidi"/>
          <w:b/>
        </w:rPr>
      </w:pPr>
      <w:r w:rsidRPr="00BE5DA8">
        <w:rPr>
          <w:rFonts w:asciiTheme="majorBidi" w:hAnsiTheme="majorBidi" w:cstheme="majorBidi"/>
          <w:b/>
        </w:rPr>
        <w:t>KESIMPULAN</w:t>
      </w:r>
    </w:p>
    <w:p w14:paraId="6B0253AA" w14:textId="52662D7D" w:rsidR="005D7D2D" w:rsidRPr="005D7D2D" w:rsidRDefault="00287189" w:rsidP="0014273A">
      <w:pPr>
        <w:tabs>
          <w:tab w:val="left" w:pos="284"/>
        </w:tabs>
        <w:spacing w:line="360" w:lineRule="auto"/>
        <w:jc w:val="both"/>
        <w:rPr>
          <w:rFonts w:asciiTheme="majorBidi" w:hAnsiTheme="majorBidi" w:cstheme="majorBidi"/>
        </w:rPr>
      </w:pPr>
      <w:r w:rsidRPr="00BE5DA8">
        <w:rPr>
          <w:rFonts w:asciiTheme="majorBidi" w:hAnsiTheme="majorBidi" w:cstheme="majorBidi"/>
        </w:rPr>
        <w:tab/>
      </w:r>
      <w:r w:rsidRPr="00BE5DA8">
        <w:rPr>
          <w:rFonts w:asciiTheme="majorBidi" w:hAnsiTheme="majorBidi" w:cstheme="majorBidi"/>
        </w:rPr>
        <w:tab/>
      </w:r>
      <w:commentRangeStart w:id="5"/>
      <w:r w:rsidR="0014273A" w:rsidRPr="0014273A">
        <w:rPr>
          <w:rFonts w:asciiTheme="majorBidi" w:hAnsiTheme="majorBidi" w:cstheme="majorBidi"/>
        </w:rPr>
        <w:t>Bait Suci di Yerusalem tidak berdiri terlepas dari sejarah religius Israel, melainkan memiliki kesinambungan dengan mezbah leluhur, Kemah Pertemuan zaman Musa, serta Tabut Perjanjian. Walau dibangun oleh Salomo, gagasan dasarnya berakar pada Daud. Secara teologis, Bait Suci dipahami sebagai ruang kudus kehadiran Allah, sumber pertolongan, keselamatan, dan kemenangan umat. Namun, kehadiran Allah di dalamnya tidak berarti Ia terbatas pada bangunan fisik, sebab Allah yang Mahahadir melampaui ruang dan waktu. Kehancuran Bait Suci oleh Babel dan pembangunan kembali oleh Zerubabel memperkaya pemaknaan teologisnya, meski tetap mempertahankan hakikatnya sebagai pusat kehadiran Allah. Karena itu, Bait Suci menjadi pusat ibadah, tempat Israel menaikkan pujian, syukur, dan persembahan sebagai respons atas karya penyelamatan Allah. Dengan demikian, Bait Suci berfungsi sebagai pusat perjumpaan ilahi sekaligus pusat penyembahan komunal yang membentuk identitas teologis Israel sebagai umat perjanjian.</w:t>
      </w:r>
      <w:r w:rsidR="005D7D2D" w:rsidRPr="00BE5DA8">
        <w:rPr>
          <w:rFonts w:asciiTheme="majorBidi" w:hAnsiTheme="majorBidi" w:cstheme="majorBidi"/>
        </w:rPr>
        <w:tab/>
      </w:r>
      <w:r w:rsidR="005D7D2D" w:rsidRPr="00BE5DA8">
        <w:rPr>
          <w:rFonts w:asciiTheme="majorBidi" w:hAnsiTheme="majorBidi" w:cstheme="majorBidi"/>
        </w:rPr>
        <w:tab/>
      </w:r>
      <w:r w:rsidR="005D7D2D" w:rsidRPr="005D7D2D">
        <w:rPr>
          <w:rFonts w:asciiTheme="majorBidi" w:hAnsiTheme="majorBidi" w:cstheme="majorBidi"/>
        </w:rPr>
        <w:t>Penelitian ini memberikan kontribusi penting dalam memahami bagaimana konsep Bait Suci berkembang dalam tradisi teologis Israel, dari tempat kediaman Allah yang literal menuju pemahaman yang lebih spiritual tentang kehadiran Allah yang tidak terbatas oleh ruang fisik. Pemahaman ini memiliki implikasi signifikan bagi teologi ibadah kontemporer, di mana komunitas iman masa kini dapat belajar tentang keseimbangan antara pentingnya ruang sakral fisik dan pengakuan akan transendensi Allah yang melampaui segala batasan. Penelitian lebih lanjut dapat mengeksplorasi bagaimana konsep Bait Suci dalam Perjanjian Lama mempengaruhi teologi Perjanjian Baru tentang gereja sebagai bait Allah yang hidup, serta relevansinya bagi praktik eklesial dan liturgi dalam konteks gereja kontemporer.</w:t>
      </w:r>
      <w:commentRangeEnd w:id="5"/>
      <w:r w:rsidR="006E65F0" w:rsidRPr="005D7D2D">
        <w:rPr>
          <w:rStyle w:val="ReferensiKomentar"/>
          <w:rFonts w:asciiTheme="majorBidi" w:hAnsiTheme="majorBidi" w:cstheme="majorBidi"/>
          <w:sz w:val="24"/>
          <w:szCs w:val="24"/>
        </w:rPr>
        <w:commentReference w:id="5"/>
      </w:r>
    </w:p>
    <w:p w14:paraId="04D2B532" w14:textId="53509C04" w:rsidR="00C30472" w:rsidRDefault="00C30472">
      <w:pPr>
        <w:tabs>
          <w:tab w:val="left" w:pos="284"/>
        </w:tabs>
        <w:jc w:val="both"/>
        <w:sectPr w:rsidR="00C30472">
          <w:type w:val="continuous"/>
          <w:pgSz w:w="11906" w:h="16838"/>
          <w:pgMar w:top="1418" w:right="1418" w:bottom="1418" w:left="1701" w:header="708" w:footer="708" w:gutter="0"/>
          <w:cols w:space="720"/>
        </w:sectPr>
      </w:pPr>
    </w:p>
    <w:p w14:paraId="227DEEE5" w14:textId="77777777" w:rsidR="00C30472" w:rsidRDefault="00C30472">
      <w:pPr>
        <w:rPr>
          <w:b/>
        </w:rPr>
      </w:pPr>
    </w:p>
    <w:p w14:paraId="544295B7" w14:textId="77777777" w:rsidR="00C30472" w:rsidRDefault="00287189">
      <w:pPr>
        <w:rPr>
          <w:b/>
        </w:rPr>
      </w:pPr>
      <w:r>
        <w:rPr>
          <w:b/>
        </w:rPr>
        <w:t xml:space="preserve">DAFTAR PUSTAKA </w:t>
      </w:r>
    </w:p>
    <w:p w14:paraId="05CBAF8F" w14:textId="4A4F31BF" w:rsidR="00D762E5" w:rsidRPr="00D762E5" w:rsidRDefault="005D7D2D" w:rsidP="00D762E5">
      <w:pPr>
        <w:widowControl w:val="0"/>
        <w:autoSpaceDE w:val="0"/>
        <w:autoSpaceDN w:val="0"/>
        <w:adjustRightInd w:val="0"/>
        <w:ind w:left="480" w:hanging="480"/>
        <w:rPr>
          <w:noProof/>
        </w:rPr>
      </w:pPr>
      <w:r>
        <w:fldChar w:fldCharType="begin" w:fldLock="1"/>
      </w:r>
      <w:r>
        <w:instrText xml:space="preserve">ADDIN Mendeley Bibliography CSL_BIBLIOGRAPHY </w:instrText>
      </w:r>
      <w:r>
        <w:fldChar w:fldCharType="separate"/>
      </w:r>
      <w:r w:rsidR="00D762E5" w:rsidRPr="00D762E5">
        <w:rPr>
          <w:noProof/>
        </w:rPr>
        <w:t xml:space="preserve">Baden, Maggi Savin, and John Reader. </w:t>
      </w:r>
      <w:r w:rsidR="00D762E5" w:rsidRPr="00D762E5">
        <w:rPr>
          <w:i/>
          <w:iCs/>
          <w:noProof/>
        </w:rPr>
        <w:t>Postdigital Theologies</w:t>
      </w:r>
      <w:r w:rsidR="00D762E5" w:rsidRPr="00D762E5">
        <w:rPr>
          <w:noProof/>
        </w:rPr>
        <w:t>. 1st ed. Switzerland: Springer Cham, 2022. https://doi.org/https://doi.org/10.1007/978-3-031-09405-7.</w:t>
      </w:r>
    </w:p>
    <w:p w14:paraId="721AAA9B"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Bakker, F. L. </w:t>
      </w:r>
      <w:r w:rsidRPr="00D762E5">
        <w:rPr>
          <w:i/>
          <w:iCs/>
          <w:noProof/>
        </w:rPr>
        <w:t>Sejarah Kerajaan Allah 1 Perjanjian Lama</w:t>
      </w:r>
      <w:r w:rsidRPr="00D762E5">
        <w:rPr>
          <w:noProof/>
        </w:rPr>
        <w:t>. Jakarta: BPK. Gunung Mulia, 2000.</w:t>
      </w:r>
    </w:p>
    <w:p w14:paraId="040FFC37"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Barth, C. </w:t>
      </w:r>
      <w:r w:rsidRPr="00D762E5">
        <w:rPr>
          <w:i/>
          <w:iCs/>
          <w:noProof/>
        </w:rPr>
        <w:t>Theologia Perjanjian Lama 3</w:t>
      </w:r>
      <w:r w:rsidRPr="00D762E5">
        <w:rPr>
          <w:noProof/>
        </w:rPr>
        <w:t>. Jakarta: BPK Gunung Mulia, 2005.</w:t>
      </w:r>
    </w:p>
    <w:p w14:paraId="744B7FDA" w14:textId="77777777" w:rsidR="00D762E5" w:rsidRPr="00D762E5" w:rsidRDefault="00D762E5" w:rsidP="00D762E5">
      <w:pPr>
        <w:widowControl w:val="0"/>
        <w:autoSpaceDE w:val="0"/>
        <w:autoSpaceDN w:val="0"/>
        <w:adjustRightInd w:val="0"/>
        <w:ind w:left="480" w:hanging="480"/>
        <w:rPr>
          <w:noProof/>
        </w:rPr>
      </w:pPr>
      <w:r w:rsidRPr="00D762E5">
        <w:rPr>
          <w:noProof/>
        </w:rPr>
        <w:t>Barton, John, and John Muddiman. “The Oxford Bible Commentary: The Pentateuch,” 2010, 230.</w:t>
      </w:r>
    </w:p>
    <w:p w14:paraId="0F74BF0A"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Brueggemann, Walter. </w:t>
      </w:r>
      <w:r w:rsidRPr="00D762E5">
        <w:rPr>
          <w:i/>
          <w:iCs/>
          <w:noProof/>
        </w:rPr>
        <w:t>Old Testament Theology</w:t>
      </w:r>
      <w:r w:rsidRPr="00D762E5">
        <w:rPr>
          <w:noProof/>
        </w:rPr>
        <w:t xml:space="preserve">. </w:t>
      </w:r>
      <w:r w:rsidRPr="00D762E5">
        <w:rPr>
          <w:i/>
          <w:iCs/>
          <w:noProof/>
        </w:rPr>
        <w:t>The Oxford Handbook of Biblical Studies</w:t>
      </w:r>
      <w:r w:rsidRPr="00D762E5">
        <w:rPr>
          <w:noProof/>
        </w:rPr>
        <w:t>. Pers InterVarsity, 2009. https://doi.org/10.1093/oxfordhb/9780199237777.003.0038.</w:t>
      </w:r>
    </w:p>
    <w:p w14:paraId="0CD1AB64"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Brueggemann, Walter, and Samuel Terrien. </w:t>
      </w:r>
      <w:r w:rsidRPr="00D762E5">
        <w:rPr>
          <w:i/>
          <w:iCs/>
          <w:noProof/>
        </w:rPr>
        <w:t>The Elusive Presence: Toward a New Biblical Theology</w:t>
      </w:r>
      <w:r w:rsidRPr="00D762E5">
        <w:rPr>
          <w:noProof/>
        </w:rPr>
        <w:t xml:space="preserve">. </w:t>
      </w:r>
      <w:r w:rsidRPr="00D762E5">
        <w:rPr>
          <w:i/>
          <w:iCs/>
          <w:noProof/>
        </w:rPr>
        <w:t>Journal of Biblical Literature</w:t>
      </w:r>
      <w:r w:rsidRPr="00D762E5">
        <w:rPr>
          <w:noProof/>
        </w:rPr>
        <w:t>. Vol. 99. wipfstock pub, 1980. https://doi.org/10.2307/3265819.</w:t>
      </w:r>
    </w:p>
    <w:p w14:paraId="62A8DD1D"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Cresswell, John W., and J. David Creswell. </w:t>
      </w:r>
      <w:r w:rsidRPr="00D762E5">
        <w:rPr>
          <w:i/>
          <w:iCs/>
          <w:noProof/>
        </w:rPr>
        <w:t>Research Design: Qualitative, Quantitative, and Mixed Method Approaches</w:t>
      </w:r>
      <w:r w:rsidRPr="00D762E5">
        <w:rPr>
          <w:noProof/>
        </w:rPr>
        <w:t xml:space="preserve">. </w:t>
      </w:r>
      <w:r w:rsidRPr="00D762E5">
        <w:rPr>
          <w:i/>
          <w:iCs/>
          <w:noProof/>
        </w:rPr>
        <w:t>Journal of Chemical Information and Modeling</w:t>
      </w:r>
      <w:r w:rsidRPr="00D762E5">
        <w:rPr>
          <w:noProof/>
        </w:rPr>
        <w:t>. 5th ed. Vol. 53. Los Angeles: SAGE Publications, 2018.</w:t>
      </w:r>
    </w:p>
    <w:p w14:paraId="03378DD0" w14:textId="77777777" w:rsidR="00D762E5" w:rsidRPr="00D762E5" w:rsidRDefault="00D762E5" w:rsidP="00D762E5">
      <w:pPr>
        <w:widowControl w:val="0"/>
        <w:autoSpaceDE w:val="0"/>
        <w:autoSpaceDN w:val="0"/>
        <w:adjustRightInd w:val="0"/>
        <w:ind w:left="480" w:hanging="480"/>
        <w:rPr>
          <w:noProof/>
        </w:rPr>
      </w:pPr>
      <w:r w:rsidRPr="00D762E5">
        <w:rPr>
          <w:noProof/>
        </w:rPr>
        <w:t>Danam, Gnanadas. “The Sacrifice of the Firstborn in the Hebrew Bible,” no. September (2018): 328.</w:t>
      </w:r>
    </w:p>
    <w:p w14:paraId="054803BD"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Dever, William G. “Archaeology and Folk or Family Religion in Ancient Israel.” </w:t>
      </w:r>
      <w:r w:rsidRPr="00D762E5">
        <w:rPr>
          <w:i/>
          <w:iCs/>
          <w:noProof/>
        </w:rPr>
        <w:t>Religions</w:t>
      </w:r>
      <w:r w:rsidRPr="00D762E5">
        <w:rPr>
          <w:noProof/>
        </w:rPr>
        <w:t xml:space="preserve"> 10, no. 12 (2019). https://doi.org/10.3390/rel10120667.</w:t>
      </w:r>
    </w:p>
    <w:p w14:paraId="36C40C5B"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Dyrness, W. </w:t>
      </w:r>
      <w:r w:rsidRPr="00D762E5">
        <w:rPr>
          <w:i/>
          <w:iCs/>
          <w:noProof/>
        </w:rPr>
        <w:t>Tema—Tema Dalam Teologi Perjanjian Lama</w:t>
      </w:r>
      <w:r w:rsidRPr="00D762E5">
        <w:rPr>
          <w:noProof/>
        </w:rPr>
        <w:t>. Malang: Penerbit Gandum Mas, 2013.</w:t>
      </w:r>
    </w:p>
    <w:p w14:paraId="1A1ACD5A"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Echchaibi, Nabil, and Steward M. Hoover. </w:t>
      </w:r>
      <w:r w:rsidRPr="00D762E5">
        <w:rPr>
          <w:i/>
          <w:iCs/>
          <w:noProof/>
        </w:rPr>
        <w:t>The Third Spaces of Digital Religion</w:t>
      </w:r>
      <w:r w:rsidRPr="00D762E5">
        <w:rPr>
          <w:noProof/>
        </w:rPr>
        <w:t xml:space="preserve">. </w:t>
      </w:r>
      <w:r w:rsidRPr="00D762E5">
        <w:rPr>
          <w:i/>
          <w:iCs/>
          <w:noProof/>
        </w:rPr>
        <w:t>Routledge</w:t>
      </w:r>
      <w:r w:rsidRPr="00D762E5">
        <w:rPr>
          <w:noProof/>
        </w:rPr>
        <w:t>. London: Routledge, 2023. https://doi.org/https://doi.org/10.4324/9781003048190.</w:t>
      </w:r>
    </w:p>
    <w:p w14:paraId="1144B922"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Evolvi, Giulia. “Religion and the Internet: Digital Religion, (Hyper)Mediated Spaces, and Materiality.” </w:t>
      </w:r>
      <w:r w:rsidRPr="00D762E5">
        <w:rPr>
          <w:i/>
          <w:iCs/>
          <w:noProof/>
        </w:rPr>
        <w:t>Zeitschrift Für Religion, Gesellschaft Und Politik</w:t>
      </w:r>
      <w:r w:rsidRPr="00D762E5">
        <w:rPr>
          <w:noProof/>
        </w:rPr>
        <w:t xml:space="preserve"> 6, no. 1 (2022): 9–25. https://doi.org/10.1007/s41682-021-00087-9.</w:t>
      </w:r>
    </w:p>
    <w:p w14:paraId="147F131D"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 </w:t>
      </w:r>
      <w:r w:rsidRPr="00D762E5">
        <w:rPr>
          <w:i/>
          <w:iCs/>
          <w:noProof/>
        </w:rPr>
        <w:t>The Sacred Tech</w:t>
      </w:r>
      <w:r w:rsidRPr="00D762E5">
        <w:rPr>
          <w:noProof/>
        </w:rPr>
        <w:t>. 1st ed. London: Taylor &amp; Francis Froup, 2023.</w:t>
      </w:r>
    </w:p>
    <w:p w14:paraId="6A0CF721"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Fraade, S. “Chapter Twenty-Three. The Temple As A Marker Of Jewish Identity Before And After 70 C.E.: The Role Of The Holy Vessels In Rabbinic Memory And Imagination.” </w:t>
      </w:r>
      <w:r w:rsidRPr="00D762E5">
        <w:rPr>
          <w:i/>
          <w:iCs/>
          <w:noProof/>
        </w:rPr>
        <w:t>Legal Fictions</w:t>
      </w:r>
      <w:r w:rsidRPr="00D762E5">
        <w:rPr>
          <w:noProof/>
        </w:rPr>
        <w:t>, 2011, 523–54. https://doi.org/10.1163/ej.9789004201095.i-628.133.</w:t>
      </w:r>
    </w:p>
    <w:p w14:paraId="0E71A4A7"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Harrelson, Walter. </w:t>
      </w:r>
      <w:r w:rsidRPr="00D762E5">
        <w:rPr>
          <w:i/>
          <w:iCs/>
          <w:noProof/>
        </w:rPr>
        <w:t>The Religion of Ancient Israel</w:t>
      </w:r>
      <w:r w:rsidRPr="00D762E5">
        <w:rPr>
          <w:noProof/>
        </w:rPr>
        <w:t xml:space="preserve">. </w:t>
      </w:r>
      <w:r w:rsidRPr="00D762E5">
        <w:rPr>
          <w:i/>
          <w:iCs/>
          <w:noProof/>
        </w:rPr>
        <w:t>Listening</w:t>
      </w:r>
      <w:r w:rsidRPr="00D762E5">
        <w:rPr>
          <w:noProof/>
        </w:rPr>
        <w:t>. Vol. 20. Louisville - Kentucky: John Knox Press, 1985. https://doi.org/10.5840/listening19852013.</w:t>
      </w:r>
    </w:p>
    <w:p w14:paraId="38C65137"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Hendradi, Nathaniel. “Membangkitkan Realitas Alternatif: Konsep ‘Imajinasi Profetik’ Walter Brueggemann Sebagai Metafora Kitab Suci Bagi Kontestasi Naratif Realitas Kontemporer.” </w:t>
      </w:r>
      <w:r w:rsidRPr="00D762E5">
        <w:rPr>
          <w:i/>
          <w:iCs/>
          <w:noProof/>
        </w:rPr>
        <w:t>Indonesian Journal of Theology</w:t>
      </w:r>
      <w:r w:rsidRPr="00D762E5">
        <w:rPr>
          <w:noProof/>
        </w:rPr>
        <w:t xml:space="preserve"> 10, no. 1 (2022): 73–107.</w:t>
      </w:r>
    </w:p>
    <w:p w14:paraId="2B268DD0"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Howard, David M. </w:t>
      </w:r>
      <w:r w:rsidRPr="00D762E5">
        <w:rPr>
          <w:i/>
          <w:iCs/>
          <w:noProof/>
        </w:rPr>
        <w:t>An Introduction to the Old Testament Historical Books / David Howard, Jr</w:t>
      </w:r>
      <w:r w:rsidRPr="00D762E5">
        <w:rPr>
          <w:noProof/>
        </w:rPr>
        <w:t>. Chicago: Moody Press, 1993. http://ezproxy.asburyseminary.edu/login?url=http://search.ebscohost.com/login.aspx?direct=true&amp;db=cat00591a&amp;AN=aslc.29247622&amp;site=eds-live&amp;scope=cite.</w:t>
      </w:r>
    </w:p>
    <w:p w14:paraId="011B2E72"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Indonesia, Lembaga Alkitab. </w:t>
      </w:r>
      <w:r w:rsidRPr="00D762E5">
        <w:rPr>
          <w:i/>
          <w:iCs/>
          <w:noProof/>
        </w:rPr>
        <w:t>Alkitab Terjemahan Baru - New International Version</w:t>
      </w:r>
      <w:r w:rsidRPr="00D762E5">
        <w:rPr>
          <w:noProof/>
        </w:rPr>
        <w:t>. Jakarta: Lembaga Alkitab Indonesia, 2002.</w:t>
      </w:r>
    </w:p>
    <w:p w14:paraId="0AD182A4"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IŞIK, Tuba. “The Effects of Digital Culture and New Media on Religious Identity in The Postmodern Age: The Case of Türkiye.” </w:t>
      </w:r>
      <w:r w:rsidRPr="00D762E5">
        <w:rPr>
          <w:i/>
          <w:iCs/>
          <w:noProof/>
        </w:rPr>
        <w:t>Journal of Media and Religion Studies</w:t>
      </w:r>
      <w:r w:rsidRPr="00D762E5">
        <w:rPr>
          <w:noProof/>
        </w:rPr>
        <w:t xml:space="preserve"> 1, no. 1 (2024): 253–80. https://doi.org/10.47951/mediad.1524883.</w:t>
      </w:r>
    </w:p>
    <w:p w14:paraId="228D7C09"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Jefferson, Lee M. </w:t>
      </w:r>
      <w:r w:rsidRPr="00D762E5">
        <w:rPr>
          <w:i/>
          <w:iCs/>
          <w:noProof/>
        </w:rPr>
        <w:t>The Triumph of Christianity: How a Forbidden Religion Swept the World by Bart D. Ehrman</w:t>
      </w:r>
      <w:r w:rsidRPr="00D762E5">
        <w:rPr>
          <w:noProof/>
        </w:rPr>
        <w:t xml:space="preserve">. </w:t>
      </w:r>
      <w:r w:rsidRPr="00D762E5">
        <w:rPr>
          <w:i/>
          <w:iCs/>
          <w:noProof/>
        </w:rPr>
        <w:t>Journal of Early Christian Studies</w:t>
      </w:r>
      <w:r w:rsidRPr="00D762E5">
        <w:rPr>
          <w:noProof/>
        </w:rPr>
        <w:t xml:space="preserve">. Vol. 27. New York: </w:t>
      </w:r>
      <w:r w:rsidRPr="00D762E5">
        <w:rPr>
          <w:noProof/>
        </w:rPr>
        <w:lastRenderedPageBreak/>
        <w:t>Simon &amp; Schuster, 2019. https://doi.org/10.1353/earl.2019.0010.</w:t>
      </w:r>
    </w:p>
    <w:p w14:paraId="28DC3BED"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LAI. </w:t>
      </w:r>
      <w:r w:rsidRPr="00D762E5">
        <w:rPr>
          <w:i/>
          <w:iCs/>
          <w:noProof/>
        </w:rPr>
        <w:t>Alkitab</w:t>
      </w:r>
      <w:r w:rsidRPr="00D762E5">
        <w:rPr>
          <w:noProof/>
        </w:rPr>
        <w:t>. Jakarta: Lembaga Alkitab Indonesia, 2008.</w:t>
      </w:r>
    </w:p>
    <w:p w14:paraId="23F3BC58"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Marbun, Ronauli, and Jonius Halawa. “Ajaran Penebusan Dosa: Tinjauan Antropologi Teologis Hubungan Manusia Dengan Allah (Imamat 16:29-30).” </w:t>
      </w:r>
      <w:r w:rsidRPr="00D762E5">
        <w:rPr>
          <w:i/>
          <w:iCs/>
          <w:noProof/>
        </w:rPr>
        <w:t>Journal of Education Research</w:t>
      </w:r>
      <w:r w:rsidRPr="00D762E5">
        <w:rPr>
          <w:noProof/>
        </w:rPr>
        <w:t xml:space="preserve"> 5, no. 4 (2024): 5893–5900. https://doi.org/10.37985/jer.v5i4.1897.</w:t>
      </w:r>
    </w:p>
    <w:p w14:paraId="588D3181" w14:textId="77777777" w:rsidR="00D762E5" w:rsidRPr="00D762E5" w:rsidRDefault="00D762E5" w:rsidP="00D762E5">
      <w:pPr>
        <w:widowControl w:val="0"/>
        <w:autoSpaceDE w:val="0"/>
        <w:autoSpaceDN w:val="0"/>
        <w:adjustRightInd w:val="0"/>
        <w:ind w:left="480" w:hanging="480"/>
        <w:rPr>
          <w:noProof/>
        </w:rPr>
      </w:pPr>
      <w:r w:rsidRPr="00D762E5">
        <w:rPr>
          <w:noProof/>
        </w:rPr>
        <w:t>Metzler, Maria J. “The Ark of the Covenant and Divine Rage in the Hebrew Bible,” 2016. http://nrs.harvard.edu/urn-3:HUL.InstRepos:33840681.</w:t>
      </w:r>
    </w:p>
    <w:p w14:paraId="3BB10688"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Milgrom, Jacob, and Baruch A. Levine. </w:t>
      </w:r>
      <w:r w:rsidRPr="00D762E5">
        <w:rPr>
          <w:i/>
          <w:iCs/>
          <w:noProof/>
        </w:rPr>
        <w:t>In the Presence of the Lord: A Study of Cult and Some Cultic Terms in Ancient Israel</w:t>
      </w:r>
      <w:r w:rsidRPr="00D762E5">
        <w:rPr>
          <w:noProof/>
        </w:rPr>
        <w:t xml:space="preserve">. </w:t>
      </w:r>
      <w:r w:rsidRPr="00D762E5">
        <w:rPr>
          <w:i/>
          <w:iCs/>
          <w:noProof/>
        </w:rPr>
        <w:t>Journal of Biblical Literature</w:t>
      </w:r>
      <w:r w:rsidRPr="00D762E5">
        <w:rPr>
          <w:noProof/>
        </w:rPr>
        <w:t>. Vol. 95. Leiden: Brill, 1976. https://doi.org/10.2307/3265248.</w:t>
      </w:r>
    </w:p>
    <w:p w14:paraId="11545757" w14:textId="77777777" w:rsidR="00D762E5" w:rsidRPr="00D762E5" w:rsidRDefault="00D762E5" w:rsidP="00D762E5">
      <w:pPr>
        <w:widowControl w:val="0"/>
        <w:autoSpaceDE w:val="0"/>
        <w:autoSpaceDN w:val="0"/>
        <w:adjustRightInd w:val="0"/>
        <w:ind w:left="480" w:hanging="480"/>
        <w:rPr>
          <w:noProof/>
        </w:rPr>
      </w:pPr>
      <w:r w:rsidRPr="00D762E5">
        <w:rPr>
          <w:noProof/>
        </w:rPr>
        <w:t>Paulo, Bonifácio. “The Centralization of the Worship of Yahweh According To,” no. December (2017).</w:t>
      </w:r>
    </w:p>
    <w:p w14:paraId="6BA76677"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Purba, Jhon Leonardo Presley. “Makna Kemah Suci Hingga Bait Allah Bagi Kehidupan Religius Kristen Masa Kini.” </w:t>
      </w:r>
      <w:r w:rsidRPr="00D762E5">
        <w:rPr>
          <w:i/>
          <w:iCs/>
          <w:noProof/>
        </w:rPr>
        <w:t>Danum Pambelum: Jurnal Teologi Dan Musik Gereja</w:t>
      </w:r>
      <w:r w:rsidRPr="00D762E5">
        <w:rPr>
          <w:noProof/>
        </w:rPr>
        <w:t xml:space="preserve"> 1, no. 1 (2021): 21–36. https://doi.org/10.54170/dp.v1i1.33.</w:t>
      </w:r>
    </w:p>
    <w:p w14:paraId="1012D679"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Rice Howard. </w:t>
      </w:r>
      <w:r w:rsidRPr="00D762E5">
        <w:rPr>
          <w:i/>
          <w:iCs/>
          <w:noProof/>
        </w:rPr>
        <w:t>Managemen Umat</w:t>
      </w:r>
      <w:r w:rsidRPr="00D762E5">
        <w:rPr>
          <w:noProof/>
        </w:rPr>
        <w:t>. Bandung: kalam hidup, 2006.</w:t>
      </w:r>
    </w:p>
    <w:p w14:paraId="3DBAA185"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Seppala, Serafim. “A Sacred Cyberspace? Towards the Ontology of Virtual Worship.” </w:t>
      </w:r>
      <w:r w:rsidRPr="00D762E5">
        <w:rPr>
          <w:i/>
          <w:iCs/>
          <w:noProof/>
        </w:rPr>
        <w:t>Review of Ecumenical Studies (RES)</w:t>
      </w:r>
      <w:r w:rsidRPr="00D762E5">
        <w:rPr>
          <w:noProof/>
        </w:rPr>
        <w:t xml:space="preserve"> 15, no. 1 (2023): 105–22. https://doi.org/10.2478/ress-2023-0106.</w:t>
      </w:r>
    </w:p>
    <w:p w14:paraId="3BD342AF"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Sona Simbolon, and Elsa Herawati Lubis. “Analisis Pemulihan Spiritual Dan Komunitas : Rekonstruksi Dasar Kehidupan Dalam Konteks Ezra 3:8-13.” </w:t>
      </w:r>
      <w:r w:rsidRPr="00D762E5">
        <w:rPr>
          <w:i/>
          <w:iCs/>
          <w:noProof/>
        </w:rPr>
        <w:t>Sukacita : Jurnal Pendidikan Iman Kristen</w:t>
      </w:r>
      <w:r w:rsidRPr="00D762E5">
        <w:rPr>
          <w:noProof/>
        </w:rPr>
        <w:t xml:space="preserve"> 2, no. 1 (2024): 54–66. https://doi.org/10.61132/sukacita.v2i1.432.</w:t>
      </w:r>
    </w:p>
    <w:p w14:paraId="32B20579"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Stedman, Ray C. </w:t>
      </w:r>
      <w:r w:rsidRPr="00D762E5">
        <w:rPr>
          <w:i/>
          <w:iCs/>
          <w:noProof/>
        </w:rPr>
        <w:t>Petualangan Menjelajahi Perjanjian Lama</w:t>
      </w:r>
      <w:r w:rsidRPr="00D762E5">
        <w:rPr>
          <w:noProof/>
        </w:rPr>
        <w:t>. PT. Duta Harapan Dunia, 2010.</w:t>
      </w:r>
    </w:p>
    <w:p w14:paraId="7288BAE3"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Sulistiono. </w:t>
      </w:r>
      <w:r w:rsidRPr="00D762E5">
        <w:rPr>
          <w:i/>
          <w:iCs/>
          <w:noProof/>
        </w:rPr>
        <w:t>Pengantar Alkitab Perjanjian Lama</w:t>
      </w:r>
      <w:r w:rsidRPr="00D762E5">
        <w:rPr>
          <w:noProof/>
        </w:rPr>
        <w:t>. Edited by Cici Rumsiti. 1st ed. Yogyakarta: Tujuh Pustaka, 2025. https://scholar.google.com/citations?view_op=view_citation&amp;hl=id&amp;user=jXCOnVIAAAAJ&amp;authuser=2&amp;citation_for_view=jXCOnVIAAAAJ:KlAtU1dfN6UC.</w:t>
      </w:r>
    </w:p>
    <w:p w14:paraId="02767EB2"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 </w:t>
      </w:r>
      <w:r w:rsidRPr="00D762E5">
        <w:rPr>
          <w:i/>
          <w:iCs/>
          <w:noProof/>
        </w:rPr>
        <w:t>Tafsir Kitab Kesusastraan</w:t>
      </w:r>
      <w:r w:rsidRPr="00D762E5">
        <w:rPr>
          <w:noProof/>
        </w:rPr>
        <w:t>. 1st ed. Yogyakarta: Yayasan Putra Adi Dharma, 2025. https://scholar.google.com/citations?view_op=view_citation&amp;hl=id&amp;user=jXCOnVIAAAAJ&amp;authuser=2&amp;citation_for_view=jXCOnVIAAAAJ:3fE2CSJIrl8C.</w:t>
      </w:r>
    </w:p>
    <w:p w14:paraId="16E71941"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Terrien, Samuel, and Jon D. Levenson. </w:t>
      </w:r>
      <w:r w:rsidRPr="00D762E5">
        <w:rPr>
          <w:i/>
          <w:iCs/>
          <w:noProof/>
        </w:rPr>
        <w:t>Sinai and Zion: An Entry into the Jewish Bible</w:t>
      </w:r>
      <w:r w:rsidRPr="00D762E5">
        <w:rPr>
          <w:noProof/>
        </w:rPr>
        <w:t xml:space="preserve">. </w:t>
      </w:r>
      <w:r w:rsidRPr="00D762E5">
        <w:rPr>
          <w:i/>
          <w:iCs/>
          <w:noProof/>
        </w:rPr>
        <w:t>Journal of Biblical Literature</w:t>
      </w:r>
      <w:r w:rsidRPr="00D762E5">
        <w:rPr>
          <w:noProof/>
        </w:rPr>
        <w:t>. Vol. 106. Minneapolis: Winston Press, 1987. https://doi.org/10.2307/3260649.</w:t>
      </w:r>
    </w:p>
    <w:p w14:paraId="3AC09AFF"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Vriezen, Theodorus C. </w:t>
      </w:r>
      <w:r w:rsidRPr="00D762E5">
        <w:rPr>
          <w:i/>
          <w:iCs/>
          <w:noProof/>
        </w:rPr>
        <w:t>Agama Israel Kuno, Terj</w:t>
      </w:r>
      <w:r w:rsidRPr="00D762E5">
        <w:rPr>
          <w:noProof/>
        </w:rPr>
        <w:t xml:space="preserve">. </w:t>
      </w:r>
      <w:r w:rsidRPr="00D762E5">
        <w:rPr>
          <w:i/>
          <w:iCs/>
          <w:noProof/>
        </w:rPr>
        <w:t>IJ Cairns, Cet</w:t>
      </w:r>
      <w:r w:rsidRPr="00D762E5">
        <w:rPr>
          <w:noProof/>
        </w:rPr>
        <w:t>. Vol. 4. Jakarta: BPK. Gunung Mulia, 2003.</w:t>
      </w:r>
    </w:p>
    <w:p w14:paraId="0A0704F4"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Ward, James M., and Terence E. Fretheim. </w:t>
      </w:r>
      <w:r w:rsidRPr="00D762E5">
        <w:rPr>
          <w:i/>
          <w:iCs/>
          <w:noProof/>
        </w:rPr>
        <w:t>The Suffering of God: An Old Testament Perspective</w:t>
      </w:r>
      <w:r w:rsidRPr="00D762E5">
        <w:rPr>
          <w:noProof/>
        </w:rPr>
        <w:t xml:space="preserve">. </w:t>
      </w:r>
      <w:r w:rsidRPr="00D762E5">
        <w:rPr>
          <w:i/>
          <w:iCs/>
          <w:noProof/>
        </w:rPr>
        <w:t>Journal of Biblical Literature</w:t>
      </w:r>
      <w:r w:rsidRPr="00D762E5">
        <w:rPr>
          <w:noProof/>
        </w:rPr>
        <w:t>. Vol. 105. Philadelphia: Fortress Press, 1986. https://doi.org/10.2307/3260521.</w:t>
      </w:r>
    </w:p>
    <w:p w14:paraId="4A55AFB9"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Wenham, Gordon J. </w:t>
      </w:r>
      <w:r w:rsidRPr="00D762E5">
        <w:rPr>
          <w:i/>
          <w:iCs/>
          <w:noProof/>
        </w:rPr>
        <w:t>The Book of Leviticus</w:t>
      </w:r>
      <w:r w:rsidRPr="00D762E5">
        <w:rPr>
          <w:noProof/>
        </w:rPr>
        <w:t xml:space="preserve">. </w:t>
      </w:r>
      <w:r w:rsidRPr="00D762E5">
        <w:rPr>
          <w:i/>
          <w:iCs/>
          <w:noProof/>
        </w:rPr>
        <w:t>The Book of Leviticus</w:t>
      </w:r>
      <w:r w:rsidRPr="00D762E5">
        <w:rPr>
          <w:noProof/>
        </w:rPr>
        <w:t>. Grand Rapid, Michigan: Eerdmans Publihing Company, 1979. https://doi.org/10.5040/bci-00a7.</w:t>
      </w:r>
    </w:p>
    <w:p w14:paraId="5443370E"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WILLIAMSON, ROBERT. “Theology of the Old Testament.” </w:t>
      </w:r>
      <w:r w:rsidRPr="00D762E5">
        <w:rPr>
          <w:i/>
          <w:iCs/>
          <w:noProof/>
        </w:rPr>
        <w:t>Reading the Bible with Brueggemann</w:t>
      </w:r>
      <w:r w:rsidRPr="00D762E5">
        <w:rPr>
          <w:noProof/>
        </w:rPr>
        <w:t xml:space="preserve"> 24, no. 1 (2025): 115–42. https://doi.org/10.2307/jj.28800017.9.</w:t>
      </w:r>
    </w:p>
    <w:p w14:paraId="31A3EEAD"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Wolf, Hebert. </w:t>
      </w:r>
      <w:r w:rsidRPr="00D762E5">
        <w:rPr>
          <w:i/>
          <w:iCs/>
          <w:noProof/>
        </w:rPr>
        <w:t>Pengenalan Pentateukh</w:t>
      </w:r>
      <w:r w:rsidRPr="00D762E5">
        <w:rPr>
          <w:noProof/>
        </w:rPr>
        <w:t>. Malang: Gandum Mas, 2004.</w:t>
      </w:r>
    </w:p>
    <w:p w14:paraId="79082D79"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Zuck, Roy. </w:t>
      </w:r>
      <w:r w:rsidRPr="00D762E5">
        <w:rPr>
          <w:i/>
          <w:iCs/>
          <w:noProof/>
        </w:rPr>
        <w:t>A Biblical Theology Of The Old Testament</w:t>
      </w:r>
      <w:r w:rsidRPr="00D762E5">
        <w:rPr>
          <w:noProof/>
        </w:rPr>
        <w:t>. Malang: Gandum Mas, 2005.</w:t>
      </w:r>
    </w:p>
    <w:p w14:paraId="6B71F03F" w14:textId="329DD282" w:rsidR="00C30472" w:rsidRDefault="005D7D2D" w:rsidP="005D7D2D">
      <w:pPr>
        <w:ind w:left="360" w:hanging="360"/>
        <w:jc w:val="both"/>
      </w:pPr>
      <w:r>
        <w:fldChar w:fldCharType="end"/>
      </w:r>
    </w:p>
    <w:sectPr w:rsidR="00C30472">
      <w:pgSz w:w="11906" w:h="16838"/>
      <w:pgMar w:top="1418" w:right="1418" w:bottom="1418" w:left="1701"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date="2026-06-12T12:16:00Z" w:initials="Author">
    <w:p w14:paraId="2108FBE9" w14:textId="77777777" w:rsidR="0028573F" w:rsidRDefault="0028573F" w:rsidP="0028573F">
      <w:pPr>
        <w:pStyle w:val="TeksKomentar"/>
      </w:pPr>
      <w:r>
        <w:rPr>
          <w:rStyle w:val="ReferensiKomentar"/>
        </w:rPr>
        <w:annotationRef/>
      </w:r>
      <w:r>
        <w:t>Hindari penggunaan kata sambung pada awal kalimat.</w:t>
      </w:r>
    </w:p>
  </w:comment>
  <w:comment w:id="1" w:author="Author" w:date="2026-06-12T12:23:00Z" w:initials="Author">
    <w:p w14:paraId="7A96DBDD" w14:textId="77777777" w:rsidR="0028573F" w:rsidRDefault="0028573F" w:rsidP="0028573F">
      <w:pPr>
        <w:pStyle w:val="TeksKomentar"/>
      </w:pPr>
      <w:r>
        <w:rPr>
          <w:rStyle w:val="ReferensiKomentar"/>
        </w:rPr>
        <w:annotationRef/>
      </w:r>
      <w:r>
        <w:t>Apakah ini masih relevan? Jika iya, buktikan dengan data kuantitatif. Sebab sekarang ibadah sudah bergerak kembali ke meeting komunal.</w:t>
      </w:r>
    </w:p>
  </w:comment>
  <w:comment w:id="2" w:author="Author" w:date="2026-06-12T12:25:00Z" w:initials="Author">
    <w:p w14:paraId="68E323B9" w14:textId="77777777" w:rsidR="0028573F" w:rsidRDefault="0028573F" w:rsidP="0028573F">
      <w:pPr>
        <w:pStyle w:val="TeksKomentar"/>
      </w:pPr>
      <w:r>
        <w:rPr>
          <w:rStyle w:val="ReferensiKomentar"/>
        </w:rPr>
        <w:annotationRef/>
      </w:r>
      <w:r>
        <w:t xml:space="preserve">Mana yang betul? </w:t>
      </w:r>
      <w:r>
        <w:rPr>
          <w:b/>
          <w:bCs/>
        </w:rPr>
        <w:t>Pendekatan kualitatif dengan metode studi pustaka atau metode kualitatif dengan pendekatan studi pustaka?</w:t>
      </w:r>
    </w:p>
  </w:comment>
  <w:comment w:id="3" w:author="Author" w:date="2026-06-12T12:27:00Z" w:initials="Author">
    <w:p w14:paraId="65642155" w14:textId="77777777" w:rsidR="006E65F0" w:rsidRDefault="006E65F0" w:rsidP="006E65F0">
      <w:pPr>
        <w:pStyle w:val="TeksKomentar"/>
      </w:pPr>
      <w:r>
        <w:rPr>
          <w:rStyle w:val="ReferensiKomentar"/>
        </w:rPr>
        <w:annotationRef/>
      </w:r>
      <w:r>
        <w:t>Mengapa Anda tidak konsisten. Pada poin sebelumnya Anda menggunakan Bait Suci, sedangkan pada poin ini, Anda menggunakan Bait Allah.</w:t>
      </w:r>
    </w:p>
  </w:comment>
  <w:comment w:id="4" w:author="Author" w:date="2026-06-12T12:30:00Z" w:initials="Author">
    <w:p w14:paraId="60D67494" w14:textId="77777777" w:rsidR="006E65F0" w:rsidRDefault="006E65F0" w:rsidP="006E65F0">
      <w:pPr>
        <w:pStyle w:val="TeksKomentar"/>
      </w:pPr>
      <w:r>
        <w:rPr>
          <w:rStyle w:val="ReferensiKomentar"/>
        </w:rPr>
        <w:annotationRef/>
      </w:r>
      <w:r>
        <w:t xml:space="preserve">Perlu ditambahkan Implikasinya bagi </w:t>
      </w:r>
      <w:r>
        <w:rPr>
          <w:b/>
          <w:bCs/>
          <w:color w:val="000000"/>
        </w:rPr>
        <w:t>Pembentukan Spiritualitas dan Identitas Umat Allah di Era Digital dan Pascamodern.</w:t>
      </w:r>
    </w:p>
  </w:comment>
  <w:comment w:id="5" w:author="Author" w:date="2026-06-12T12:32:00Z" w:initials="Author">
    <w:p w14:paraId="46223163" w14:textId="77777777" w:rsidR="006E65F0" w:rsidRDefault="006E65F0" w:rsidP="006E65F0">
      <w:pPr>
        <w:pStyle w:val="TeksKomentar"/>
      </w:pPr>
      <w:r>
        <w:rPr>
          <w:rStyle w:val="ReferensiKomentar"/>
        </w:rPr>
        <w:annotationRef/>
      </w:r>
      <w:r>
        <w:t>Kesimpulan dirumuskan dalam satu paragraf saja.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108FBE9" w15:done="0"/>
  <w15:commentEx w15:paraId="7A96DBDD" w15:done="0"/>
  <w15:commentEx w15:paraId="68E323B9" w15:done="0"/>
  <w15:commentEx w15:paraId="65642155" w15:done="0"/>
  <w15:commentEx w15:paraId="60D67494" w15:done="0"/>
  <w15:commentEx w15:paraId="4622316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ACFCA5" w16cex:dateUtc="2026-06-12T05:16:00Z"/>
  <w16cex:commentExtensible w16cex:durableId="63EBD168" w16cex:dateUtc="2026-06-12T05:23:00Z"/>
  <w16cex:commentExtensible w16cex:durableId="1E67F8CC" w16cex:dateUtc="2026-06-12T05:25:00Z"/>
  <w16cex:commentExtensible w16cex:durableId="01053923" w16cex:dateUtc="2026-06-12T05:27:00Z"/>
  <w16cex:commentExtensible w16cex:durableId="67531411" w16cex:dateUtc="2026-06-12T05:30:00Z"/>
  <w16cex:commentExtensible w16cex:durableId="16D87CC9" w16cex:dateUtc="2026-06-12T05: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108FBE9" w16cid:durableId="27ACFCA5"/>
  <w16cid:commentId w16cid:paraId="7A96DBDD" w16cid:durableId="63EBD168"/>
  <w16cid:commentId w16cid:paraId="68E323B9" w16cid:durableId="1E67F8CC"/>
  <w16cid:commentId w16cid:paraId="65642155" w16cid:durableId="01053923"/>
  <w16cid:commentId w16cid:paraId="60D67494" w16cid:durableId="67531411"/>
  <w16cid:commentId w16cid:paraId="46223163" w16cid:durableId="16D87CC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7E540" w14:textId="77777777" w:rsidR="00FC670D" w:rsidRDefault="00FC670D">
      <w:r>
        <w:separator/>
      </w:r>
    </w:p>
  </w:endnote>
  <w:endnote w:type="continuationSeparator" w:id="0">
    <w:p w14:paraId="095336CF" w14:textId="77777777" w:rsidR="00FC670D" w:rsidRDefault="00FC67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71E69EC6-0DB2-402F-8612-EDB618C2DF93}"/>
    <w:embedBold r:id="rId2" w:fontKey="{B5DD8E58-B6DA-4D91-9DF2-0DB59D6BD532}"/>
  </w:font>
  <w:font w:name="Calibri">
    <w:panose1 w:val="020F0502020204030204"/>
    <w:charset w:val="00"/>
    <w:family w:val="swiss"/>
    <w:pitch w:val="variable"/>
    <w:sig w:usb0="E4002EFF" w:usb1="C200247B" w:usb2="00000009" w:usb3="00000000" w:csb0="000001FF" w:csb1="00000000"/>
    <w:embedRegular r:id="rId3" w:fontKey="{D0BA352B-059A-4863-ABC1-1E510459AB78}"/>
    <w:embedBold r:id="rId4" w:fontKey="{636C9ADD-CEC2-4FF5-88E0-D7E1D98DB26B}"/>
  </w:font>
  <w:font w:name="Arial">
    <w:panose1 w:val="020B0604020202020204"/>
    <w:charset w:val="00"/>
    <w:family w:val="swiss"/>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embedRegular r:id="rId5" w:fontKey="{851FACCB-6BE4-4C40-89A8-AAF3AB8DC1F8}"/>
    <w:embedBold r:id="rId6" w:fontKey="{9AFDADE1-45C6-4B09-AA60-2C4141FCAC56}"/>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7" w:fontKey="{7D72C8ED-2F14-4117-975E-F4CC05A0086F}"/>
    <w:embedItalic r:id="rId8" w:fontKey="{643A42B6-EE40-40F1-8082-FB3778A8C6BA}"/>
  </w:font>
  <w:font w:name="Lustria">
    <w:altName w:val="Cambria"/>
    <w:charset w:val="00"/>
    <w:family w:val="auto"/>
    <w:pitch w:val="default"/>
    <w:embedRegular r:id="rId9" w:fontKey="{9D90B0CE-03B8-47F5-861C-6741D12DBCFB}"/>
    <w:embedBold r:id="rId10" w:fontKey="{67951E30-822B-4E97-9EFB-6D6A727E9042}"/>
    <w:embedItalic r:id="rId11" w:fontKey="{39B8193F-CAB1-4AA0-9A09-F840A52B74E5}"/>
  </w:font>
  <w:font w:name="EB Garamond">
    <w:altName w:val="Calibri"/>
    <w:charset w:val="00"/>
    <w:family w:val="auto"/>
    <w:pitch w:val="variable"/>
    <w:sig w:usb0="E00002FF" w:usb1="02000413" w:usb2="00000000" w:usb3="00000000" w:csb0="0000019F" w:csb1="00000000"/>
    <w:embedRegular r:id="rId12" w:fontKey="{C19EDB0F-3E3E-471A-A8FC-C72BEA0C200B}"/>
  </w:font>
  <w:font w:name="Cambria">
    <w:panose1 w:val="02040503050406030204"/>
    <w:charset w:val="00"/>
    <w:family w:val="roman"/>
    <w:pitch w:val="variable"/>
    <w:sig w:usb0="E00006FF" w:usb1="420024FF" w:usb2="02000000" w:usb3="00000000" w:csb0="0000019F" w:csb1="00000000"/>
    <w:embedRegular r:id="rId13" w:fontKey="{2B6B9E28-4A43-4553-B415-C99DFF409FDA}"/>
    <w:embedBoldItalic r:id="rId14" w:fontKey="{5816A82B-636B-4E38-A10B-83648F02EDE5}"/>
  </w:font>
  <w:font w:name="Garamond">
    <w:panose1 w:val="02020404030301010803"/>
    <w:charset w:val="00"/>
    <w:family w:val="roman"/>
    <w:pitch w:val="variable"/>
    <w:sig w:usb0="00000287" w:usb1="00000000" w:usb2="00000000" w:usb3="00000000" w:csb0="0000009F" w:csb1="00000000"/>
    <w:embedRegular r:id="rId15" w:fontKey="{868C71D0-83F6-44E9-8C3C-E9C028C07AF7}"/>
  </w:font>
  <w:font w:name="Corben">
    <w:charset w:val="00"/>
    <w:family w:val="auto"/>
    <w:pitch w:val="default"/>
    <w:embedRegular r:id="rId16" w:fontKey="{B27D8629-DEF1-4E2D-A6C3-6954AA3E64F7}"/>
  </w:font>
  <w:font w:name="Verdana">
    <w:panose1 w:val="020B0604030504040204"/>
    <w:charset w:val="00"/>
    <w:family w:val="swiss"/>
    <w:pitch w:val="variable"/>
    <w:sig w:usb0="A00006FF" w:usb1="4000205B" w:usb2="00000010" w:usb3="00000000" w:csb0="0000019F" w:csb1="00000000"/>
    <w:embedRegular r:id="rId17" w:fontKey="{22AAD4C2-997E-4E9A-BBE3-EA99329B8BDF}"/>
    <w:embedBold r:id="rId18" w:fontKey="{A4AAF8A0-B7E4-448E-AAD2-9EE2AEC9C80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287189">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287189">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287189">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8C8B6" w14:textId="77777777" w:rsidR="00FC670D" w:rsidRDefault="00FC670D">
      <w:r>
        <w:separator/>
      </w:r>
    </w:p>
  </w:footnote>
  <w:footnote w:type="continuationSeparator" w:id="0">
    <w:p w14:paraId="450C5635" w14:textId="77777777" w:rsidR="00FC670D" w:rsidRDefault="00FC670D">
      <w:r>
        <w:continuationSeparator/>
      </w:r>
    </w:p>
  </w:footnote>
  <w:footnote w:id="1">
    <w:p w14:paraId="3CB5F4C1" w14:textId="7D77931A" w:rsidR="00D8419F" w:rsidRPr="00BE5DA8" w:rsidRDefault="00D8419F" w:rsidP="00BE5DA8">
      <w:pPr>
        <w:pStyle w:val="TeksCatatanKaki"/>
        <w:ind w:firstLine="720"/>
        <w:jc w:val="both"/>
        <w:rPr>
          <w:rFonts w:asciiTheme="majorBidi" w:hAnsiTheme="majorBidi" w:cstheme="majorBidi"/>
          <w:lang w:val="id-ID"/>
        </w:rPr>
      </w:pPr>
      <w:r w:rsidRPr="00BE5DA8">
        <w:rPr>
          <w:rStyle w:val="ReferensiCatatanKaki"/>
          <w:rFonts w:asciiTheme="majorBidi" w:hAnsiTheme="majorBidi" w:cstheme="majorBidi"/>
        </w:rPr>
        <w:footnoteRef/>
      </w:r>
      <w:r w:rsidRPr="00BE5DA8">
        <w:rPr>
          <w:rFonts w:asciiTheme="majorBidi" w:hAnsiTheme="majorBidi" w:cstheme="majorBidi"/>
        </w:rPr>
        <w:t xml:space="preserve"> </w:t>
      </w:r>
      <w:r w:rsidRPr="00BE5DA8">
        <w:rPr>
          <w:rFonts w:asciiTheme="majorBidi" w:hAnsiTheme="majorBidi" w:cstheme="majorBidi"/>
        </w:rPr>
        <w:fldChar w:fldCharType="begin" w:fldLock="1"/>
      </w:r>
      <w:r w:rsidRPr="00BE5DA8">
        <w:rPr>
          <w:rFonts w:asciiTheme="majorBidi" w:hAnsiTheme="majorBidi" w:cstheme="majorBidi"/>
        </w:rPr>
        <w:instrText>ADDIN CSL_CITATION {"citationItems":[{"id":"ITEM-1","itemData":{"abstract":"This research examines the central question: what is the meaning of the demand that all that first opens the womb should be given to the God of the Hebrew Bible? The research studies …","author":[{"dropping-particle":"","family":"Danam","given":"Gnanadas","non-dropping-particle":"","parse-names":false,"suffix":""}],"id":"ITEM-1","issue":"September","issued":{"date-parts":[["2018"]]},"page":"328","title":"The Sacrifice of the Firstborn in the Hebrew Bible","type":"article-journal"},"uris":["http://www.mendeley.com/documents/?uuid=1d56ea15-5756-4b36-b8f2-3bf87a97ee26"]}],"mendeley":{"formattedCitation":"Gnanadas Danam, “The Sacrifice of the Firstborn in the Hebrew Bible,” no. September (2018): 328.","plainTextFormattedCitation":"Gnanadas Danam, “The Sacrifice of the Firstborn in the Hebrew Bible,” no. September (2018): 328.","previouslyFormattedCitation":"Gnanadas Danam, “The Sacrifice of the Firstborn in the Hebrew Bible,” no. September (2018): 328."},"properties":{"noteIndex":1},"schema":"https://github.com/citation-style-language/schema/raw/master/csl-citation.json"}</w:instrText>
      </w:r>
      <w:r w:rsidRPr="00BE5DA8">
        <w:rPr>
          <w:rFonts w:asciiTheme="majorBidi" w:hAnsiTheme="majorBidi" w:cstheme="majorBidi"/>
        </w:rPr>
        <w:fldChar w:fldCharType="separate"/>
      </w:r>
      <w:r w:rsidRPr="00BE5DA8">
        <w:rPr>
          <w:rFonts w:asciiTheme="majorBidi" w:hAnsiTheme="majorBidi" w:cstheme="majorBidi"/>
          <w:noProof/>
        </w:rPr>
        <w:t>Gnanadas Danam, “The Sacrifice of the Firstborn in the Hebrew Bible,” no. September (2018): 328.</w:t>
      </w:r>
      <w:r w:rsidRPr="00BE5DA8">
        <w:rPr>
          <w:rFonts w:asciiTheme="majorBidi" w:hAnsiTheme="majorBidi" w:cstheme="majorBidi"/>
        </w:rPr>
        <w:fldChar w:fldCharType="end"/>
      </w:r>
    </w:p>
  </w:footnote>
  <w:footnote w:id="2">
    <w:p w14:paraId="75E92B12" w14:textId="24F98367" w:rsidR="00D8419F" w:rsidRPr="00BE5DA8" w:rsidRDefault="00D8419F" w:rsidP="00BE5DA8">
      <w:pPr>
        <w:pStyle w:val="TeksCatatanKaki"/>
        <w:ind w:firstLine="720"/>
        <w:jc w:val="both"/>
        <w:rPr>
          <w:rFonts w:asciiTheme="majorBidi" w:hAnsiTheme="majorBidi" w:cstheme="majorBidi"/>
          <w:lang w:val="id-ID"/>
        </w:rPr>
      </w:pPr>
      <w:r w:rsidRPr="00BE5DA8">
        <w:rPr>
          <w:rStyle w:val="ReferensiCatatanKaki"/>
          <w:rFonts w:asciiTheme="majorBidi" w:hAnsiTheme="majorBidi" w:cstheme="majorBidi"/>
        </w:rPr>
        <w:footnoteRef/>
      </w:r>
      <w:r w:rsidRPr="00BE5DA8">
        <w:rPr>
          <w:rFonts w:asciiTheme="majorBidi" w:hAnsiTheme="majorBidi" w:cstheme="majorBidi"/>
        </w:rPr>
        <w:t xml:space="preserve"> </w:t>
      </w:r>
      <w:r w:rsidRPr="00BE5DA8">
        <w:rPr>
          <w:rFonts w:asciiTheme="majorBidi" w:hAnsiTheme="majorBidi" w:cstheme="majorBidi"/>
        </w:rPr>
        <w:fldChar w:fldCharType="begin" w:fldLock="1"/>
      </w:r>
      <w:r w:rsidR="009B0F78" w:rsidRPr="00BE5DA8">
        <w:rPr>
          <w:rFonts w:asciiTheme="majorBidi" w:hAnsiTheme="majorBidi" w:cstheme="majorBidi"/>
        </w:rPr>
        <w:instrText>ADDIN CSL_CITATION {"citationItems":[{"id":"ITEM-1","itemData":{"author":[{"dropping-particle":"","family":"Paulo","given":"Bonifácio","non-dropping-particle":"","parse-names":false,"suffix":""}],"id":"ITEM-1","issue":"December","issued":{"date-parts":[["2017"]]},"title":"the Centralization of the Worship of Yahweh According To","type":"article-journal"},"uris":["http://www.mendeley.com/documents/?uuid=c3bcb7d4-1528-4f3d-93fe-e2dbdf6d761e"]}],"mendeley":{"formattedCitation":"Bonifácio Paulo, “The Centralization of the Worship of Yahweh According To,” no. December (2017).","plainTextFormattedCitation":"Bonifácio Paulo, “The Centralization of the Worship of Yahweh According To,” no. December (2017).","previouslyFormattedCitation":"Bonifácio Paulo, “The Centralization of the Worship of Yahweh According To,” no. December (2017)."},"properties":{"noteIndex":2},"schema":"https://github.com/citation-style-language/schema/raw/master/csl-citation.json"}</w:instrText>
      </w:r>
      <w:r w:rsidRPr="00BE5DA8">
        <w:rPr>
          <w:rFonts w:asciiTheme="majorBidi" w:hAnsiTheme="majorBidi" w:cstheme="majorBidi"/>
        </w:rPr>
        <w:fldChar w:fldCharType="separate"/>
      </w:r>
      <w:r w:rsidRPr="00BE5DA8">
        <w:rPr>
          <w:rFonts w:asciiTheme="majorBidi" w:hAnsiTheme="majorBidi" w:cstheme="majorBidi"/>
          <w:noProof/>
        </w:rPr>
        <w:t>Bonifácio Paulo, “The Centralization of the Worship of Yahweh According To,” no. December (2017).</w:t>
      </w:r>
      <w:r w:rsidRPr="00BE5DA8">
        <w:rPr>
          <w:rFonts w:asciiTheme="majorBidi" w:hAnsiTheme="majorBidi" w:cstheme="majorBidi"/>
        </w:rPr>
        <w:fldChar w:fldCharType="end"/>
      </w:r>
    </w:p>
  </w:footnote>
  <w:footnote w:id="3">
    <w:p w14:paraId="4D474F45" w14:textId="3AA5FAD8" w:rsidR="009B0F78" w:rsidRPr="00BE5DA8" w:rsidRDefault="009B0F78" w:rsidP="00BE5DA8">
      <w:pPr>
        <w:pStyle w:val="TeksCatatanKaki"/>
        <w:ind w:firstLine="720"/>
        <w:jc w:val="both"/>
        <w:rPr>
          <w:rFonts w:asciiTheme="majorBidi" w:hAnsiTheme="majorBidi" w:cstheme="majorBidi"/>
          <w:lang w:val="id-ID"/>
        </w:rPr>
      </w:pPr>
      <w:r w:rsidRPr="00BE5DA8">
        <w:rPr>
          <w:rStyle w:val="ReferensiCatatanKaki"/>
          <w:rFonts w:asciiTheme="majorBidi" w:hAnsiTheme="majorBidi" w:cstheme="majorBidi"/>
        </w:rPr>
        <w:footnoteRef/>
      </w:r>
      <w:r w:rsidRPr="00BE5DA8">
        <w:rPr>
          <w:rFonts w:asciiTheme="majorBidi" w:hAnsiTheme="majorBidi" w:cstheme="majorBidi"/>
        </w:rPr>
        <w:t xml:space="preserve"> </w:t>
      </w:r>
      <w:r w:rsidRPr="00BE5DA8">
        <w:rPr>
          <w:rFonts w:asciiTheme="majorBidi" w:hAnsiTheme="majorBidi" w:cstheme="majorBidi"/>
        </w:rPr>
        <w:fldChar w:fldCharType="begin" w:fldLock="1"/>
      </w:r>
      <w:r w:rsidR="00A0283A" w:rsidRPr="00BE5DA8">
        <w:rPr>
          <w:rFonts w:asciiTheme="majorBidi" w:hAnsiTheme="majorBidi" w:cstheme="majorBidi"/>
        </w:rPr>
        <w:instrText>ADDIN CSL_CITATION {"citationItems":[{"id":"ITEM-1","itemData":{"DOI":"10.1163/ej.9789004201095.i-628.133","abstract":"identity: its crazy complicated","author":[{"dropping-particle":"","family":"Fraade","given":"S.","non-dropping-particle":"","parse-names":false,"suffix":""}],"container-title":"Legal Fictions","id":"ITEM-1","issued":{"date-parts":[["2011"]]},"page":"523-554","title":"Chapter Twenty-Three. The Temple As A Marker Of Jewish Identity Before And After 70 C.E.: The Role Of The Holy Vessels In Rabbinic Memory And Imagination","type":"article-journal"},"uris":["http://www.mendeley.com/documents/?uuid=ce0f6322-a44d-4b03-8002-6e144ed8e4fc"]}],"mendeley":{"formattedCitation":"S. Fraade, “Chapter Twenty-Three. The Temple As A Marker Of Jewish Identity Before And After 70 C.E.: The Role Of The Holy Vessels In Rabbinic Memory And Imagination,” &lt;i&gt;Legal Fictions&lt;/i&gt;, 2011, 523–54, https://doi.org/10.1163/ej.9789004201095.i-628.133.","plainTextFormattedCitation":"S. Fraade, “Chapter Twenty-Three. The Temple As A Marker Of Jewish Identity Before And After 70 C.E.: The Role Of The Holy Vessels In Rabbinic Memory And Imagination,” Legal Fictions, 2011, 523–54, https://doi.org/10.1163/ej.9789004201095.i-628.133.","previouslyFormattedCitation":"S. Fraade, “Chapter Twenty-Three. The Temple As A Marker Of Jewish Identity Before And After 70 C.E.: The Role Of The Holy Vessels In Rabbinic Memory And Imagination,” &lt;i&gt;Legal Fictions&lt;/i&gt;, 2011, 523–54, https://doi.org/10.1163/ej.9789004201095.i-628.133."},"properties":{"noteIndex":3},"schema":"https://github.com/citation-style-language/schema/raw/master/csl-citation.json"}</w:instrText>
      </w:r>
      <w:r w:rsidRPr="00BE5DA8">
        <w:rPr>
          <w:rFonts w:asciiTheme="majorBidi" w:hAnsiTheme="majorBidi" w:cstheme="majorBidi"/>
        </w:rPr>
        <w:fldChar w:fldCharType="separate"/>
      </w:r>
      <w:r w:rsidRPr="00BE5DA8">
        <w:rPr>
          <w:rFonts w:asciiTheme="majorBidi" w:hAnsiTheme="majorBidi" w:cstheme="majorBidi"/>
          <w:noProof/>
        </w:rPr>
        <w:t xml:space="preserve">S. Fraade, “Chapter Twenty-Three. The Temple As A Marker Of Jewish Identity Before And After 70 C.E.: The Role Of The Holy Vessels In Rabbinic Memory And Imagination,” </w:t>
      </w:r>
      <w:r w:rsidRPr="00BE5DA8">
        <w:rPr>
          <w:rFonts w:asciiTheme="majorBidi" w:hAnsiTheme="majorBidi" w:cstheme="majorBidi"/>
          <w:i/>
          <w:noProof/>
        </w:rPr>
        <w:t>Legal Fictions</w:t>
      </w:r>
      <w:r w:rsidRPr="00BE5DA8">
        <w:rPr>
          <w:rFonts w:asciiTheme="majorBidi" w:hAnsiTheme="majorBidi" w:cstheme="majorBidi"/>
          <w:noProof/>
        </w:rPr>
        <w:t>, 2011, 523–54, https://doi.org/10.1163/ej.9789004201095.i-628.133.</w:t>
      </w:r>
      <w:r w:rsidRPr="00BE5DA8">
        <w:rPr>
          <w:rFonts w:asciiTheme="majorBidi" w:hAnsiTheme="majorBidi" w:cstheme="majorBidi"/>
        </w:rPr>
        <w:fldChar w:fldCharType="end"/>
      </w:r>
    </w:p>
  </w:footnote>
  <w:footnote w:id="4">
    <w:p w14:paraId="0BBD912D" w14:textId="79FF1370" w:rsidR="00A0283A" w:rsidRPr="00BE5DA8" w:rsidRDefault="00A0283A" w:rsidP="00BE5DA8">
      <w:pPr>
        <w:pStyle w:val="TeksCatatanKaki"/>
        <w:ind w:firstLine="720"/>
        <w:jc w:val="both"/>
        <w:rPr>
          <w:rFonts w:asciiTheme="majorBidi" w:hAnsiTheme="majorBidi" w:cstheme="majorBidi"/>
          <w:lang w:val="id-ID"/>
        </w:rPr>
      </w:pPr>
      <w:r w:rsidRPr="00BE5DA8">
        <w:rPr>
          <w:rStyle w:val="ReferensiCatatanKaki"/>
          <w:rFonts w:asciiTheme="majorBidi" w:hAnsiTheme="majorBidi" w:cstheme="majorBidi"/>
        </w:rPr>
        <w:footnoteRef/>
      </w:r>
      <w:r w:rsidRPr="00BE5DA8">
        <w:rPr>
          <w:rFonts w:asciiTheme="majorBidi" w:hAnsiTheme="majorBidi" w:cstheme="majorBidi"/>
        </w:rPr>
        <w:t xml:space="preserve"> </w:t>
      </w:r>
      <w:r w:rsidRPr="00BE5DA8">
        <w:rPr>
          <w:rFonts w:asciiTheme="majorBidi" w:hAnsiTheme="majorBidi" w:cstheme="majorBidi"/>
        </w:rPr>
        <w:fldChar w:fldCharType="begin" w:fldLock="1"/>
      </w:r>
      <w:r w:rsidRPr="00BE5DA8">
        <w:rPr>
          <w:rFonts w:asciiTheme="majorBidi" w:hAnsiTheme="majorBidi" w:cstheme="majorBidi"/>
        </w:rPr>
        <w:instrText>ADDIN CSL_CITATION {"citationItems":[{"id":"ITEM-1","itemData":{"DOI":"10.3390/rel10120667","ISSN":"20771444","abstract":"This article will summarize and interpret archaeological data that may be used to illuminate the religion of ancient Israel, ca. 1200–600 BCE, while using a phenomenal approach. The resultant portrait will be compared with one drawn from the texts of the Hebrew Bible, which suggests both convergences and significant differences. The conclusion will emphasize that archaeology does best in providing a real‐life context for both artifact and texts. However, it is mostly limited to religious practice, rather than belief.","author":[{"dropping-particle":"","family":"Dever","given":"William G.","non-dropping-particle":"","parse-names":false,"suffix":""}],"container-title":"Religions","id":"ITEM-1","issue":"12","issued":{"date-parts":[["2019"]]},"title":"Archaeology and folk or family religion in ancient Israel","type":"article-journal","volume":"10"},"uris":["http://www.mendeley.com/documents/?uuid=29eb4f52-cddf-4f21-a095-5f025d789e55"]}],"mendeley":{"formattedCitation":"William G. Dever, “Archaeology and Folk or Family Religion in Ancient Israel,” &lt;i&gt;Religions&lt;/i&gt; 10, no. 12 (2019), https://doi.org/10.3390/rel10120667.","plainTextFormattedCitation":"William G. Dever, “Archaeology and Folk or Family Religion in Ancient Israel,” Religions 10, no. 12 (2019), https://doi.org/10.3390/rel10120667.","previouslyFormattedCitation":"William G. Dever, “Archaeology and Folk or Family Religion in Ancient Israel,” &lt;i&gt;Religions&lt;/i&gt; 10, no. 12 (2019), https://doi.org/10.3390/rel10120667."},"properties":{"noteIndex":4},"schema":"https://github.com/citation-style-language/schema/raw/master/csl-citation.json"}</w:instrText>
      </w:r>
      <w:r w:rsidRPr="00BE5DA8">
        <w:rPr>
          <w:rFonts w:asciiTheme="majorBidi" w:hAnsiTheme="majorBidi" w:cstheme="majorBidi"/>
        </w:rPr>
        <w:fldChar w:fldCharType="separate"/>
      </w:r>
      <w:r w:rsidRPr="00BE5DA8">
        <w:rPr>
          <w:rFonts w:asciiTheme="majorBidi" w:hAnsiTheme="majorBidi" w:cstheme="majorBidi"/>
          <w:noProof/>
        </w:rPr>
        <w:t xml:space="preserve">William G. Dever, “Archaeology and Folk or Family Religion in Ancient Israel,” </w:t>
      </w:r>
      <w:r w:rsidRPr="00BE5DA8">
        <w:rPr>
          <w:rFonts w:asciiTheme="majorBidi" w:hAnsiTheme="majorBidi" w:cstheme="majorBidi"/>
          <w:i/>
          <w:noProof/>
        </w:rPr>
        <w:t>Religions</w:t>
      </w:r>
      <w:r w:rsidRPr="00BE5DA8">
        <w:rPr>
          <w:rFonts w:asciiTheme="majorBidi" w:hAnsiTheme="majorBidi" w:cstheme="majorBidi"/>
          <w:noProof/>
        </w:rPr>
        <w:t xml:space="preserve"> 10, no. 12 (2019), https://doi.org/10.3390/rel10120667.</w:t>
      </w:r>
      <w:r w:rsidRPr="00BE5DA8">
        <w:rPr>
          <w:rFonts w:asciiTheme="majorBidi" w:hAnsiTheme="majorBidi" w:cstheme="majorBidi"/>
        </w:rPr>
        <w:fldChar w:fldCharType="end"/>
      </w:r>
    </w:p>
  </w:footnote>
  <w:footnote w:id="5">
    <w:p w14:paraId="34351627" w14:textId="1419B989" w:rsidR="00A0283A" w:rsidRPr="00BE5DA8" w:rsidRDefault="00A0283A" w:rsidP="00BE5DA8">
      <w:pPr>
        <w:pStyle w:val="TeksCatatanKaki"/>
        <w:ind w:firstLine="720"/>
        <w:jc w:val="both"/>
        <w:rPr>
          <w:rFonts w:asciiTheme="majorBidi" w:hAnsiTheme="majorBidi" w:cstheme="majorBidi"/>
          <w:lang w:val="id-ID"/>
        </w:rPr>
      </w:pPr>
      <w:r w:rsidRPr="00BE5DA8">
        <w:rPr>
          <w:rStyle w:val="ReferensiCatatanKaki"/>
          <w:rFonts w:asciiTheme="majorBidi" w:hAnsiTheme="majorBidi" w:cstheme="majorBidi"/>
        </w:rPr>
        <w:footnoteRef/>
      </w:r>
      <w:r w:rsidRPr="00BE5DA8">
        <w:rPr>
          <w:rFonts w:asciiTheme="majorBidi" w:hAnsiTheme="majorBidi" w:cstheme="majorBidi"/>
        </w:rPr>
        <w:t xml:space="preserve"> </w:t>
      </w:r>
      <w:r w:rsidRPr="00BE5DA8">
        <w:rPr>
          <w:rFonts w:asciiTheme="majorBidi" w:hAnsiTheme="majorBidi" w:cstheme="majorBidi"/>
        </w:rPr>
        <w:fldChar w:fldCharType="begin" w:fldLock="1"/>
      </w:r>
      <w:r w:rsidR="00603858" w:rsidRPr="00BE5DA8">
        <w:rPr>
          <w:rFonts w:asciiTheme="majorBidi" w:hAnsiTheme="majorBidi" w:cstheme="majorBidi"/>
        </w:rPr>
        <w:instrText>ADDIN CSL_CITATION {"citationItems":[{"id":"ITEM-1","itemData":{"ISSN":"2339-0751","abstract":"Para sarjana naratif modern, seperti Ninian Smart, Paul G. Hiebert, Charles Taylor, James W. Sire, dan James K.A. Smith, menegaskan sentralitas narasi dalam pembentukan identitas dan spiritualitas individu dan masyarakat. Kekuatan narasi hadir dalam dimensi imajinal, yang dimanifestasikan dalam kisah-kisah mitos. Para sarjana di atas mengacu pada pendekatan sosiologis/antropologis, yang sederhananya berorientasi pada disiplin ilmu humaniora. Dengan tetap mengapresiasi studi-studi tersebut, artikel ini bertujuan untuk memberikan kontribusi diskursif di sekitar subjek bahasan—kontribusi yang mempertimbangkan diskursus naratif dan mitos dari perspektif studi biblis, mengingat pentingnya memahami manusia sebagai makhluk yang kompleks dan utuh. Penulis berpegang pada sentralitas teks Kitab Suci untuk menuntun kehidupan dan iman umat Allah karena teks berisi narasi Allah: sebagai fondasi, memori, dan kerangka kerja mitis mereka. Menggunakan konsep “imajinasi profetik” Walter Brueggemann, artikel ini mengajukan metafora kitab suci sebagai sebuah model dalam menghadapi realitas kehidupan kontemporer yang dikelilingi oleh kontestasi-kontestasi naratif.","author":[{"dropping-particle":"","family":"Hendradi","given":"Nathaniel","non-dropping-particle":"","parse-names":false,"suffix":""}],"container-title":"Indonesian Journal of Theology","id":"ITEM-1","issue":"1","issued":{"date-parts":[["2022"]]},"page":"73-107","title":"Membangkitkan Realitas Alternatif: Konsep “Imajinasi Profetik” Walter Brueggemann Sebagai Metafora Kitab Suci Bagi Kontestasi Naratif Realitas Kontemporer","type":"article-journal","volume":"10"},"uris":["http://www.mendeley.com/documents/?uuid=c0987e16-a69c-406f-b89d-bf983ddb2ce8"]}],"mendeley":{"formattedCitation":"Nathaniel Hendradi, “Membangkitkan Realitas Alternatif: Konsep ‘Imajinasi Profetik’ Walter Brueggemann Sebagai Metafora Kitab Suci Bagi Kontestasi Naratif Realitas Kontemporer,” &lt;i&gt;Indonesian Journal of Theology&lt;/i&gt; 10, no. 1 (2022): 73–107.","plainTextFormattedCitation":"Nathaniel Hendradi, “Membangkitkan Realitas Alternatif: Konsep ‘Imajinasi Profetik’ Walter Brueggemann Sebagai Metafora Kitab Suci Bagi Kontestasi Naratif Realitas Kontemporer,” Indonesian Journal of Theology 10, no. 1 (2022): 73–107.","previouslyFormattedCitation":"Nathaniel Hendradi, “Membangkitkan Realitas Alternatif: Konsep ‘Imajinasi Profetik’ Walter Brueggemann Sebagai Metafora Kitab Suci Bagi Kontestasi Naratif Realitas Kontemporer,” &lt;i&gt;Indonesian Journal of Theology&lt;/i&gt; 10, no. 1 (2022): 73–107."},"properties":{"noteIndex":5},"schema":"https://github.com/citation-style-language/schema/raw/master/csl-citation.json"}</w:instrText>
      </w:r>
      <w:r w:rsidRPr="00BE5DA8">
        <w:rPr>
          <w:rFonts w:asciiTheme="majorBidi" w:hAnsiTheme="majorBidi" w:cstheme="majorBidi"/>
        </w:rPr>
        <w:fldChar w:fldCharType="separate"/>
      </w:r>
      <w:r w:rsidRPr="00BE5DA8">
        <w:rPr>
          <w:rFonts w:asciiTheme="majorBidi" w:hAnsiTheme="majorBidi" w:cstheme="majorBidi"/>
          <w:noProof/>
        </w:rPr>
        <w:t xml:space="preserve">Nathaniel Hendradi, “Membangkitkan Realitas Alternatif: Konsep ‘Imajinasi Profetik’ Walter Brueggemann Sebagai Metafora Kitab Suci Bagi Kontestasi Naratif Realitas Kontemporer,” </w:t>
      </w:r>
      <w:r w:rsidRPr="00BE5DA8">
        <w:rPr>
          <w:rFonts w:asciiTheme="majorBidi" w:hAnsiTheme="majorBidi" w:cstheme="majorBidi"/>
          <w:i/>
          <w:noProof/>
        </w:rPr>
        <w:t>Indonesian Journal of Theology</w:t>
      </w:r>
      <w:r w:rsidRPr="00BE5DA8">
        <w:rPr>
          <w:rFonts w:asciiTheme="majorBidi" w:hAnsiTheme="majorBidi" w:cstheme="majorBidi"/>
          <w:noProof/>
        </w:rPr>
        <w:t xml:space="preserve"> 10, no. 1 (2022): 73–107.</w:t>
      </w:r>
      <w:r w:rsidRPr="00BE5DA8">
        <w:rPr>
          <w:rFonts w:asciiTheme="majorBidi" w:hAnsiTheme="majorBidi" w:cstheme="majorBidi"/>
        </w:rPr>
        <w:fldChar w:fldCharType="end"/>
      </w:r>
    </w:p>
  </w:footnote>
  <w:footnote w:id="6">
    <w:p w14:paraId="370844E0" w14:textId="6B6F6190" w:rsidR="00603858" w:rsidRPr="00603858" w:rsidRDefault="00603858" w:rsidP="00BE5DA8">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{"citationItems":[{"id":"ITEM-1","itemData":{"author":[{"dropping-particle":"","family":"Metzler","given":"Maria J","non-dropping-particle":"","parse-names":false,"suffix":""}],"id":"ITEM-1","issued":{"date-parts":[["2016"]]},"title":"The Ark of the Covenant and Divine Rage in the Hebrew Bible","type":"article-journal"},"uris":["http://www.mendeley.com/documents/?uuid=a073dcb1-b564-4916-9918-e5b4daaada8a"]}],"mendeley":{"formattedCitation":"Maria J Metzler, “The Ark of the Covenant and Divine Rage in the Hebrew Bible,” 2016, http://nrs.harvard.edu/urn-3:HUL.InstRepos:33840681.","plainTextFormattedCitation":"Maria J Metzler, “The Ark of the Covenant and Divine Rage in the Hebrew Bible,” 2016, http://nrs.harvard.edu/urn-3:HUL.InstRepos:33840681.","previouslyFormattedCitation":"Maria J Metzler, “The Ark of the Covenant and Divine Rage in the Hebrew Bible,” 2016, http://nrs.harvard.edu/urn-3:HUL.InstRepos:33840681."},"properties":{"noteIndex":6},"schema":"https://github.com/citation-style-language/schema/raw/master/csl-citation.json"}</w:instrText>
      </w:r>
      <w:r>
        <w:fldChar w:fldCharType="separate"/>
      </w:r>
      <w:r w:rsidRPr="00603858">
        <w:rPr>
          <w:noProof/>
        </w:rPr>
        <w:t>Maria J Metzler, “The Ark of the Covenant and Divine Rage in the Hebrew Bible,” 2016, http://nrs.harvard.edu/urn-3:HUL.InstRepos:33840681.</w:t>
      </w:r>
      <w:r>
        <w:fldChar w:fldCharType="end"/>
      </w:r>
    </w:p>
  </w:footnote>
  <w:footnote w:id="7">
    <w:p w14:paraId="3AABC63E" w14:textId="63A60AC5" w:rsidR="00603858" w:rsidRPr="00603858" w:rsidRDefault="00603858" w:rsidP="00BE5DA8">
      <w:pPr>
        <w:pStyle w:val="TeksCatatanKaki"/>
        <w:ind w:firstLine="720"/>
        <w:jc w:val="both"/>
        <w:rPr>
          <w:lang w:val="id-ID"/>
        </w:rPr>
      </w:pPr>
      <w:r>
        <w:rPr>
          <w:rStyle w:val="ReferensiCatatanKaki"/>
        </w:rPr>
        <w:footnoteRef/>
      </w:r>
      <w:r>
        <w:t xml:space="preserve"> </w:t>
      </w:r>
      <w:r>
        <w:fldChar w:fldCharType="begin" w:fldLock="1"/>
      </w:r>
      <w:r w:rsidR="002D7200">
        <w:instrText>ADDIN CSL_CITATION {"citationItems":[{"id":"ITEM-1","itemData":{"author":[{"dropping-particle":"","family":"Zuck","given":"Roy","non-dropping-particle":"","parse-names":false,"suffix":""}],"id":"ITEM-1","issued":{"date-parts":[["2005"]]},"publisher":"Gandum Mas","publisher-place":"Malang","title":"A Biblical Theology Of The Old Testament","type":"book"},"uris":["http://www.mendeley.com/documents/?uuid=d8c94fa0-c17f-4682-bc44-30cfe5e713be"]}],"mendeley":{"formattedCitation":"Roy Zuck, &lt;i&gt;A Biblical Theology Of The Old Testament&lt;/i&gt; (Malang: Gandum Mas, 2005).","plainTextFormattedCitation":"Roy Zuck, A Biblical Theology Of The Old Testament (Malang: Gandum Mas, 2005).","previouslyFormattedCitation":"Roy Zuck, &lt;i&gt;A Biblical Theology Of The Old Testament&lt;/i&gt; (Malang: Gandum Mas, 2005)."},"properties":{"noteIndex":7},"schema":"https://github.com/citation-style-language/schema/raw/master/csl-citation.json"}</w:instrText>
      </w:r>
      <w:r>
        <w:fldChar w:fldCharType="separate"/>
      </w:r>
      <w:r w:rsidRPr="00603858">
        <w:rPr>
          <w:noProof/>
        </w:rPr>
        <w:t xml:space="preserve">Roy Zuck, </w:t>
      </w:r>
      <w:r w:rsidRPr="00603858">
        <w:rPr>
          <w:i/>
          <w:noProof/>
        </w:rPr>
        <w:t>A Biblical Theology Of The Old Testament</w:t>
      </w:r>
      <w:r w:rsidRPr="00603858">
        <w:rPr>
          <w:noProof/>
        </w:rPr>
        <w:t xml:space="preserve"> (Malang: Gandum Mas, 2005).</w:t>
      </w:r>
      <w:r>
        <w:fldChar w:fldCharType="end"/>
      </w:r>
    </w:p>
  </w:footnote>
  <w:footnote w:id="8">
    <w:p w14:paraId="237DA180" w14:textId="384095CD" w:rsidR="002D7200" w:rsidRPr="002D7200" w:rsidRDefault="002D7200" w:rsidP="00BE5DA8">
      <w:pPr>
        <w:pStyle w:val="TeksCatatanKaki"/>
        <w:ind w:firstLine="720"/>
        <w:jc w:val="both"/>
        <w:rPr>
          <w:lang w:val="id-ID"/>
        </w:rPr>
      </w:pPr>
      <w:r>
        <w:rPr>
          <w:rStyle w:val="ReferensiCatatanKaki"/>
        </w:rPr>
        <w:footnoteRef/>
      </w:r>
      <w:r>
        <w:t xml:space="preserve"> </w:t>
      </w:r>
      <w:r>
        <w:fldChar w:fldCharType="begin" w:fldLock="1"/>
      </w:r>
      <w:r w:rsidR="003A0859">
        <w:instrText>ADDIN CSL_CITATION {"citationItems":[{"id":"ITEM-1","itemData":{"author":[{"dropping-particle":"","family":"Vriezen","given":"Theodorus C","non-dropping-particle":"","parse-names":false,"suffix":""}],"container-title":"IJ Cairns, Cet","id":"ITEM-1","issued":{"date-parts":[["2003"]]},"publisher":"BPK. Gunung Mulia","publisher-place":"Jakarta","title":"Agama Israel Kuno, Terj","type":"book","volume":"4"},"uris":["http://www.mendeley.com/documents/?uuid=0a5a93f3-13a4-4d1f-83b3-636e3f149907"]}],"mendeley":{"formattedCitation":"Theodorus C Vriezen, &lt;i&gt;Agama Israel Kuno, Terj&lt;/i&gt;, &lt;i&gt;IJ Cairns, Cet&lt;/i&gt;, vol. 4 (Jakarta: BPK. Gunung Mulia, 2003).","plainTextFormattedCitation":"Theodorus C Vriezen, Agama Israel Kuno, Terj, IJ Cairns, Cet, vol. 4 (Jakarta: BPK. Gunung Mulia, 2003).","previouslyFormattedCitation":"Theodorus C Vriezen, &lt;i&gt;Agama Israel Kuno, Terj&lt;/i&gt;, &lt;i&gt;IJ Cairns, Cet&lt;/i&gt;, vol. 4 (Jakarta: BPK. Gunung Mulia, 2003)."},"properties":{"noteIndex":8},"schema":"https://github.com/citation-style-language/schema/raw/master/csl-citation.json"}</w:instrText>
      </w:r>
      <w:r>
        <w:fldChar w:fldCharType="separate"/>
      </w:r>
      <w:r w:rsidRPr="002D7200">
        <w:rPr>
          <w:noProof/>
        </w:rPr>
        <w:t xml:space="preserve">Theodorus C Vriezen, </w:t>
      </w:r>
      <w:r w:rsidRPr="002D7200">
        <w:rPr>
          <w:i/>
          <w:noProof/>
        </w:rPr>
        <w:t>Agama Israel Kuno, Terj</w:t>
      </w:r>
      <w:r w:rsidRPr="002D7200">
        <w:rPr>
          <w:noProof/>
        </w:rPr>
        <w:t xml:space="preserve">, </w:t>
      </w:r>
      <w:r w:rsidRPr="002D7200">
        <w:rPr>
          <w:i/>
          <w:noProof/>
        </w:rPr>
        <w:t>IJ Cairns, Cet</w:t>
      </w:r>
      <w:r w:rsidRPr="002D7200">
        <w:rPr>
          <w:noProof/>
        </w:rPr>
        <w:t>, vol. 4 (Jakarta: BPK. Gunung Mulia, 2003).</w:t>
      </w:r>
      <w:r>
        <w:fldChar w:fldCharType="end"/>
      </w:r>
    </w:p>
  </w:footnote>
  <w:footnote w:id="9">
    <w:p w14:paraId="0178F6BB" w14:textId="68008DCF" w:rsidR="00901906" w:rsidRPr="00901906" w:rsidRDefault="00901906" w:rsidP="00901906">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{"citationItems":[{"id":"ITEM-1","itemData":{"DOI":"10.2478/ress-2023-0106","author":[{"dropping-particle":"","family":"Seppala","given":"Serafim","non-dropping-particle":"","parse-names":false,"suffix":""}],"container-title":"Review of Ecumenical Studies (RES)","id":"ITEM-1","issue":"1","issued":{"date-parts":[["2023"]]},"page":"105-122","title":"A Sacred Cyberspace? Towards the Ontology of Virtual Worship","type":"article-journal","volume":"15"},"uris":["http://www.mendeley.com/documents/?uuid=ecf37778-3fe8-4b19-aabe-aac9bdec0651"]}],"mendeley":{"formattedCitation":"Serafim Seppala, “A Sacred Cyberspace? Towards the Ontology of Virtual Worship,” &lt;i&gt;Review of Ecumenical Studies (RES)&lt;/i&gt; 15, no. 1 (2023): 105–22, https://doi.org/10.2478/ress-2023-0106.","plainTextFormattedCitation":"Serafim Seppala, “A Sacred Cyberspace? Towards the Ontology of Virtual Worship,” Review of Ecumenical Studies (RES) 15, no. 1 (2023): 105–22, https://doi.org/10.2478/ress-2023-0106.","previouslyFormattedCitation":"Serafim Seppala, “A Sacred Cyberspace? Towards the Ontology of Virtual Worship,” &lt;i&gt;Review of Ecumenical Studies (RES)&lt;/i&gt; 15, no. 1 (2023): 105–22, https://doi.org/10.2478/ress-2023-0106."},"properties":{"noteIndex":9},"schema":"https://github.com/citation-style-language/schema/raw/master/csl-citation.json"}</w:instrText>
      </w:r>
      <w:r>
        <w:fldChar w:fldCharType="separate"/>
      </w:r>
      <w:r w:rsidRPr="00901906">
        <w:rPr>
          <w:noProof/>
        </w:rPr>
        <w:t xml:space="preserve">Serafim Seppala, “A Sacred Cyberspace? Towards the Ontology of Virtual Worship,” </w:t>
      </w:r>
      <w:r w:rsidRPr="00901906">
        <w:rPr>
          <w:i/>
          <w:noProof/>
        </w:rPr>
        <w:t>Review of Ecumenical Studies (RES)</w:t>
      </w:r>
      <w:r w:rsidRPr="00901906">
        <w:rPr>
          <w:noProof/>
        </w:rPr>
        <w:t xml:space="preserve"> 15, no. 1 (2023): 105–22, https://doi.org/10.2478/ress-2023-0106.</w:t>
      </w:r>
      <w:r>
        <w:fldChar w:fldCharType="end"/>
      </w:r>
    </w:p>
  </w:footnote>
  <w:footnote w:id="10">
    <w:p w14:paraId="238F3EBF" w14:textId="65D6DB05" w:rsidR="00901906" w:rsidRPr="00901906" w:rsidRDefault="00901906" w:rsidP="00901906">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author":[{"dropping-particle":"","family":"Evolvi","given":"Giulia","non-dropping-particle":"","parse-names":false,"suffix":""}],"edition":"1","id":"ITEM-1","issued":{"date-parts":[["2023"]]},"number-of-pages":"15","publisher":"Taylor &amp; Francis Froup","publisher-place":"London","title":"The Sacred Tech","type":"book"},"locator":"71-78","uris":["http://www.mendeley.com/documents/?uuid=553393e4-596a-4d43-ba70-148cc533abda"]}],"mendeley":{"formattedCitation":"Giulia Evolvi, &lt;i&gt;The Sacred Tech&lt;/i&gt;, 1st ed. (London: Taylor &amp; Francis Froup, 2023), 71–78.","plainTextFormattedCitation":"Giulia Evolvi, The Sacred Tech, 1st ed. (London: Taylor &amp; Francis Froup, 2023), 71–78.","previouslyFormattedCitation":"Giulia Evolvi, &lt;i&gt;The Sacred Tech&lt;/i&gt;, 1st ed. (London: Taylor &amp; Francis Froup, 2023), 71–78."},"properties":{"noteIndex":10},"schema":"https://github.com/citation-style-language/schema/raw/master/csl-citation.json"}</w:instrText>
      </w:r>
      <w:r>
        <w:fldChar w:fldCharType="separate"/>
      </w:r>
      <w:r w:rsidRPr="00901906">
        <w:rPr>
          <w:noProof/>
        </w:rPr>
        <w:t xml:space="preserve">Giulia Evolvi, </w:t>
      </w:r>
      <w:r w:rsidRPr="00901906">
        <w:rPr>
          <w:i/>
          <w:noProof/>
        </w:rPr>
        <w:t>The Sacred Tech</w:t>
      </w:r>
      <w:r w:rsidRPr="00901906">
        <w:rPr>
          <w:noProof/>
        </w:rPr>
        <w:t>, 1st ed. (London: Taylor &amp; Francis Froup, 2023), 71–78.</w:t>
      </w:r>
      <w:r>
        <w:fldChar w:fldCharType="end"/>
      </w:r>
    </w:p>
  </w:footnote>
  <w:footnote w:id="11">
    <w:p w14:paraId="3E016E1D" w14:textId="1260A2AF" w:rsidR="00901906" w:rsidRPr="00901906" w:rsidRDefault="00901906" w:rsidP="00901906">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{"citationItems":[{"id":"ITEM-1","itemData":{"DOI":"https://doi.org/10.1007/978-3-031-09405-7","author":[{"dropping-particle":"","family":"Baden","given":"Maggi Savin","non-dropping-particle":"","parse-names":false,"suffix":""},{"dropping-particle":"","family":"Reader","given":"John","non-dropping-particle":"","parse-names":false,"suffix":""}],"edition":"1","id":"ITEM-1","issued":{"date-parts":[["2022"]]},"publisher":"Springer Cham","publisher-place":"Switzerland","title":"Postdigital Theologies","type":"book"},"locator":"3-19","uris":["http://www.mendeley.com/documents/?uuid=5ab59ca3-ae21-4359-bd44-e91ba94e4691"]}],"mendeley":{"formattedCitation":"Maggi Savin Baden and John Reader, &lt;i&gt;Postdigital Theologies&lt;/i&gt;, 1st ed. (Switzerland: Springer Cham, 2022), 3–19, https://doi.org/https://doi.org/10.1007/978-3-031-09405-7.","plainTextFormattedCitation":"Maggi Savin Baden and John Reader, Postdigital Theologies, 1st ed. (Switzerland: Springer Cham, 2022), 3–19, https://doi.org/https://doi.org/10.1007/978-3-031-09405-7.","previouslyFormattedCitation":"Maggi Savin Baden and John Reader, &lt;i&gt;Postdigital Theologies&lt;/i&gt;, 1st ed. (Switzerland: Springer Cham, 2022), 3–19, https://doi.org/https://doi.org/10.1007/978-3-031-09405-7."},"properties":{"noteIndex":11},"schema":"https://github.com/citation-style-language/schema/raw/master/csl-citation.json"}</w:instrText>
      </w:r>
      <w:r>
        <w:fldChar w:fldCharType="separate"/>
      </w:r>
      <w:r w:rsidRPr="00901906">
        <w:rPr>
          <w:noProof/>
        </w:rPr>
        <w:t xml:space="preserve">Maggi Savin Baden and John Reader, </w:t>
      </w:r>
      <w:r w:rsidRPr="00901906">
        <w:rPr>
          <w:i/>
          <w:noProof/>
        </w:rPr>
        <w:t>Postdigital Theologies</w:t>
      </w:r>
      <w:r w:rsidRPr="00901906">
        <w:rPr>
          <w:noProof/>
        </w:rPr>
        <w:t>, 1st ed. (Switzerland: Springer Cham, 2022), 3–19, https://doi.org/https://doi.org/10.1007/978-3-031-09405-7.</w:t>
      </w:r>
      <w:r>
        <w:fldChar w:fldCharType="end"/>
      </w:r>
    </w:p>
  </w:footnote>
  <w:footnote w:id="12">
    <w:p w14:paraId="6946E94C" w14:textId="43F950CA" w:rsidR="00901906" w:rsidRPr="00901906" w:rsidRDefault="00901906" w:rsidP="00901906">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{"citationItems":[{"id":"ITEM-1","itemData":{"DOI":"10.1007/s41682-021-00087-9","ISBN":"4168202100","author":[{"dropping-particle":"","family":"Evolvi","given":"Giulia","non-dropping-particle":"","parse-names":false,"suffix":""}],"container-title":"Zeitschrift für Religion, Gesellschaft und Politik","id":"ITEM-1","issue":"1","issued":{"date-parts":[["2022"]]},"page":"9-25","title":"Religion and the internet: digital religion, (hyper)mediated spaces, and materiality","type":"article-journal","volume":"6"},"uris":["http://www.mendeley.com/documents/?uuid=baaa2616-3829-4781-b29e-3249418b0485"]}],"mendeley":{"formattedCitation":"Giulia Evolvi, “Religion and the Internet: Digital Religion, (Hyper)Mediated Spaces, and Materiality,” &lt;i&gt;Zeitschrift Für Religion, Gesellschaft Und Politik&lt;/i&gt; 6, no. 1 (2022): 9–25, https://doi.org/10.1007/s41682-021-00087-9.","plainTextFormattedCitation":"Giulia Evolvi, “Religion and the Internet: Digital Religion, (Hyper)Mediated Spaces, and Materiality,” Zeitschrift Für Religion, Gesellschaft Und Politik 6, no. 1 (2022): 9–25, https://doi.org/10.1007/s41682-021-00087-9.","previouslyFormattedCitation":"Giulia Evolvi, “Religion and the Internet: Digital Religion, (Hyper)Mediated Spaces, and Materiality,” &lt;i&gt;Zeitschrift Für Religion, Gesellschaft Und Politik&lt;/i&gt; 6, no. 1 (2022): 9–25, https://doi.org/10.1007/s41682-021-00087-9."},"properties":{"noteIndex":12},"schema":"https://github.com/citation-style-language/schema/raw/master/csl-citation.json"}</w:instrText>
      </w:r>
      <w:r>
        <w:fldChar w:fldCharType="separate"/>
      </w:r>
      <w:r w:rsidRPr="00901906">
        <w:rPr>
          <w:noProof/>
        </w:rPr>
        <w:t xml:space="preserve">Giulia Evolvi, “Religion and the Internet: Digital Religion, (Hyper)Mediated Spaces, and Materiality,” </w:t>
      </w:r>
      <w:r w:rsidRPr="00901906">
        <w:rPr>
          <w:i/>
          <w:noProof/>
        </w:rPr>
        <w:t>Zeitschrift Für Religion, Gesellschaft Und Politik</w:t>
      </w:r>
      <w:r w:rsidRPr="00901906">
        <w:rPr>
          <w:noProof/>
        </w:rPr>
        <w:t xml:space="preserve"> 6, no. 1 (2022): 9–25, https://doi.org/10.1007/s41682-021-00087-9.</w:t>
      </w:r>
      <w:r>
        <w:fldChar w:fldCharType="end"/>
      </w:r>
    </w:p>
  </w:footnote>
  <w:footnote w:id="13">
    <w:p w14:paraId="249C8684" w14:textId="6293FB95" w:rsidR="00901906" w:rsidRPr="00901906" w:rsidRDefault="00901906" w:rsidP="00901906">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DOI":"https://doi.org/10.4324/9781003048190","author":[{"dropping-particle":"","family":"Echchaibi","given":"Nabil","non-dropping-particle":"","parse-names":false,"suffix":""},{"dropping-particle":"","family":"Hoover","given":"Steward M.","non-dropping-particle":"","parse-names":false,"suffix":""}],"container-title":"Routledge","id":"ITEM-1","issued":{"date-parts":[["2023"]]},"publisher":"Routledge","publisher-place":"London","title":"The Third Spaces of Digital Religion","type":"book"},"locator":"36","uris":["http://www.mendeley.com/documents/?uuid=02097c37-c0d0-4305-8943-6dd0f393976a"]}],"mendeley":{"formattedCitation":"Nabil Echchaibi and Steward M. Hoover, &lt;i&gt;The Third Spaces of Digital Religion&lt;/i&gt;, &lt;i&gt;Routledge&lt;/i&gt; (London: Routledge, 2023), 36, https://doi.org/https://doi.org/10.4324/9781003048190.","plainTextFormattedCitation":"Nabil Echchaibi and Steward M. Hoover, The Third Spaces of Digital Religion, Routledge (London: Routledge, 2023), 36, https://doi.org/https://doi.org/10.4324/9781003048190.","previouslyFormattedCitation":"Nabil Echchaibi and Steward M. Hoover, &lt;i&gt;The Third Spaces of Digital Religion&lt;/i&gt;, &lt;i&gt;Routledge&lt;/i&gt; (London: Routledge, 2023), 36, https://doi.org/https://doi.org/10.4324/9781003048190."},"properties":{"noteIndex":13},"schema":"https://github.com/citation-style-language/schema/raw/master/csl-citation.json"}</w:instrText>
      </w:r>
      <w:r>
        <w:fldChar w:fldCharType="separate"/>
      </w:r>
      <w:r w:rsidRPr="00901906">
        <w:rPr>
          <w:noProof/>
        </w:rPr>
        <w:t xml:space="preserve">Nabil Echchaibi and Steward M. Hoover, </w:t>
      </w:r>
      <w:r w:rsidRPr="00901906">
        <w:rPr>
          <w:i/>
          <w:noProof/>
        </w:rPr>
        <w:t>The Third Spaces of Digital Religion</w:t>
      </w:r>
      <w:r w:rsidRPr="00901906">
        <w:rPr>
          <w:noProof/>
        </w:rPr>
        <w:t xml:space="preserve">, </w:t>
      </w:r>
      <w:r w:rsidRPr="00901906">
        <w:rPr>
          <w:i/>
          <w:noProof/>
        </w:rPr>
        <w:t>Routledge</w:t>
      </w:r>
      <w:r w:rsidRPr="00901906">
        <w:rPr>
          <w:noProof/>
        </w:rPr>
        <w:t xml:space="preserve"> (London: Routledge, 2023), 36, https://doi.org/https://doi.org/10.4324/9781003048190.</w:t>
      </w:r>
      <w:r>
        <w:fldChar w:fldCharType="end"/>
      </w:r>
    </w:p>
  </w:footnote>
  <w:footnote w:id="14">
    <w:p w14:paraId="3388BAFF" w14:textId="73529437" w:rsidR="00D762E5" w:rsidRPr="00D762E5" w:rsidRDefault="00D762E5" w:rsidP="009E2647">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{"citationItems":[{"id":"ITEM-1","itemData":{"DOI":"10.47951/mediad.1524883","author":[{"dropping-particle":"","family":"IŞIK","given":"Tuba","non-dropping-particle":"","parse-names":false,"suffix":""}],"container-title":"Journal of Media and Religion Studies","id":"ITEM-1","issue":"1","issued":{"date-parts":[["2024"]]},"page":"253-280","title":"The Effects of Digital Culture and New Media on Religious Identity in The Postmodern Age: The Case of Türkiye","type":"article-journal","volume":"1"},"uris":["http://www.mendeley.com/documents/?uuid=de252c37-f083-4137-b860-cdd726817e5d"]}],"mendeley":{"formattedCitation":"Tuba IŞIK, “The Effects of Digital Culture and New Media on Religious Identity in The Postmodern Age: The Case of Türkiye,” &lt;i&gt;Journal of Media and Religion Studies&lt;/i&gt; 1, no. 1 (2024): 253–80, https://doi.org/10.47951/mediad.1524883.","plainTextFormattedCitation":"Tuba IŞIK, “The Effects of Digital Culture and New Media on Religious Identity in The Postmodern Age: The Case of Türkiye,” Journal of Media and Religion Studies 1, no. 1 (2024): 253–80, https://doi.org/10.47951/mediad.1524883."},"properties":{"noteIndex":14},"schema":"https://github.com/citation-style-language/schema/raw/master/csl-citation.json"}</w:instrText>
      </w:r>
      <w:r>
        <w:fldChar w:fldCharType="separate"/>
      </w:r>
      <w:r w:rsidRPr="00D762E5">
        <w:rPr>
          <w:noProof/>
        </w:rPr>
        <w:t xml:space="preserve">Tuba IŞIK, “The Effects of Digital Culture and New Media on Religious Identity in The Postmodern Age: The Case of Türkiye,” </w:t>
      </w:r>
      <w:r w:rsidRPr="00D762E5">
        <w:rPr>
          <w:i/>
          <w:noProof/>
        </w:rPr>
        <w:t>Journal of Media and Religion Studies</w:t>
      </w:r>
      <w:r w:rsidRPr="00D762E5">
        <w:rPr>
          <w:noProof/>
        </w:rPr>
        <w:t xml:space="preserve"> 1, no. 1 (2024): 253–80, https://doi.org/10.47951/mediad.1524883.</w:t>
      </w:r>
      <w:r>
        <w:fldChar w:fldCharType="end"/>
      </w:r>
    </w:p>
  </w:footnote>
  <w:footnote w:id="15">
    <w:p w14:paraId="4BF6BE29" w14:textId="270300DF" w:rsidR="003A0859" w:rsidRPr="003A0859" w:rsidRDefault="003A0859"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{"citationItems":[{"id":"ITEM-1","itemData":{"ISBN":"978-1-5063-8670-6","ISSN":"1098-6596","PMID":"25246403","author":[{"dropping-particle":"","family":"Cresswell","given":"John W.","non-dropping-particle":"","parse-names":false,"suffix":""},{"dropping-particle":"","family":"Creswell","given":"J. David","non-dropping-particle":"","parse-names":false,"suffix":""}],"container-title":"Journal of Chemical Information and Modeling","edition":"5","id":"ITEM-1","issue":"9","issued":{"date-parts":[["2018"]]},"publisher":"SAGE Publications","publisher-place":"Los Angeles","title":"Research Design: Qualitative, Quantitative, and Mixed Method Approaches","type":"book","volume":"53"},"uris":["http://www.mendeley.com/documents/?uuid=308793df-c893-40fc-a737-c567848ba7b4"]}],"mendeley":{"formattedCitation":"John W. Cresswell and J. David Creswell, &lt;i&gt;Research Design: Qualitative, Quantitative, and Mixed Method Approaches&lt;/i&gt;, &lt;i&gt;Journal of Chemical Information and Modeling&lt;/i&gt;, 5th ed., vol. 53 (Los Angeles: SAGE Publications, 2018).","plainTextFormattedCitation":"John W. Cresswell and J. David Creswell, Research Design: Qualitative, Quantitative, and Mixed Method Approaches, Journal of Chemical Information and Modeling, 5th ed., vol. 53 (Los Angeles: SAGE Publications, 2018).","previouslyFormattedCitation":"John W. Cresswell and J. David Creswell, &lt;i&gt;Research Design: Qualitative, Quantitative, and Mixed Method Approaches&lt;/i&gt;, &lt;i&gt;Journal of Chemical Information and Modeling&lt;/i&gt;, 5th ed., vol. 53 (Los Angeles: SAGE Publications, 2018)."},"properties":{"noteIndex":15},"schema":"https://github.com/citation-style-language/schema/raw/master/csl-citation.json"}</w:instrText>
      </w:r>
      <w:r>
        <w:fldChar w:fldCharType="separate"/>
      </w:r>
      <w:r w:rsidRPr="003A0859">
        <w:rPr>
          <w:noProof/>
        </w:rPr>
        <w:t xml:space="preserve">John W. Cresswell and J. David Creswell, </w:t>
      </w:r>
      <w:r w:rsidRPr="003A0859">
        <w:rPr>
          <w:i/>
          <w:noProof/>
        </w:rPr>
        <w:t>Research Design: Qualitative, Quantitative, and Mixed Method Approaches</w:t>
      </w:r>
      <w:r w:rsidRPr="003A0859">
        <w:rPr>
          <w:noProof/>
        </w:rPr>
        <w:t xml:space="preserve">, </w:t>
      </w:r>
      <w:r w:rsidRPr="003A0859">
        <w:rPr>
          <w:i/>
          <w:noProof/>
        </w:rPr>
        <w:t>Journal of Chemical Information and Modeling</w:t>
      </w:r>
      <w:r w:rsidRPr="003A0859">
        <w:rPr>
          <w:noProof/>
        </w:rPr>
        <w:t>, 5th ed., vol. 53 (Los Angeles: SAGE Publications, 2018).</w:t>
      </w:r>
      <w:r>
        <w:fldChar w:fldCharType="end"/>
      </w:r>
    </w:p>
  </w:footnote>
  <w:footnote w:id="16">
    <w:p w14:paraId="20CF18D9" w14:textId="2A8E001D" w:rsidR="00880B38" w:rsidRPr="00880B38" w:rsidRDefault="00880B38"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{"citationItems":[{"id":"ITEM-1","itemData":{"author":[{"dropping-particle":"","family":"Bakker","given":"F. L.","non-dropping-particle":"","parse-names":false,"suffix":""}],"id":"ITEM-1","issued":{"date-parts":[["2000"]]},"publisher":"BPK. Gunung Mulia","publisher-place":"Jakarta","title":"Sejarah Kerajaan Allah 1 Perjanjian Lama","type":"book"},"uris":["http://www.mendeley.com/documents/?uuid=5a5db995-488f-43aa-a76c-19057c2b8552"]}],"mendeley":{"formattedCitation":"F. L. Bakker, &lt;i&gt;Sejarah Kerajaan Allah 1 Perjanjian Lama&lt;/i&gt; (Jakarta: BPK. Gunung Mulia, 2000).","plainTextFormattedCitation":"F. L. Bakker, Sejarah Kerajaan Allah 1 Perjanjian Lama (Jakarta: BPK. Gunung Mulia, 2000).","previouslyFormattedCitation":"F. L. Bakker, &lt;i&gt;Sejarah Kerajaan Allah 1 Perjanjian Lama&lt;/i&gt; (Jakarta: BPK. Gunung Mulia, 2000)."},"properties":{"noteIndex":16},"schema":"https://github.com/citation-style-language/schema/raw/master/csl-citation.json"}</w:instrText>
      </w:r>
      <w:r>
        <w:fldChar w:fldCharType="separate"/>
      </w:r>
      <w:r w:rsidRPr="00880B38">
        <w:rPr>
          <w:noProof/>
        </w:rPr>
        <w:t xml:space="preserve">F. L. Bakker, </w:t>
      </w:r>
      <w:r w:rsidRPr="00880B38">
        <w:rPr>
          <w:i/>
          <w:noProof/>
        </w:rPr>
        <w:t>Sejarah Kerajaan Allah 1 Perjanjian Lama</w:t>
      </w:r>
      <w:r w:rsidRPr="00880B38">
        <w:rPr>
          <w:noProof/>
        </w:rPr>
        <w:t xml:space="preserve"> (Jakarta: BPK. Gunung Mulia, 2000).</w:t>
      </w:r>
      <w:r>
        <w:fldChar w:fldCharType="end"/>
      </w:r>
    </w:p>
  </w:footnote>
  <w:footnote w:id="17">
    <w:p w14:paraId="35C5AFC3" w14:textId="5B000641" w:rsidR="00880B38" w:rsidRPr="00880B38" w:rsidRDefault="00880B38"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{"citationItems":[{"id":"ITEM-1","itemData":{"DOI":"10.1353/earl.2019.0010","abstract":"In The Triumph of Christianity, Ehrman puts on the hat of social historian and offers his own contribution to the debate over how and why this diverse messianic movement evolved from an initial scattered following to the official religion of the Empire in the late fourth century. Ehrman relies upon Rodney Stark's data from his work The Rise of Christianity to chart the dramatic growth in the Christian population from the first century to the fourth century. The notion that Constantine \"converted\" to Christianity is controversial, even admitted by the author, and Ehrman does suggest that Constantine was politically savvy enough to understand that his support of Christianity would have ramifications on traditional Roman cults.","author":[{"dropping-particle":"","family":"Jefferson","given":"Lee M.","non-dropping-particle":"","parse-names":false,"suffix":""}],"container-title":"Journal of Early Christian Studies","id":"ITEM-1","issue":"1","issued":{"date-parts":[["2019"]]},"number-of-pages":"143-145","publisher":"Simon &amp; Schuster","publisher-place":"New York","title":"The Triumph of Christianity: How a Forbidden Religion Swept the World by Bart D. Ehrman","type":"book","volume":"27"},"uris":["http://www.mendeley.com/documents/?uuid=b5786447-8cec-49ac-8e6d-215bb5a36f22"]}],"mendeley":{"formattedCitation":"Lee M. Jefferson, &lt;i&gt;The Triumph of Christianity: How a Forbidden Religion Swept the World by Bart D. Ehrman&lt;/i&gt;, &lt;i&gt;Journal of Early Christian Studies&lt;/i&gt;, vol. 27 (New York: Simon &amp; Schuster, 2019), https://doi.org/10.1353/earl.2019.0010.","plainTextFormattedCitation":"Lee M. Jefferson, The Triumph of Christianity: How a Forbidden Religion Swept the World by Bart D. Ehrman, Journal of Early Christian Studies, vol. 27 (New York: Simon &amp; Schuster, 2019), https://doi.org/10.1353/earl.2019.0010.","previouslyFormattedCitation":"Lee M. Jefferson, &lt;i&gt;The Triumph of Christianity: How a Forbidden Religion Swept the World by Bart D. Ehrman&lt;/i&gt;, &lt;i&gt;Journal of Early Christian Studies&lt;/i&gt;, vol. 27 (New York: Simon &amp; Schuster, 2019), https://doi.org/10.1353/earl.2019.0010."},"properties":{"noteIndex":17},"schema":"https://github.com/citation-style-language/schema/raw/master/csl-citation.json"}</w:instrText>
      </w:r>
      <w:r>
        <w:fldChar w:fldCharType="separate"/>
      </w:r>
      <w:r w:rsidRPr="00880B38">
        <w:rPr>
          <w:noProof/>
        </w:rPr>
        <w:t xml:space="preserve">Lee M. Jefferson, </w:t>
      </w:r>
      <w:r w:rsidRPr="00880B38">
        <w:rPr>
          <w:i/>
          <w:noProof/>
        </w:rPr>
        <w:t>The Triumph of Christianity: How a Forbidden Religion Swept the World by Bart D. Ehrman</w:t>
      </w:r>
      <w:r w:rsidRPr="00880B38">
        <w:rPr>
          <w:noProof/>
        </w:rPr>
        <w:t xml:space="preserve">, </w:t>
      </w:r>
      <w:r w:rsidRPr="00880B38">
        <w:rPr>
          <w:i/>
          <w:noProof/>
        </w:rPr>
        <w:t>Journal of Early Christian Studies</w:t>
      </w:r>
      <w:r w:rsidRPr="00880B38">
        <w:rPr>
          <w:noProof/>
        </w:rPr>
        <w:t>, vol. 27 (New York: Simon &amp; Schuster, 2019), https://doi.org/10.1353/earl.2019.0010.</w:t>
      </w:r>
      <w:r>
        <w:fldChar w:fldCharType="end"/>
      </w:r>
    </w:p>
  </w:footnote>
  <w:footnote w:id="18">
    <w:p w14:paraId="3A31CB23" w14:textId="3AF72F63" w:rsidR="00C435B7" w:rsidRPr="00C435B7" w:rsidRDefault="00C435B7"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{"citationItems":[{"id":"ITEM-1","itemData":{"author":[{"dropping-particle":"","family":"Vriezen","given":"Theodorus C","non-dropping-particle":"","parse-names":false,"suffix":""}],"container-title":"IJ Cairns, Cet","id":"ITEM-1","issued":{"date-parts":[["2003"]]},"publisher":"BPK. Gunung Mulia","publisher-place":"Jakarta","title":"Agama Israel Kuno, Terj","type":"book","volume":"4"},"uris":["http://www.mendeley.com/documents/?uuid=0a5a93f3-13a4-4d1f-83b3-636e3f149907"]}],"mendeley":{"formattedCitation":"Vriezen, &lt;i&gt;Agama Israel Kuno, Terj&lt;/i&gt;.","plainTextFormattedCitation":"Vriezen, Agama Israel Kuno, Terj.","previouslyFormattedCitation":"Vriezen, &lt;i&gt;Agama Israel Kuno, Terj&lt;/i&gt;."},"properties":{"noteIndex":18},"schema":"https://github.com/citation-style-language/schema/raw/master/csl-citation.json"}</w:instrText>
      </w:r>
      <w:r>
        <w:fldChar w:fldCharType="separate"/>
      </w:r>
      <w:r w:rsidRPr="00C435B7">
        <w:rPr>
          <w:noProof/>
        </w:rPr>
        <w:t xml:space="preserve">Vriezen, </w:t>
      </w:r>
      <w:r w:rsidRPr="00C435B7">
        <w:rPr>
          <w:i/>
          <w:noProof/>
        </w:rPr>
        <w:t>Agama Israel Kuno, Terj</w:t>
      </w:r>
      <w:r w:rsidRPr="00C435B7">
        <w:rPr>
          <w:noProof/>
        </w:rPr>
        <w:t>.</w:t>
      </w:r>
      <w:r>
        <w:fldChar w:fldCharType="end"/>
      </w:r>
    </w:p>
  </w:footnote>
  <w:footnote w:id="19">
    <w:p w14:paraId="262CBFF9" w14:textId="6A63076E" w:rsidR="00A34F37" w:rsidRPr="00A34F37" w:rsidRDefault="00A34F37"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{"citationItems":[{"id":"ITEM-1","itemData":{"author":[{"dropping-particle":"","family":"Vriezen","given":"Theodorus C","non-dropping-particle":"","parse-names":false,"suffix":""}],"container-title":"IJ Cairns, Cet","id":"ITEM-1","issued":{"date-parts":[["2003"]]},"publisher":"BPK. Gunung Mulia","publisher-place":"Jakarta","title":"Agama Israel Kuno, Terj","type":"book","volume":"4"},"uris":["http://www.mendeley.com/documents/?uuid=0a5a93f3-13a4-4d1f-83b3-636e3f149907"]}],"mendeley":{"formattedCitation":"Vriezen.","plainTextFormattedCitation":"Vriezen.","previouslyFormattedCitation":"Vriezen."},"properties":{"noteIndex":19},"schema":"https://github.com/citation-style-language/schema/raw/master/csl-citation.json"}</w:instrText>
      </w:r>
      <w:r>
        <w:fldChar w:fldCharType="separate"/>
      </w:r>
      <w:r w:rsidRPr="00A34F37">
        <w:rPr>
          <w:noProof/>
        </w:rPr>
        <w:t>Vriezen.</w:t>
      </w:r>
      <w:r>
        <w:fldChar w:fldCharType="end"/>
      </w:r>
    </w:p>
  </w:footnote>
  <w:footnote w:id="20">
    <w:p w14:paraId="3E0E660D" w14:textId="26A07627" w:rsidR="00A34F37" w:rsidRPr="00A34F37" w:rsidRDefault="00A34F37" w:rsidP="00BE5DA8">
      <w:pPr>
        <w:pStyle w:val="TeksCatatanKaki"/>
        <w:ind w:firstLine="720"/>
        <w:rPr>
          <w:lang w:val="id-ID"/>
        </w:rPr>
      </w:pPr>
      <w:r>
        <w:rPr>
          <w:rStyle w:val="ReferensiCatatanKaki"/>
        </w:rPr>
        <w:footnoteRef/>
      </w:r>
      <w:r>
        <w:t xml:space="preserve"> </w:t>
      </w:r>
      <w:r>
        <w:fldChar w:fldCharType="begin" w:fldLock="1"/>
      </w:r>
      <w:r w:rsidR="00D762E5">
        <w:instrText>ADDIN CSL_CITATION {"citationItems":[{"id":"ITEM-1","itemData":{"author":[{"dropping-particle":"","family":"Zuck","given":"Roy","non-dropping-particle":"","parse-names":false,"suffix":""}],"id":"ITEM-1","issued":{"date-parts":[["2005"]]},"publisher":"Gandum Mas","publisher-place":"Malang","title":"A Biblical Theology Of The Old Testament","type":"book"},"uris":["http://www.mendeley.com/documents/?uuid=d8c94fa0-c17f-4682-bc44-30cfe5e713be"]}],"mendeley":{"formattedCitation":"Zuck, &lt;i&gt;A Biblical Theology Of The Old Testament&lt;/i&gt;.","plainTextFormattedCitation":"Zuck, A Biblical Theology Of The Old Testament.","previouslyFormattedCitation":"Zuck, &lt;i&gt;A Biblical Theology Of The Old Testament&lt;/i&gt;."},"properties":{"noteIndex":20},"schema":"https://github.com/citation-style-language/schema/raw/master/csl-citation.json"}</w:instrText>
      </w:r>
      <w:r>
        <w:fldChar w:fldCharType="separate"/>
      </w:r>
      <w:r w:rsidRPr="00A34F37">
        <w:rPr>
          <w:noProof/>
        </w:rPr>
        <w:t xml:space="preserve">Zuck, </w:t>
      </w:r>
      <w:r w:rsidRPr="00A34F37">
        <w:rPr>
          <w:i/>
          <w:noProof/>
        </w:rPr>
        <w:t>A Biblical Theology Of The Old Testament</w:t>
      </w:r>
      <w:r w:rsidRPr="00A34F37">
        <w:rPr>
          <w:noProof/>
        </w:rPr>
        <w:t>.</w:t>
      </w:r>
      <w:r>
        <w:fldChar w:fldCharType="end"/>
      </w:r>
    </w:p>
  </w:footnote>
  <w:footnote w:id="21">
    <w:p w14:paraId="10BA85B5" w14:textId="1E7BAF34" w:rsidR="00782D3F" w:rsidRPr="00782D3F" w:rsidRDefault="00782D3F" w:rsidP="00A2275C">
      <w:pPr>
        <w:pStyle w:val="TeksCatatanKaki"/>
        <w:ind w:firstLine="720"/>
        <w:rPr>
          <w:lang w:val="id-ID"/>
        </w:rPr>
      </w:pPr>
      <w:r>
        <w:rPr>
          <w:rStyle w:val="ReferensiCatatanKaki"/>
        </w:rPr>
        <w:footnoteRef/>
      </w:r>
      <w:r>
        <w:t xml:space="preserve"> </w:t>
      </w:r>
      <w:r>
        <w:fldChar w:fldCharType="begin" w:fldLock="1"/>
      </w:r>
      <w:r w:rsidR="00D762E5">
        <w:instrText>ADDIN CSL_CITATION {"citationItems":[{"id":"ITEM-1","itemData":{"DOI":"10.61132/sukacita.v2i1.432","ISSN":"3064-0903","abstract":"This article delves deeply into the concept of Spiritual Restoration and Community: Rebuilding the Foundation of Life, with a focus on the text of Ezra 3:8-13. This research aims to gain a more comprehensive understanding of how the Israelites were interconnected in reaffirming the restoration of life through the reconstruction of the foundation of the Israelite nation. The research methods employed include biblical text analysis, historical studies, and an exposition of the cultural context of the time. The research findings provide a rich and complex perspective on the role of Ezra as a channel of God's will in restoring and guiding His people.","author":[{"dropping-particle":"","family":"Sona Simbolon","given":"","non-dropping-particle":"","parse-names":false,"suffix":""},{"dropping-particle":"","family":"Elsa Herawati Lubis","given":"","non-dropping-particle":"","parse-names":false,"suffix":""}],"container-title":"Sukacita : Jurnal Pendidikan Iman Kristen","id":"ITEM-1","issue":"1","issued":{"date-parts":[["2024"]]},"page":"54-66","title":"Analisis Pemulihan Spiritual dan Komunitas : Rekonstruksi Dasar Kehidupan dalam konteks Ezra 3:8-13","type":"article-journal","volume":"2"},"uris":["http://www.mendeley.com/documents/?uuid=64c78d70-edb6-4220-8df7-4bc0294eadad"]}],"mendeley":{"formattedCitation":"Sona Simbolon and Elsa Herawati Lubis, “Analisis Pemulihan Spiritual Dan Komunitas : Rekonstruksi Dasar Kehidupan Dalam Konteks Ezra 3:8-13,” &lt;i&gt;Sukacita : Jurnal Pendidikan Iman Kristen&lt;/i&gt; 2, no. 1 (2024): 54–66, https://doi.org/10.61132/sukacita.v2i1.432.","plainTextFormattedCitation":"Sona Simbolon and Elsa Herawati Lubis, “Analisis Pemulihan Spiritual Dan Komunitas : Rekonstruksi Dasar Kehidupan Dalam Konteks Ezra 3:8-13,” Sukacita : Jurnal Pendidikan Iman Kristen 2, no. 1 (2024): 54–66, https://doi.org/10.61132/sukacita.v2i1.432.","previouslyFormattedCitation":"Sona Simbolon and Elsa Herawati Lubis, “Analisis Pemulihan Spiritual Dan Komunitas : Rekonstruksi Dasar Kehidupan Dalam Konteks Ezra 3:8-13,” &lt;i&gt;Sukacita : Jurnal Pendidikan Iman Kristen&lt;/i&gt; 2, no. 1 (2024): 54–66, https://doi.org/10.61132/sukacita.v2i1.432."},"properties":{"noteIndex":21},"schema":"https://github.com/citation-style-language/schema/raw/master/csl-citation.json"}</w:instrText>
      </w:r>
      <w:r>
        <w:fldChar w:fldCharType="separate"/>
      </w:r>
      <w:r w:rsidRPr="00782D3F">
        <w:rPr>
          <w:noProof/>
        </w:rPr>
        <w:t xml:space="preserve">Sona Simbolon and Elsa Herawati Lubis, “Analisis Pemulihan Spiritual Dan Komunitas : Rekonstruksi Dasar Kehidupan Dalam Konteks Ezra 3:8-13,” </w:t>
      </w:r>
      <w:r w:rsidRPr="00782D3F">
        <w:rPr>
          <w:i/>
          <w:noProof/>
        </w:rPr>
        <w:t>Sukacita : Jurnal Pendidikan Iman Kristen</w:t>
      </w:r>
      <w:r w:rsidRPr="00782D3F">
        <w:rPr>
          <w:noProof/>
        </w:rPr>
        <w:t xml:space="preserve"> 2, no. 1 (2024): 54–66, https://doi.org/10.61132/sukacita.v2i1.432.</w:t>
      </w:r>
      <w:r>
        <w:fldChar w:fldCharType="end"/>
      </w:r>
    </w:p>
  </w:footnote>
  <w:footnote w:id="22">
    <w:p w14:paraId="35D4515C" w14:textId="3B3DD14C" w:rsidR="00987582" w:rsidRPr="00987582" w:rsidRDefault="00987582" w:rsidP="00BE5DA8">
      <w:pPr>
        <w:pStyle w:val="TeksCatatanKaki"/>
        <w:ind w:firstLine="720"/>
        <w:rPr>
          <w:lang w:val="id-ID"/>
        </w:rPr>
      </w:pPr>
      <w:r>
        <w:rPr>
          <w:rStyle w:val="ReferensiCatatanKaki"/>
        </w:rPr>
        <w:footnoteRef/>
      </w:r>
      <w:r>
        <w:t xml:space="preserve"> </w:t>
      </w:r>
      <w:r>
        <w:fldChar w:fldCharType="begin" w:fldLock="1"/>
      </w:r>
      <w:r w:rsidR="00D762E5">
        <w:instrText>ADDIN CSL_CITATION {"citationItems":[{"id":"ITEM-1","itemData":{"ISBN":"979-415-482-2","abstract":". . Jakarta: BPK Gunung Mulia, 2017. Clines,","author":[{"dropping-particle":"","family":"Barth","given":"C.","non-dropping-particle":"","parse-names":false,"suffix":""}],"id":"ITEM-1","issued":{"date-parts":[["2005"]]},"number-of-pages":"197","publisher":"BPK Gunung Mulia","publisher-place":"Jakarta","title":"Theologia Perjanjian Lama 3","type":"book"},"uris":["http://www.mendeley.com/documents/?uuid=f20e8c2d-6323-4361-bb36-fb16dfd29603"]}],"mendeley":{"formattedCitation":"C. Barth, &lt;i&gt;Theologia Perjanjian Lama 3&lt;/i&gt; (Jakarta: BPK Gunung Mulia, 2005).","plainTextFormattedCitation":"C. Barth, Theologia Perjanjian Lama 3 (Jakarta: BPK Gunung Mulia, 2005).","previouslyFormattedCitation":"C. Barth, &lt;i&gt;Theologia Perjanjian Lama 3&lt;/i&gt; (Jakarta: BPK Gunung Mulia, 2005)."},"properties":{"noteIndex":22},"schema":"https://github.com/citation-style-language/schema/raw/master/csl-citation.json"}</w:instrText>
      </w:r>
      <w:r>
        <w:fldChar w:fldCharType="separate"/>
      </w:r>
      <w:r w:rsidRPr="00987582">
        <w:rPr>
          <w:noProof/>
        </w:rPr>
        <w:t xml:space="preserve">C. Barth, </w:t>
      </w:r>
      <w:r w:rsidRPr="00987582">
        <w:rPr>
          <w:i/>
          <w:noProof/>
        </w:rPr>
        <w:t>Theologia Perjanjian Lama 3</w:t>
      </w:r>
      <w:r w:rsidRPr="00987582">
        <w:rPr>
          <w:noProof/>
        </w:rPr>
        <w:t xml:space="preserve"> (Jakarta: BPK Gunung Mulia, 2005).</w:t>
      </w:r>
      <w:r>
        <w:fldChar w:fldCharType="end"/>
      </w:r>
    </w:p>
  </w:footnote>
  <w:footnote w:id="23">
    <w:p w14:paraId="0A2638DF" w14:textId="12B327E4" w:rsidR="00987582" w:rsidRPr="00987582" w:rsidRDefault="00987582"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{"citationItems":[{"id":"ITEM-1","itemData":{"author":[{"dropping-particle":"","family":"Dyrness","given":"W","non-dropping-particle":"","parse-names":false,"suffix":""}],"id":"ITEM-1","issued":{"date-parts":[["2013"]]},"publisher":"Penerbit Gandum Mas","publisher-place":"Malang","title":"Tema—Tema Dalam Teologi Perjanjian Lama","type":"book"},"uris":["http://www.mendeley.com/documents/?uuid=bb2d5d14-0d50-4d1d-96b6-5bd3b62ee298"]}],"mendeley":{"formattedCitation":"W Dyrness, &lt;i&gt;Tema—Tema Dalam Teologi Perjanjian Lama&lt;/i&gt; (Malang: Penerbit Gandum Mas, 2013).","plainTextFormattedCitation":"W Dyrness, Tema—Tema Dalam Teologi Perjanjian Lama (Malang: Penerbit Gandum Mas, 2013).","previouslyFormattedCitation":"W Dyrness, &lt;i&gt;Tema—Tema Dalam Teologi Perjanjian Lama&lt;/i&gt; (Malang: Penerbit Gandum Mas, 2013)."},"properties":{"noteIndex":23},"schema":"https://github.com/citation-style-language/schema/raw/master/csl-citation.json"}</w:instrText>
      </w:r>
      <w:r>
        <w:fldChar w:fldCharType="separate"/>
      </w:r>
      <w:r w:rsidRPr="00987582">
        <w:rPr>
          <w:noProof/>
        </w:rPr>
        <w:t xml:space="preserve">W Dyrness, </w:t>
      </w:r>
      <w:r w:rsidRPr="00987582">
        <w:rPr>
          <w:i/>
          <w:noProof/>
        </w:rPr>
        <w:t>Tema—Tema Dalam Teologi Perjanjian Lama</w:t>
      </w:r>
      <w:r w:rsidRPr="00987582">
        <w:rPr>
          <w:noProof/>
        </w:rPr>
        <w:t xml:space="preserve"> (Malang: Penerbit Gandum Mas, 2013).</w:t>
      </w:r>
      <w:r>
        <w:fldChar w:fldCharType="end"/>
      </w:r>
    </w:p>
  </w:footnote>
  <w:footnote w:id="24">
    <w:p w14:paraId="7879BE4D" w14:textId="41F26EEC" w:rsidR="00987582" w:rsidRPr="00987582" w:rsidRDefault="00987582"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{"citationItems":[{"id":"ITEM-1","itemData":{"abstract":"Keterangan Produk :Panduan Membaca Alkitab dari Kejadian hingga MaleakhiBuku panduan populer yang menampilkan paparan lengkap dari keseluruhan Perjanjian Lama. Menyediakan konteks yang bermanfaat untuk pemahaman pribadi dan penerapan dari setiap kitab. Buku ini mencakup:* Ringkasan garis besar dari seluruh 39 kitab Perjanjian Lama.* Tema dan pelajaran dari setiap kitab.* Ringkasan teks dan ikon pada margin halaman untuk menolong Anda mengenali beragam tokoh, tema, ayat, dan penerapan yang * penting.* Tafsiran, kisah hidup, dan anekdot historis yang membuat Alkitab mudah dimengerti dan bermanfaat dalam gaya yang menarik dan menghibur.* Pengetahuan dan wawasan yang tak akan Anda temukan dalam karya referensi lainnya.","author":[{"dropping-particle":"","family":"Stedman","given":"Ray C.","non-dropping-particle":"","parse-names":false,"suffix":""}],"id":"ITEM-1","issued":{"date-parts":[["2010"]]},"number-of-pages":"549","publisher":"PT. Duta Harapan Dunia","title":"Petualangan Menjelajahi Perjanjian Lama","type":"book"},"uris":["http://www.mendeley.com/documents/?uuid=04284b16-075a-46fe-92ba-cece294ace23"]}],"mendeley":{"formattedCitation":"Ray C. Stedman, &lt;i&gt;Petualangan Menjelajahi Perjanjian Lama&lt;/i&gt; (PT. Duta Harapan Dunia, 2010).","plainTextFormattedCitation":"Ray C. Stedman, Petualangan Menjelajahi Perjanjian Lama (PT. Duta Harapan Dunia, 2010).","previouslyFormattedCitation":"Ray C. Stedman, &lt;i&gt;Petualangan Menjelajahi Perjanjian Lama&lt;/i&gt; (PT. Duta Harapan Dunia, 2010)."},"properties":{"noteIndex":24},"schema":"https://github.com/citation-style-language/schema/raw/master/csl-citation.json"}</w:instrText>
      </w:r>
      <w:r>
        <w:fldChar w:fldCharType="separate"/>
      </w:r>
      <w:r w:rsidRPr="00987582">
        <w:rPr>
          <w:noProof/>
        </w:rPr>
        <w:t xml:space="preserve">Ray C. Stedman, </w:t>
      </w:r>
      <w:r w:rsidRPr="00987582">
        <w:rPr>
          <w:i/>
          <w:noProof/>
        </w:rPr>
        <w:t>Petualangan Menjelajahi Perjanjian Lama</w:t>
      </w:r>
      <w:r w:rsidRPr="00987582">
        <w:rPr>
          <w:noProof/>
        </w:rPr>
        <w:t xml:space="preserve"> (PT. Duta Harapan Dunia, 2010).</w:t>
      </w:r>
      <w:r>
        <w:fldChar w:fldCharType="end"/>
      </w:r>
    </w:p>
  </w:footnote>
  <w:footnote w:id="25">
    <w:p w14:paraId="093E3B98" w14:textId="466D232C" w:rsidR="00D07E9A" w:rsidRPr="00D07E9A" w:rsidRDefault="00D07E9A" w:rsidP="00BE5DA8">
      <w:pPr>
        <w:pStyle w:val="TeksCatatanKaki"/>
        <w:ind w:firstLine="720"/>
        <w:rPr>
          <w:lang w:val="id-ID"/>
        </w:rPr>
      </w:pPr>
      <w:r>
        <w:rPr>
          <w:rStyle w:val="ReferensiCatatanKaki"/>
        </w:rPr>
        <w:footnoteRef/>
      </w:r>
      <w:r>
        <w:t xml:space="preserve"> </w:t>
      </w:r>
      <w:r>
        <w:fldChar w:fldCharType="begin" w:fldLock="1"/>
      </w:r>
      <w:r w:rsidR="00D762E5">
        <w:instrText>ADDIN CSL_CITATION {"citationItems":[{"id":"ITEM-1","itemData":{"author":[{"dropping-particle":"","family":"Dyrness","given":"W","non-dropping-particle":"","parse-names":false,"suffix":""}],"id":"ITEM-1","issued":{"date-parts":[["2013"]]},"publisher":"Penerbit Gandum Mas","publisher-place":"Malang","title":"Tema—Tema Dalam Teologi Perjanjian Lama","type":"book"},"uris":["http://www.mendeley.com/documents/?uuid=bb2d5d14-0d50-4d1d-96b6-5bd3b62ee298"]}],"mendeley":{"formattedCitation":"Dyrness, &lt;i&gt;Tema—Tema Dalam Teologi Perjanjian Lama&lt;/i&gt;.","plainTextFormattedCitation":"Dyrness, Tema—Tema Dalam Teologi Perjanjian Lama.","previouslyFormattedCitation":"Dyrness, &lt;i&gt;Tema—Tema Dalam Teologi Perjanjian Lama&lt;/i&gt;."},"properties":{"noteIndex":25},"schema":"https://github.com/citation-style-language/schema/raw/master/csl-citation.json"}</w:instrText>
      </w:r>
      <w:r>
        <w:fldChar w:fldCharType="separate"/>
      </w:r>
      <w:r w:rsidRPr="00D07E9A">
        <w:rPr>
          <w:noProof/>
        </w:rPr>
        <w:t xml:space="preserve">Dyrness, </w:t>
      </w:r>
      <w:r w:rsidRPr="00D07E9A">
        <w:rPr>
          <w:i/>
          <w:noProof/>
        </w:rPr>
        <w:t>Tema—Tema Dalam Teologi Perjanjian Lama</w:t>
      </w:r>
      <w:r w:rsidRPr="00D07E9A">
        <w:rPr>
          <w:noProof/>
        </w:rPr>
        <w:t>.</w:t>
      </w:r>
      <w:r>
        <w:fldChar w:fldCharType="end"/>
      </w:r>
    </w:p>
  </w:footnote>
  <w:footnote w:id="26">
    <w:p w14:paraId="39A37725" w14:textId="1AA95820" w:rsidR="00D07E9A" w:rsidRPr="00D07E9A" w:rsidRDefault="00D07E9A" w:rsidP="00BE5DA8">
      <w:pPr>
        <w:pStyle w:val="TeksCatatanKaki"/>
        <w:ind w:firstLine="720"/>
        <w:rPr>
          <w:lang w:val="id-ID"/>
        </w:rPr>
      </w:pPr>
      <w:r>
        <w:rPr>
          <w:rStyle w:val="ReferensiCatatanKaki"/>
        </w:rPr>
        <w:footnoteRef/>
      </w:r>
      <w:r>
        <w:t xml:space="preserve"> </w:t>
      </w:r>
      <w:r>
        <w:fldChar w:fldCharType="begin" w:fldLock="1"/>
      </w:r>
      <w:r w:rsidR="00D762E5">
        <w:instrText>ADDIN CSL_CITATION {"citationItems":[{"id":"ITEM-1","itemData":{"ISBN":"9780199580248","abstract":"The Oxford Bible Commentary is a Bible study and reference work for 21st century students and readers that can be read with any modern translation of the Bible. It offers verse-by-verse explanation of every book of the Bible by the world's leading biblical scholars. From its inception, OBC has been designed as a completely non-denominational commentary, carefully written and edited to provide the best scholarship in a readable style for readers from all different faith backgrounds. It uses the traditional historical-critical method to search for the original meaning of the texts, but also bring in new perspectives and insights - literary, sociological, and cultural - to bring out the expanding meanings of these ancient writings and stimulate new discussion and further enquiry. Newly issued in a series of part volumes, the OBC is now available in an affordable and portable format for the study of specific sections of the Bible. The Pentateuch, or Torah ('the law'), comprises the first five books of the Hebrew Bible, Genesis to Deuteronomy. The Commentaries are preceeded by introductions to the Old Testament and to the Pentateuch as a whole.","author":[{"dropping-particle":"","family":"Barton","given":"John","non-dropping-particle":"","parse-names":false,"suffix":""},{"dropping-particle":"","family":"Muddiman","given":"John","non-dropping-particle":"","parse-names":false,"suffix":""}],"id":"ITEM-1","issued":{"date-parts":[["2010"]]},"page":"230","title":"The Oxford Bible Commentary: The Pentateuch","type":"article-journal"},"uris":["http://www.mendeley.com/documents/?uuid=3a7145ca-7860-4908-8e4a-7149f4f7cc10"]}],"mendeley":{"formattedCitation":"John Barton and John Muddiman, “The Oxford Bible Commentary: The Pentateuch,” 2010, 230.","plainTextFormattedCitation":"John Barton and John Muddiman, “The Oxford Bible Commentary: The Pentateuch,” 2010, 230.","previouslyFormattedCitation":"John Barton and John Muddiman, “The Oxford Bible Commentary: The Pentateuch,” 2010, 230."},"properties":{"noteIndex":26},"schema":"https://github.com/citation-style-language/schema/raw/master/csl-citation.json"}</w:instrText>
      </w:r>
      <w:r>
        <w:fldChar w:fldCharType="separate"/>
      </w:r>
      <w:r w:rsidRPr="00D07E9A">
        <w:rPr>
          <w:noProof/>
        </w:rPr>
        <w:t>John Barton and John Muddiman, “The Oxford Bible Commentary: The Pentateuch,” 2010, 230.</w:t>
      </w:r>
      <w:r>
        <w:fldChar w:fldCharType="end"/>
      </w:r>
    </w:p>
  </w:footnote>
  <w:footnote w:id="27">
    <w:p w14:paraId="749C0207" w14:textId="6B9D66D3" w:rsidR="00D07E9A" w:rsidRPr="00D07E9A" w:rsidRDefault="00D07E9A" w:rsidP="00BE5DA8">
      <w:pPr>
        <w:pStyle w:val="TeksCatatanKaki"/>
        <w:ind w:firstLine="720"/>
        <w:rPr>
          <w:lang w:val="id-ID"/>
        </w:rPr>
      </w:pPr>
      <w:r>
        <w:rPr>
          <w:rStyle w:val="ReferensiCatatanKaki"/>
        </w:rPr>
        <w:footnoteRef/>
      </w:r>
      <w:r>
        <w:t xml:space="preserve"> </w:t>
      </w:r>
      <w:r>
        <w:fldChar w:fldCharType="begin" w:fldLock="1"/>
      </w:r>
      <w:r w:rsidR="00D762E5">
        <w:instrText>ADDIN CSL_CITATION {"citationItems":[{"id":"ITEM-1","itemData":{"author":[{"dropping-particle":"","family":"LAI","given":"","non-dropping-particle":"","parse-names":false,"suffix":""}],"id":"ITEM-1","issued":{"date-parts":[["2008"]]},"publisher":"Lembaga Alkitab Indonesia","publisher-place":"Jakarta","title":"Alkitab","type":"book"},"uris":["http://www.mendeley.com/documents/?uuid=31081e95-ea88-43f2-8105-b97d76ba7a37"]}],"mendeley":{"formattedCitation":"LAI, &lt;i&gt;Alkitab&lt;/i&gt; (Jakarta: Lembaga Alkitab Indonesia, 2008).","plainTextFormattedCitation":"LAI, Alkitab (Jakarta: Lembaga Alkitab Indonesia, 2008).","previouslyFormattedCitation":"LAI, &lt;i&gt;Alkitab&lt;/i&gt; (Jakarta: Lembaga Alkitab Indonesia, 2008)."},"properties":{"noteIndex":27},"schema":"https://github.com/citation-style-language/schema/raw/master/csl-citation.json"}</w:instrText>
      </w:r>
      <w:r>
        <w:fldChar w:fldCharType="separate"/>
      </w:r>
      <w:r w:rsidRPr="00D07E9A">
        <w:rPr>
          <w:noProof/>
        </w:rPr>
        <w:t xml:space="preserve">LAI, </w:t>
      </w:r>
      <w:r w:rsidRPr="00D07E9A">
        <w:rPr>
          <w:i/>
          <w:noProof/>
        </w:rPr>
        <w:t>Alkitab</w:t>
      </w:r>
      <w:r w:rsidRPr="00D07E9A">
        <w:rPr>
          <w:noProof/>
        </w:rPr>
        <w:t xml:space="preserve"> (Jakarta: Lembaga Alkitab Indonesia, 2008).</w:t>
      </w:r>
      <w:r>
        <w:fldChar w:fldCharType="end"/>
      </w:r>
    </w:p>
  </w:footnote>
  <w:footnote w:id="28">
    <w:p w14:paraId="7E0F6561" w14:textId="31E1ED99" w:rsidR="00D07E9A" w:rsidRPr="00D07E9A" w:rsidRDefault="00D07E9A"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{"citationItems":[{"id":"ITEM-1","itemData":{"ISBN":"978-634-04-1654-1","author":[{"dropping-particle":"","family":"Sulistiono","given":"","non-dropping-particle":"","parse-names":false,"suffix":""}],"edition":"1","editor":[{"dropping-particle":"","family":"Cici Rumsiti","given":"","non-dropping-particle":"","parse-names":false,"suffix":""}],"id":"ITEM-1","issued":{"date-parts":[["2025"]]},"number-of-pages":"hlm. 189.","publisher":"Tujuh Pustaka","publisher-place":"Yogyakarta","title":"Pengantar Alkitab Perjanjian Lama","type":"book"},"uris":["http://www.mendeley.com/documents/?uuid=53030f1b-cf94-41d7-9b9a-7b54086b871d"]}],"mendeley":{"formattedCitation":"Sulistiono, &lt;i&gt;Pengantar Alkitab Perjanjian Lama&lt;/i&gt;, ed. Cici Rumsiti, 1st ed. (Yogyakarta: Tujuh Pustaka, 2025), https://scholar.google.com/citations?view_op=view_citation&amp;hl=id&amp;user=jXCOnVIAAAAJ&amp;authuser=2&amp;citation_for_view=jXCOnVIAAAAJ:KlAtU1dfN6UC.","plainTextFormattedCitation":"Sulistiono, Pengantar Alkitab Perjanjian Lama, ed. Cici Rumsiti, 1st ed. (Yogyakarta: Tujuh Pustaka, 2025), https://scholar.google.com/citations?view_op=view_citation&amp;hl=id&amp;user=jXCOnVIAAAAJ&amp;authuser=2&amp;citation_for_view=jXCOnVIAAAAJ:KlAtU1dfN6UC.","previouslyFormattedCitation":"Sulistiono, &lt;i&gt;Pengantar Alkitab Perjanjian Lama&lt;/i&gt;, ed. Cici Rumsiti, 1st ed. (Yogyakarta: Tujuh Pustaka, 2025), https://scholar.google.com/citations?view_op=view_citation&amp;hl=id&amp;user=jXCOnVIAAAAJ&amp;authuser=2&amp;citation_for_view=jXCOnVIAAAAJ:KlAtU1dfN6UC."},"properties":{"noteIndex":28},"schema":"https://github.com/citation-style-language/schema/raw/master/csl-citation.json"}</w:instrText>
      </w:r>
      <w:r>
        <w:fldChar w:fldCharType="separate"/>
      </w:r>
      <w:r w:rsidRPr="00D07E9A">
        <w:rPr>
          <w:noProof/>
        </w:rPr>
        <w:t xml:space="preserve">Sulistiono, </w:t>
      </w:r>
      <w:r w:rsidRPr="00D07E9A">
        <w:rPr>
          <w:i/>
          <w:noProof/>
        </w:rPr>
        <w:t>Pengantar Alkitab Perjanjian Lama</w:t>
      </w:r>
      <w:r w:rsidRPr="00D07E9A">
        <w:rPr>
          <w:noProof/>
        </w:rPr>
        <w:t>, ed. Cici Rumsiti, 1st ed. (Yogyakarta: Tujuh Pustaka, 2025), https://scholar.google.com/citations?view_op=view_citation&amp;hl=id&amp;user=jXCOnVIAAAAJ&amp;authuser=2&amp;citation_for_view=jXCOnVIAAAAJ:KlAtU1dfN6UC.</w:t>
      </w:r>
      <w:r>
        <w:fldChar w:fldCharType="end"/>
      </w:r>
    </w:p>
  </w:footnote>
  <w:footnote w:id="29">
    <w:p w14:paraId="3B942FE2" w14:textId="0D8483BC" w:rsidR="00D07E9A" w:rsidRPr="00D07E9A" w:rsidRDefault="00D07E9A"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{"citationItems":[{"id":"ITEM-1","itemData":{"abstract":"Buku ini menyoroti ububungan pribadi Allah","author":[{"dropping-particle":"","family":"Wolf","given":"Hebert","non-dropping-particle":"","parse-names":false,"suffix":""}],"id":"ITEM-1","issued":{"date-parts":[["2004"]]},"number-of-pages":"367","publisher":"Gandum Mas","publisher-place":"Malang","title":"Pengenalan Pentateukh","type":"book"},"uris":["http://www.mendeley.com/documents/?uuid=50f77999-2ad5-45dd-921b-d5f5adbcdb6e"]}],"mendeley":{"formattedCitation":"Hebert Wolf, &lt;i&gt;Pengenalan Pentateukh&lt;/i&gt; (Malang: Gandum Mas, 2004).","plainTextFormattedCitation":"Hebert Wolf, Pengenalan Pentateukh (Malang: Gandum Mas, 2004).","previouslyFormattedCitation":"Hebert Wolf, &lt;i&gt;Pengenalan Pentateukh&lt;/i&gt; (Malang: Gandum Mas, 2004)."},"properties":{"noteIndex":29},"schema":"https://github.com/citation-style-language/schema/raw/master/csl-citation.json"}</w:instrText>
      </w:r>
      <w:r>
        <w:fldChar w:fldCharType="separate"/>
      </w:r>
      <w:r w:rsidRPr="00D07E9A">
        <w:rPr>
          <w:noProof/>
        </w:rPr>
        <w:t xml:space="preserve">Hebert Wolf, </w:t>
      </w:r>
      <w:r w:rsidRPr="00D07E9A">
        <w:rPr>
          <w:i/>
          <w:noProof/>
        </w:rPr>
        <w:t>Pengenalan Pentateukh</w:t>
      </w:r>
      <w:r w:rsidRPr="00D07E9A">
        <w:rPr>
          <w:noProof/>
        </w:rPr>
        <w:t xml:space="preserve"> (Malang: Gandum Mas, 2004).</w:t>
      </w:r>
      <w:r>
        <w:fldChar w:fldCharType="end"/>
      </w:r>
    </w:p>
  </w:footnote>
  <w:footnote w:id="30">
    <w:p w14:paraId="041C0031" w14:textId="644E3642" w:rsidR="00A2275C" w:rsidRPr="00A2275C" w:rsidRDefault="00A2275C" w:rsidP="00A2275C">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{"citationItems":[{"id":"ITEM-1","itemData":{"DOI":"10.37985/jer.v5i4.1897","abstract":"Kitab Imamat menyajikan pemahaman tentang relasi manusia dengan Allah dalam konteks ritual dan hukum. Studi tentang analisis antropologi teologis terhadap konsep kekudusan manusia dalam kitab ini masih terbatas. Penelitian ini bertujuan mengeksplorasi pemahaman antropologi teologis tentang kekudusan manusia dalam Imamat 16:29-30, dengan fokus pada implikasinya bagi spiritualitas kontemporer. Penelitian ini menggunakan metode analisis teks dan hermeneutik, penelitian ini menggabungkan pendekatan eksegesis historis-gramatikal dengan analisis antropologi budaya untuk mengungkap lapisan makna dalam teks. Kebaruan penelitian memberikan pemahaman komprehensif tentang konsep kekudusan dalam konteks budaya Israel kuno dan relevansinya saat ini. Hasil penelitian yang utama adalah sikap rendah hati dalam praktik penebusan dan pengampunan dosa. Dengan demikian diharapkan berkontribusi pada pengembangan hubungan antropologi teologis yakni agar setiap orang saling merendahkan hati dan memberi pengampunan satu dengan yang lain.","author":[{"dropping-particle":"","family":"Marbun","given":"Ronauli","non-dropping-particle":"","parse-names":false,"suffix":""},{"dropping-particle":"","family":"Halawa","given":"Jonius","non-dropping-particle":"","parse-names":false,"suffix":""}],"container-title":"Journal of Education Research","id":"ITEM-1","issue":"4","issued":{"date-parts":[["2024"]]},"page":"5893-5900","title":"Ajaran Penebusan Dosa: Tinjauan Antropologi Teologis Hubungan Manusia dengan Allah (Imamat 16:29-30)","type":"article-journal","volume":"5"},"uris":["http://www.mendeley.com/documents/?uuid=60de2c9a-6a53-4299-992e-77d42f87901d"]}],"mendeley":{"formattedCitation":"Ronauli Marbun and Jonius Halawa, “Ajaran Penebusan Dosa: Tinjauan Antropologi Teologis Hubungan Manusia Dengan Allah (Imamat 16:29-30),” &lt;i&gt;Journal of Education Research&lt;/i&gt; 5, no. 4 (2024): 5893–5900, https://doi.org/10.37985/jer.v5i4.1897.","plainTextFormattedCitation":"Ronauli Marbun and Jonius Halawa, “Ajaran Penebusan Dosa: Tinjauan Antropologi Teologis Hubungan Manusia Dengan Allah (Imamat 16:29-30),” Journal of Education Research 5, no. 4 (2024): 5893–5900, https://doi.org/10.37985/jer.v5i4.1897.","previouslyFormattedCitation":"Ronauli Marbun and Jonius Halawa, “Ajaran Penebusan Dosa: Tinjauan Antropologi Teologis Hubungan Manusia Dengan Allah (Imamat 16:29-30),” &lt;i&gt;Journal of Education Research&lt;/i&gt; 5, no. 4 (2024): 5893–5900, https://doi.org/10.37985/jer.v5i4.1897."},"properties":{"noteIndex":30},"schema":"https://github.com/citation-style-language/schema/raw/master/csl-citation.json"}</w:instrText>
      </w:r>
      <w:r>
        <w:fldChar w:fldCharType="separate"/>
      </w:r>
      <w:r w:rsidRPr="00A2275C">
        <w:rPr>
          <w:noProof/>
        </w:rPr>
        <w:t xml:space="preserve">Ronauli Marbun and Jonius Halawa, “Ajaran Penebusan Dosa: Tinjauan Antropologi Teologis Hubungan Manusia Dengan Allah (Imamat 16:29-30),” </w:t>
      </w:r>
      <w:r w:rsidRPr="00A2275C">
        <w:rPr>
          <w:i/>
          <w:noProof/>
        </w:rPr>
        <w:t>Journal of Education Research</w:t>
      </w:r>
      <w:r w:rsidRPr="00A2275C">
        <w:rPr>
          <w:noProof/>
        </w:rPr>
        <w:t xml:space="preserve"> 5, no. 4 (2024): 5893–5900, https://doi.org/10.37985/jer.v5i4.1897.</w:t>
      </w:r>
      <w:r>
        <w:fldChar w:fldCharType="end"/>
      </w:r>
    </w:p>
  </w:footnote>
  <w:footnote w:id="31">
    <w:p w14:paraId="17B27FE9" w14:textId="14F11B62" w:rsidR="00D233DE" w:rsidRPr="00D233DE" w:rsidRDefault="00D233DE" w:rsidP="007073E3">
      <w:pPr>
        <w:pStyle w:val="TeksCatatanKaki"/>
        <w:ind w:firstLine="720"/>
        <w:jc w:val="both"/>
        <w:rPr>
          <w:lang w:val="id-ID"/>
        </w:rPr>
      </w:pPr>
      <w:r>
        <w:rPr>
          <w:rStyle w:val="ReferensiCatatanKaki"/>
        </w:rPr>
        <w:footnoteRef/>
      </w:r>
      <w:r w:rsidRPr="007073E3">
        <w:rPr>
          <w:lang w:val="id-ID"/>
        </w:rPr>
        <w:t xml:space="preserve"> </w:t>
      </w:r>
      <w:r>
        <w:fldChar w:fldCharType="begin" w:fldLock="1"/>
      </w:r>
      <w:r w:rsidR="00D762E5">
        <w:rPr>
          <w:lang w:val="id-ID"/>
        </w:rPr>
        <w:instrText>ADDIN CSL_CITATION {"citationItems":[{"id":"ITEM-1","itemData":{"DOI":"10.54170/dp.v1i1.33","ISSN":"2797-6858","abstract":"The religious life of today's Christians cannot be separated from the religious life of God's people in Old Testament times centered on the Tabernacle and temple. Therefore, this study aims to find and explain the meaning of the Tabernacle and the Temple for today's Christian religious life. This research is presented in descriptive qualitative form. The method used is literature studies to collect as many theories as possible from literature materials that correlate with research topics. The sources used are textbooks, physical or e-books, and journals. The results of this study show the Tabernacle of God, through Moses, speaks of the image of Christ in His journey, ministry and glory on earth. While the Temple, through Solomon, spoke of Christ in His ministry and glory in heaven. Implementation for Christians today, everyone must come to God through faith in Christ, Christians are the temple or dwelling place of the Spirit of God today, God is always present and leads the christian life, Christians must offer themselves to God and be His witnesses in the world.\r Kehidupan religius orang Kristen masa kini tidak dapat dilepaskan dari kehidupan religius umat Allah pada zaman Perjanjian Lama yang berpusat pada Kemah Suci dan Bait Allah. Oleh karena itu, penelitian ini bertujuan untuk mencari dan menjelaskan makna Kemah Suci dan Bait Allah bagi kehidupan religius Kristen masa kini. Penelitian ini disajikan dalam bentuk kualitatif deskriptif. Metode yang digunakan adalah studi literature untuk mengumpulkan sebanyak mungkin teori dari bahan kepustakaan yang berkorelasi dengan topik penelitian. Sumber-sumber yang digunakan adalah buku teks, fisik atau e-book, dan jurnal. Hasil penelitian ini  menunjukkan Kemah Suci Allah, melalui Musa, berbicara tentang gambaran Kristus dalam perjalanan, pelayanan dan kemuliaan-Nya di bumi. Sedangkan Bait Allah, melalui Salomo, berbicara tentang Kristus dalam pelayanan dan kemuliaan-Nya di surga. Implementasi bagi Kristen masa kini, setiap orang harus datang kepada Allah melalui iman dalam Kristus, orang Kristen adalah bait atau tempat berdiamnya Roh Allah saat ini, Allah senantiasa hadir dan menuntun kehidupan orang Kristen, orang Kristen harus mempersembahkan dirinya bagi Allah dan menjadi saksi-Nya di dunia.","author":[{"dropping-particle":"","family":"Purba","given":"Jhon Leonardo Presley","non-dropping-particle":"","parse-names":false,"suffix":""}],"container-title":"Danum Pambelum: Jurnal Teologi Dan Musik Gereja","id":"ITEM-1","issue":"1","issued":{"date-parts":[["2021"]]},"page":"21-36","title":"Makna Kemah Suci Hingga Bait Allah Bagi Kehidupan Religius Kristen Masa Kini","type":"article-journal","volume":"1"},"uris":["http://www.mendeley.com/documents/?uuid=fe271723-c361-455a-bace-884f5fd4f204"]}],"mendeley":{"formattedCitation":"Jhon Leonardo Presley Purba, “Makna Kemah Suci Hingga Bait Allah Bagi Kehidupan Religius Kristen Masa Kini,” &lt;i&gt;Danum Pambelum: Jurnal Teologi Dan Musik Gereja&lt;/i&gt; 1, no. 1 (2021): 21–36, https://doi.org/10.54170/dp.v1i1.33.","plainTextFormattedCitation":"Jhon Leonardo Presley Purba, “Makna Kemah Suci Hingga Bait Allah Bagi Kehidupan Religius Kristen Masa Kini,” Danum Pambelum: Jurnal Teologi Dan Musik Gereja 1, no. 1 (2021): 21–36, https://doi.org/10.54170/dp.v1i1.33.","previouslyFormattedCitation":"Jhon Leonardo Presley Purba, “Makna Kemah Suci Hingga Bait Allah Bagi Kehidupan Religius Kristen Masa Kini,” &lt;i&gt;Danum Pambelum: Jurnal Teologi Dan Musik Gereja&lt;/i&gt; 1, no. 1 (2021): 21–36, https://doi.org/10.54170/dp.v1i1.33."},"properties":{"noteIndex":31},"schema":"https://github.com/citation-style-language/schema/raw/master/csl-citation.json"}</w:instrText>
      </w:r>
      <w:r>
        <w:fldChar w:fldCharType="separate"/>
      </w:r>
      <w:r w:rsidRPr="007073E3">
        <w:rPr>
          <w:noProof/>
          <w:lang w:val="id-ID"/>
        </w:rPr>
        <w:t xml:space="preserve">Jhon Leonardo Presley Purba, “Makna Kemah Suci Hingga Bait Allah Bagi Kehidupan Religius Kristen Masa Kini,” </w:t>
      </w:r>
      <w:r w:rsidRPr="007073E3">
        <w:rPr>
          <w:i/>
          <w:noProof/>
          <w:lang w:val="id-ID"/>
        </w:rPr>
        <w:t>Danum Pambelum: Jurnal Teologi Dan Musik Gereja</w:t>
      </w:r>
      <w:r w:rsidRPr="007073E3">
        <w:rPr>
          <w:noProof/>
          <w:lang w:val="id-ID"/>
        </w:rPr>
        <w:t xml:space="preserve"> 1, no. 1 (2021): 21–36, https://doi.org/10.54170/dp.v1i1.33.</w:t>
      </w:r>
      <w:r>
        <w:fldChar w:fldCharType="end"/>
      </w:r>
    </w:p>
  </w:footnote>
  <w:footnote w:id="32">
    <w:p w14:paraId="63C2E961" w14:textId="66F166C7" w:rsidR="00595524" w:rsidRPr="00595524" w:rsidRDefault="00595524"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{"citationItems":[{"id":"ITEM-1","itemData":{"ISBN":"9789794639338","author":[{"dropping-particle":"","family":"Indonesia","given":"Lembaga Alkitab","non-dropping-particle":"","parse-names":false,"suffix":""}],"id":"ITEM-1","issued":{"date-parts":[["2002"]]},"publisher":"Lembaga Alkitab Indonesia","publisher-place":"Jakarta","title":"Alkitab Terjemahan Baru - New International Version","type":"book"},"uris":["http://www.mendeley.com/documents/?uuid=9fa787f4-63d7-4033-9994-bfbbea5c8fee"]}],"mendeley":{"formattedCitation":"Lembaga Alkitab Indonesia, &lt;i&gt;Alkitab Terjemahan Baru - New International Version&lt;/i&gt; (Jakarta: Lembaga Alkitab Indonesia, 2002).","plainTextFormattedCitation":"Lembaga Alkitab Indonesia, Alkitab Terjemahan Baru - New International Version (Jakarta: Lembaga Alkitab Indonesia, 2002).","previouslyFormattedCitation":"Lembaga Alkitab Indonesia, &lt;i&gt;Alkitab Terjemahan Baru - New International Version&lt;/i&gt; (Jakarta: Lembaga Alkitab Indonesia, 2002)."},"properties":{"noteIndex":32},"schema":"https://github.com/citation-style-language/schema/raw/master/csl-citation.json"}</w:instrText>
      </w:r>
      <w:r>
        <w:fldChar w:fldCharType="separate"/>
      </w:r>
      <w:r w:rsidRPr="00595524">
        <w:rPr>
          <w:noProof/>
        </w:rPr>
        <w:t xml:space="preserve">Lembaga Alkitab Indonesia, </w:t>
      </w:r>
      <w:r w:rsidRPr="00595524">
        <w:rPr>
          <w:i/>
          <w:noProof/>
        </w:rPr>
        <w:t>Alkitab Terjemahan Baru - New International Version</w:t>
      </w:r>
      <w:r w:rsidRPr="00595524">
        <w:rPr>
          <w:noProof/>
        </w:rPr>
        <w:t xml:space="preserve"> (Jakarta: Lembaga Alkitab Indonesia, 2002).</w:t>
      </w:r>
      <w:r>
        <w:fldChar w:fldCharType="end"/>
      </w:r>
    </w:p>
  </w:footnote>
  <w:footnote w:id="33">
    <w:p w14:paraId="784313AC" w14:textId="57AC5FA4" w:rsidR="00687726" w:rsidRPr="00687726" w:rsidRDefault="00687726"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{"citationItems":[{"id":"ITEM-1","itemData":{"ISBN":"0802441270","author":[{"dropping-particle":"","family":"Howard","given":"David M.","non-dropping-particle":"","parse-names":false,"suffix":""}],"id":"ITEM-1","issued":{"date-parts":[["1993"]]},"publisher":"Moody Press","publisher-place":"Chicago","title":"An introduction to the Old Testament Historical Books / David Howard, Jr","type":"book"},"uris":["http://www.mendeley.com/documents/?uuid=38c32671-a949-4c6c-a692-22270527d944"]}],"mendeley":{"formattedCitation":"David M. Howard, &lt;i&gt;An Introduction to the Old Testament Historical Books / David Howard, Jr&lt;/i&gt; (Chicago: Moody Press, 1993), http://ezproxy.asburyseminary.edu/login?url=http://search.ebscohost.com/login.aspx?direct=true&amp;db=cat00591a&amp;AN=aslc.29247622&amp;site=eds-live&amp;scope=cite.","plainTextFormattedCitation":"David M. Howard, An Introduction to the Old Testament Historical Books / David Howard, Jr (Chicago: Moody Press, 1993), http://ezproxy.asburyseminary.edu/login?url=http://search.ebscohost.com/login.aspx?direct=true&amp;db=cat00591a&amp;AN=aslc.29247622&amp;site=eds-live&amp;scope=cite.","previouslyFormattedCitation":"David M. Howard, &lt;i&gt;An Introduction to the Old Testament Historical Books / David Howard, Jr&lt;/i&gt; (Chicago: Moody Press, 1993), http://ezproxy.asburyseminary.edu/login?url=http://search.ebscohost.com/login.aspx?direct=true&amp;db=cat00591a&amp;AN=aslc.29247622&amp;site=eds-live&amp;scope=cite."},"properties":{"noteIndex":33},"schema":"https://github.com/citation-style-language/schema/raw/master/csl-citation.json"}</w:instrText>
      </w:r>
      <w:r>
        <w:fldChar w:fldCharType="separate"/>
      </w:r>
      <w:r w:rsidRPr="00687726">
        <w:rPr>
          <w:noProof/>
        </w:rPr>
        <w:t xml:space="preserve">David M. Howard, </w:t>
      </w:r>
      <w:r w:rsidRPr="00687726">
        <w:rPr>
          <w:i/>
          <w:noProof/>
        </w:rPr>
        <w:t>An Introduction to the Old Testament Historical Books / David Howard, Jr</w:t>
      </w:r>
      <w:r w:rsidRPr="00687726">
        <w:rPr>
          <w:noProof/>
        </w:rPr>
        <w:t xml:space="preserve"> (Chicago: Moody Press, 1993), http://ezproxy.asburyseminary.edu/login?url=http://search.ebscohost.com/login.aspx?direct=true&amp;db=cat00591a&amp;AN=aslc.29247622&amp;site=eds-live&amp;scope=cite.</w:t>
      </w:r>
      <w:r>
        <w:fldChar w:fldCharType="end"/>
      </w:r>
    </w:p>
  </w:footnote>
  <w:footnote w:id="34">
    <w:p w14:paraId="370DA910" w14:textId="287856C3" w:rsidR="00687726" w:rsidRPr="00687726" w:rsidRDefault="00687726" w:rsidP="00BE5DA8">
      <w:pPr>
        <w:pStyle w:val="TeksCatatanKaki"/>
        <w:ind w:firstLine="720"/>
        <w:rPr>
          <w:lang w:val="id-ID"/>
        </w:rPr>
      </w:pPr>
      <w:r>
        <w:rPr>
          <w:rStyle w:val="ReferensiCatatanKaki"/>
        </w:rPr>
        <w:footnoteRef/>
      </w:r>
      <w:r>
        <w:t xml:space="preserve"> </w:t>
      </w:r>
      <w:r>
        <w:fldChar w:fldCharType="begin" w:fldLock="1"/>
      </w:r>
      <w:r w:rsidR="00D762E5">
        <w:instrText>ADDIN CSL_CITATION {"citationItems":[{"id":"ITEM-1","itemData":{"ISBN":"0802441270","author":[{"dropping-particle":"","family":"Howard","given":"David M.","non-dropping-particle":"","parse-names":false,"suffix":""}],"id":"ITEM-1","issued":{"date-parts":[["1993"]]},"publisher":"Moody Press","publisher-place":"Chicago","title":"An introduction to the Old Testament Historical Books / David Howard, Jr","type":"book"},"uris":["http://www.mendeley.com/documents/?uuid=38c32671-a949-4c6c-a692-22270527d944"]}],"mendeley":{"formattedCitation":"Howard.","plainTextFormattedCitation":"Howard.","previouslyFormattedCitation":"Howard."},"properties":{"noteIndex":34},"schema":"https://github.com/citation-style-language/schema/raw/master/csl-citation.json"}</w:instrText>
      </w:r>
      <w:r>
        <w:fldChar w:fldCharType="separate"/>
      </w:r>
      <w:r w:rsidRPr="00687726">
        <w:rPr>
          <w:noProof/>
        </w:rPr>
        <w:t>Howard.</w:t>
      </w:r>
      <w:r>
        <w:fldChar w:fldCharType="end"/>
      </w:r>
    </w:p>
  </w:footnote>
  <w:footnote w:id="35">
    <w:p w14:paraId="29868905" w14:textId="2FA06A31" w:rsidR="00687726" w:rsidRPr="00687726" w:rsidRDefault="00687726"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DOI":"10.2307/jj.28800017.9","abstract":"http://books.google.com/books?id=1O9JAAAAMAAJ&amp;pg=PR5&amp;dq=Oehler+Theology&amp;lr=&amp;as_brr=1&amp;ei=23x3SOGqHZOcjgHKy6nzAw#PPR1,M1","author":[{"dropping-particle":"","family":"WILLIAMSON","given":"ROBERT","non-dropping-particle":"","parse-names":false,"suffix":""}],"container-title":"Reading the Bible with Brueggemann","id":"ITEM-1","issue":"1","issued":{"date-parts":[["2025"]]},"page":"115-142","title":"Theology of the Old Testament","type":"article-journal","volume":"24"},"uris":["http://www.mendeley.com/documents/?uuid=3c560f28-713a-4acd-9ed6-f107c72ed5bb"]}],"mendeley":{"formattedCitation":"ROBERT WILLIAMSON, “Theology of the Old Testament,” &lt;i&gt;Reading the Bible with Brueggemann&lt;/i&gt; 24, no. 1 (2025): 115–42, https://doi.org/10.2307/jj.28800017.9.","plainTextFormattedCitation":"ROBERT WILLIAMSON, “Theology of the Old Testament,” Reading the Bible with Brueggemann 24, no. 1 (2025): 115–42, https://doi.org/10.2307/jj.28800017.9.","previouslyFormattedCitation":"ROBERT WILLIAMSON, “Theology of the Old Testament,” &lt;i&gt;Reading the Bible with Brueggemann&lt;/i&gt; 24, no. 1 (2025): 115–42, https://doi.org/10.2307/jj.28800017.9."},"properties":{"noteIndex":35},"schema":"https://github.com/citation-style-language/schema/raw/master/csl-citation.json"}</w:instrText>
      </w:r>
      <w:r>
        <w:fldChar w:fldCharType="separate"/>
      </w:r>
      <w:r w:rsidRPr="00687726">
        <w:rPr>
          <w:noProof/>
        </w:rPr>
        <w:t xml:space="preserve">ROBERT WILLIAMSON, “Theology of the Old Testament,” </w:t>
      </w:r>
      <w:r w:rsidRPr="00687726">
        <w:rPr>
          <w:i/>
          <w:noProof/>
        </w:rPr>
        <w:t>Reading the Bible with Brueggemann</w:t>
      </w:r>
      <w:r w:rsidRPr="00687726">
        <w:rPr>
          <w:noProof/>
        </w:rPr>
        <w:t xml:space="preserve"> 24, no. 1 (2025): 115–42, https://doi.org/10.2307/jj.28800017.9.</w:t>
      </w:r>
      <w:r>
        <w:fldChar w:fldCharType="end"/>
      </w:r>
    </w:p>
  </w:footnote>
  <w:footnote w:id="36">
    <w:p w14:paraId="5B73735F" w14:textId="22E90D3F" w:rsidR="00E80035" w:rsidRPr="00E80035" w:rsidRDefault="00E80035"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{"citationItems":[{"id":"ITEM-1","itemData":{"DOI":"10.1093/oxfordhb/9780199237777.003.0038","ISBN":"9780191577130","abstract":"This article discusses the discipline and practice of Old Testament theology. It covers the modern preoccupation with history; the break with historical relativism; a fresh beginning beyond historicism; the move away from a single, dominant perspective that resulted in a much more diverse, pluralistic, and variegated field of study; the emergence of new accents in the field in the 1970s; and future developments in Old Testament theology.","author":[{"dropping-particle":"","family":"Brueggemann","given":"Walter","non-dropping-particle":"","parse-names":false,"suffix":""}],"container-title":"The Oxford Handbook of Biblical Studies","id":"ITEM-1","issued":{"date-parts":[["2009"]]},"publisher":"Pers InterVarsity","title":"Old Testament Theology","type":"book"},"uris":["http://www.mendeley.com/documents/?uuid=2e668e85-e995-4185-9fbf-6db50349320d"]}],"mendeley":{"formattedCitation":"Walter Brueggemann, &lt;i&gt;Old Testament Theology&lt;/i&gt;, &lt;i&gt;The Oxford Handbook of Biblical Studies&lt;/i&gt; (Pers InterVarsity, 2009), https://doi.org/10.1093/oxfordhb/9780199237777.003.0038.","plainTextFormattedCitation":"Walter Brueggemann, Old Testament Theology, The Oxford Handbook of Biblical Studies (Pers InterVarsity, 2009), https://doi.org/10.1093/oxfordhb/9780199237777.003.0038.","previouslyFormattedCitation":"Walter Brueggemann, &lt;i&gt;Old Testament Theology&lt;/i&gt;, &lt;i&gt;The Oxford Handbook of Biblical Studies&lt;/i&gt; (Pers InterVarsity, 2009), https://doi.org/10.1093/oxfordhb/9780199237777.003.0038."},"properties":{"noteIndex":36},"schema":"https://github.com/citation-style-language/schema/raw/master/csl-citation.json"}</w:instrText>
      </w:r>
      <w:r>
        <w:fldChar w:fldCharType="separate"/>
      </w:r>
      <w:r w:rsidRPr="00E80035">
        <w:rPr>
          <w:noProof/>
        </w:rPr>
        <w:t xml:space="preserve">Walter Brueggemann, </w:t>
      </w:r>
      <w:r w:rsidRPr="00E80035">
        <w:rPr>
          <w:i/>
          <w:noProof/>
        </w:rPr>
        <w:t>Old Testament Theology</w:t>
      </w:r>
      <w:r w:rsidRPr="00E80035">
        <w:rPr>
          <w:noProof/>
        </w:rPr>
        <w:t xml:space="preserve">, </w:t>
      </w:r>
      <w:r w:rsidRPr="00E80035">
        <w:rPr>
          <w:i/>
          <w:noProof/>
        </w:rPr>
        <w:t>The Oxford Handbook of Biblical Studies</w:t>
      </w:r>
      <w:r w:rsidRPr="00E80035">
        <w:rPr>
          <w:noProof/>
        </w:rPr>
        <w:t xml:space="preserve"> (Pers InterVarsity, 2009), https://doi.org/10.1093/oxfordhb/9780199237777.003.0038.</w:t>
      </w:r>
      <w:r>
        <w:fldChar w:fldCharType="end"/>
      </w:r>
    </w:p>
  </w:footnote>
  <w:footnote w:id="37">
    <w:p w14:paraId="5BDA0D4E" w14:textId="713CDDCB" w:rsidR="007B16C7" w:rsidRPr="007B16C7" w:rsidRDefault="007B16C7" w:rsidP="00BE5DA8">
      <w:pPr>
        <w:pStyle w:val="TeksCatatanKaki"/>
        <w:ind w:firstLine="720"/>
        <w:rPr>
          <w:lang w:val="id-ID"/>
        </w:rPr>
      </w:pPr>
      <w:r>
        <w:rPr>
          <w:rStyle w:val="ReferensiCatatanKaki"/>
        </w:rPr>
        <w:footnoteRef/>
      </w:r>
      <w:r>
        <w:t xml:space="preserve"> </w:t>
      </w:r>
      <w:r>
        <w:fldChar w:fldCharType="begin" w:fldLock="1"/>
      </w:r>
      <w:r w:rsidR="00D762E5">
        <w:instrText>ADDIN CSL_CITATION {"citationItems":[{"id":"ITEM-1","itemData":{"author":[{"dropping-particle":"","family":"Rice Howard","given":"","non-dropping-particle":"","parse-names":false,"suffix":""}],"id":"ITEM-1","issued":{"date-parts":[["2006"]]},"number-of-pages":"19","publisher":"kalam hidup","publisher-place":"Bandung","title":"Managemen Umat","type":"book"},"uris":["http://www.mendeley.com/documents/?uuid=5a813881-f14e-4682-a397-e85a12a1940f"]}],"mendeley":{"formattedCitation":"Rice Howard, &lt;i&gt;Managemen Umat&lt;/i&gt; (Bandung: kalam hidup, 2006).","plainTextFormattedCitation":"Rice Howard, Managemen Umat (Bandung: kalam hidup, 2006).","previouslyFormattedCitation":"Rice Howard, &lt;i&gt;Managemen Umat&lt;/i&gt; (Bandung: kalam hidup, 2006)."},"properties":{"noteIndex":37},"schema":"https://github.com/citation-style-language/schema/raw/master/csl-citation.json"}</w:instrText>
      </w:r>
      <w:r>
        <w:fldChar w:fldCharType="separate"/>
      </w:r>
      <w:r w:rsidRPr="007B16C7">
        <w:rPr>
          <w:noProof/>
        </w:rPr>
        <w:t xml:space="preserve">Rice Howard, </w:t>
      </w:r>
      <w:r w:rsidRPr="007B16C7">
        <w:rPr>
          <w:i/>
          <w:noProof/>
        </w:rPr>
        <w:t>Managemen Umat</w:t>
      </w:r>
      <w:r w:rsidRPr="007B16C7">
        <w:rPr>
          <w:noProof/>
        </w:rPr>
        <w:t xml:space="preserve"> (Bandung: kalam hidup, 2006).</w:t>
      </w:r>
      <w:r>
        <w:fldChar w:fldCharType="end"/>
      </w:r>
    </w:p>
  </w:footnote>
  <w:footnote w:id="38">
    <w:p w14:paraId="45BAFE49" w14:textId="2D66BF90" w:rsidR="007B16C7" w:rsidRPr="007B16C7" w:rsidRDefault="007B16C7"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DOI":"10.2307/3265819","ISBN":"9780060682323","ISSN":"00219231","author":[{"dropping-particle":"","family":"Brueggemann","given":"Walter","non-dropping-particle":"","parse-names":false,"suffix":""},{"dropping-particle":"","family":"Terrien","given":"Samuel","non-dropping-particle":"","parse-names":false,"suffix":""}],"container-title":"Journal of Biblical Literature","id":"ITEM-1","issue":"2","issued":{"date-parts":[["1980"]]},"number-of-pages":"296","publisher":"wipfstock pub","title":"The Elusive Presence: Toward a New Biblical Theology","type":"book","volume":"99"},"uris":["http://www.mendeley.com/documents/?uuid=7246c098-cc44-42df-a4aa-cd026a83671c"]}],"mendeley":{"formattedCitation":"Walter Brueggemann and Samuel Terrien, &lt;i&gt;The Elusive Presence: Toward a New Biblical Theology&lt;/i&gt;, &lt;i&gt;Journal of Biblical Literature&lt;/i&gt;, vol. 99 (wipfstock pub, 1980), https://doi.org/10.2307/3265819.","plainTextFormattedCitation":"Walter Brueggemann and Samuel Terrien, The Elusive Presence: Toward a New Biblical Theology, Journal of Biblical Literature, vol. 99 (wipfstock pub, 1980), https://doi.org/10.2307/3265819.","previouslyFormattedCitation":"Walter Brueggemann and Samuel Terrien, &lt;i&gt;The Elusive Presence: Toward a New Biblical Theology&lt;/i&gt;, &lt;i&gt;Journal of Biblical Literature&lt;/i&gt;, vol. 99 (wipfstock pub, 1980), https://doi.org/10.2307/3265819."},"properties":{"noteIndex":38},"schema":"https://github.com/citation-style-language/schema/raw/master/csl-citation.json"}</w:instrText>
      </w:r>
      <w:r>
        <w:fldChar w:fldCharType="separate"/>
      </w:r>
      <w:r w:rsidRPr="007B16C7">
        <w:rPr>
          <w:noProof/>
        </w:rPr>
        <w:t xml:space="preserve">Walter Brueggemann and Samuel Terrien, </w:t>
      </w:r>
      <w:r w:rsidRPr="007B16C7">
        <w:rPr>
          <w:i/>
          <w:noProof/>
        </w:rPr>
        <w:t>The Elusive Presence: Toward a New Biblical Theology</w:t>
      </w:r>
      <w:r w:rsidRPr="007B16C7">
        <w:rPr>
          <w:noProof/>
        </w:rPr>
        <w:t xml:space="preserve">, </w:t>
      </w:r>
      <w:r w:rsidRPr="007B16C7">
        <w:rPr>
          <w:i/>
          <w:noProof/>
        </w:rPr>
        <w:t>Journal of Biblical Literature</w:t>
      </w:r>
      <w:r w:rsidRPr="007B16C7">
        <w:rPr>
          <w:noProof/>
        </w:rPr>
        <w:t>, vol. 99 (wipfstock pub, 1980), https://doi.org/10.2307/3265819.</w:t>
      </w:r>
      <w:r>
        <w:fldChar w:fldCharType="end"/>
      </w:r>
    </w:p>
  </w:footnote>
  <w:footnote w:id="39">
    <w:p w14:paraId="0094FA2A" w14:textId="412D6E17" w:rsidR="009F43A6" w:rsidRPr="009F43A6" w:rsidRDefault="009F43A6"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{"citationItems":[{"id":"ITEM-1","itemData":{"DOI":"10.2307/3260521","ISSN":"00219231","abstract":"fretheim1984suffering Date of Input: 4/27/2010 Date Modified: 4/30/2010 Priority: Normal Web: http://books.google.com/books?hl=en&amp;lr=&amp;id=hZGPTgWlvgYC&amp;oi=fnd&amp;pg=PR11&amp;dq=Fretheim+1984+suffering+god+old+testament+perspective&amp;ots=FTHajC9Z2y&amp;sig=DiwRDmOdkUR0xa2dxYtJwI-752g","author":[{"dropping-particle":"","family":"Ward","given":"James M.","non-dropping-particle":"","parse-names":false,"suffix":""},{"dropping-particle":"","family":"Fretheim","given":"Terence E.","non-dropping-particle":"","parse-names":false,"suffix":""}],"container-title":"Journal of Biblical Literature","id":"ITEM-1","issue":"3","issued":{"date-parts":[["1986"]]},"number-of-pages":"516","publisher":"Fortress Press","publisher-place":"Philadelphia","title":"The Suffering of God: An Old Testament Perspective","type":"book","volume":"105"},"uris":["http://www.mendeley.com/documents/?uuid=7a361b77-0132-41df-a1d7-6a645e5d97e0"]}],"mendeley":{"formattedCitation":"James M. Ward and Terence E. Fretheim, &lt;i&gt;The Suffering of God: An Old Testament Perspective&lt;/i&gt;, &lt;i&gt;Journal of Biblical Literature&lt;/i&gt;, vol. 105 (Philadelphia: Fortress Press, 1986), https://doi.org/10.2307/3260521.","plainTextFormattedCitation":"James M. Ward and Terence E. Fretheim, The Suffering of God: An Old Testament Perspective, Journal of Biblical Literature, vol. 105 (Philadelphia: Fortress Press, 1986), https://doi.org/10.2307/3260521.","previouslyFormattedCitation":"James M. Ward and Terence E. Fretheim, &lt;i&gt;The Suffering of God: An Old Testament Perspective&lt;/i&gt;, &lt;i&gt;Journal of Biblical Literature&lt;/i&gt;, vol. 105 (Philadelphia: Fortress Press, 1986), https://doi.org/10.2307/3260521."},"properties":{"noteIndex":39},"schema":"https://github.com/citation-style-language/schema/raw/master/csl-citation.json"}</w:instrText>
      </w:r>
      <w:r>
        <w:fldChar w:fldCharType="separate"/>
      </w:r>
      <w:r w:rsidRPr="009F43A6">
        <w:rPr>
          <w:noProof/>
        </w:rPr>
        <w:t xml:space="preserve">James M. Ward and Terence E. Fretheim, </w:t>
      </w:r>
      <w:r w:rsidRPr="009F43A6">
        <w:rPr>
          <w:i/>
          <w:noProof/>
        </w:rPr>
        <w:t>The Suffering of God: An Old Testament Perspective</w:t>
      </w:r>
      <w:r w:rsidRPr="009F43A6">
        <w:rPr>
          <w:noProof/>
        </w:rPr>
        <w:t xml:space="preserve">, </w:t>
      </w:r>
      <w:r w:rsidRPr="009F43A6">
        <w:rPr>
          <w:i/>
          <w:noProof/>
        </w:rPr>
        <w:t>Journal of Biblical Literature</w:t>
      </w:r>
      <w:r w:rsidRPr="009F43A6">
        <w:rPr>
          <w:noProof/>
        </w:rPr>
        <w:t>, vol. 105 (Philadelphia: Fortress Press, 1986), https://doi.org/10.2307/3260521.</w:t>
      </w:r>
      <w:r>
        <w:fldChar w:fldCharType="end"/>
      </w:r>
    </w:p>
  </w:footnote>
  <w:footnote w:id="40">
    <w:p w14:paraId="4928585C" w14:textId="1DF9792B" w:rsidR="009F43A6" w:rsidRPr="009F43A6" w:rsidRDefault="009F43A6"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{"citationItems":[{"id":"ITEM-1","itemData":{"DOI":"10.5840/listening19852013","abstract":"The historical and literary questions about ancient Israel that traditionally have preoccupied biblical scholars have often overlooked the social realities of life experienced by the vast majority of the population of ancient Israel. Volumes in the Library of Ancient Israel draw on multiple disciplines -- such as archaeology, anthropology, sociology, and literary criticism -- to illumine the everyday realities and social subtleties these ancient cultures experienced. This series employs sophisticated methods resulting in original contributions that depict the reality of the people behind the Hebrew Bible and interprets these scholarly insights for a wide variety of readers. Individually and collectively, these books will expand our vision of the culture and society of ancient Israel, thereby generating new appreciation for its impact up to the present.Patrick Miller investigates the role religion played in an expanding circle of influences in ancient Israel: the family, village, tribe, and nation-state. He situates Israel's religion in context where a variety of social forces affected beliefs, and where popular cults openly competed with the \"official\" religion. Miller makes extensive use of both epigraphic and artefactual evidence as he deftly probes the complexities of Iron Age culture and society and their enduring significance for people today.","author":[{"dropping-particle":"","family":"Harrelson","given":"Walter","non-dropping-particle":"","parse-names":false,"suffix":""}],"container-title":"Listening","id":"ITEM-1","issue":"1","issued":{"date-parts":[["1985"]]},"number-of-pages":"19-29","publisher":"John Knox Press","publisher-place":"Louisville - Kentucky","title":"The Religion of Ancient Israel","type":"book","volume":"20"},"uris":["http://www.mendeley.com/documents/?uuid=15e31533-1382-4f3b-8444-0b41648cba53"]}],"mendeley":{"formattedCitation":"Walter Harrelson, &lt;i&gt;The Religion of Ancient Israel&lt;/i&gt;, &lt;i&gt;Listening&lt;/i&gt;, vol. 20 (Louisville - Kentucky: John Knox Press, 1985), https://doi.org/10.5840/listening19852013.","plainTextFormattedCitation":"Walter Harrelson, The Religion of Ancient Israel, Listening, vol. 20 (Louisville - Kentucky: John Knox Press, 1985), https://doi.org/10.5840/listening19852013.","previouslyFormattedCitation":"Walter Harrelson, &lt;i&gt;The Religion of Ancient Israel&lt;/i&gt;, &lt;i&gt;Listening&lt;/i&gt;, vol. 20 (Louisville - Kentucky: John Knox Press, 1985), https://doi.org/10.5840/listening19852013."},"properties":{"noteIndex":40},"schema":"https://github.com/citation-style-language/schema/raw/master/csl-citation.json"}</w:instrText>
      </w:r>
      <w:r>
        <w:fldChar w:fldCharType="separate"/>
      </w:r>
      <w:r w:rsidRPr="009F43A6">
        <w:rPr>
          <w:noProof/>
        </w:rPr>
        <w:t xml:space="preserve">Walter Harrelson, </w:t>
      </w:r>
      <w:r w:rsidRPr="009F43A6">
        <w:rPr>
          <w:i/>
          <w:noProof/>
        </w:rPr>
        <w:t>The Religion of Ancient Israel</w:t>
      </w:r>
      <w:r w:rsidRPr="009F43A6">
        <w:rPr>
          <w:noProof/>
        </w:rPr>
        <w:t xml:space="preserve">, </w:t>
      </w:r>
      <w:r w:rsidRPr="009F43A6">
        <w:rPr>
          <w:i/>
          <w:noProof/>
        </w:rPr>
        <w:t>Listening</w:t>
      </w:r>
      <w:r w:rsidRPr="009F43A6">
        <w:rPr>
          <w:noProof/>
        </w:rPr>
        <w:t>, vol. 20 (Louisville - Kentucky: John Knox Press, 1985), https://doi.org/10.5840/listening19852013.</w:t>
      </w:r>
      <w:r>
        <w:fldChar w:fldCharType="end"/>
      </w:r>
    </w:p>
  </w:footnote>
  <w:footnote w:id="41">
    <w:p w14:paraId="661BCDE4" w14:textId="2032055A" w:rsidR="009F43A6" w:rsidRPr="009F43A6" w:rsidRDefault="009F43A6" w:rsidP="00BE5DA8">
      <w:pPr>
        <w:pStyle w:val="TeksCatatanKaki"/>
        <w:ind w:firstLine="720"/>
        <w:rPr>
          <w:lang w:val="id-ID"/>
        </w:rPr>
      </w:pPr>
      <w:r>
        <w:rPr>
          <w:rStyle w:val="ReferensiCatatanKaki"/>
        </w:rPr>
        <w:footnoteRef/>
      </w:r>
      <w:r>
        <w:t xml:space="preserve"> </w:t>
      </w:r>
      <w:r>
        <w:fldChar w:fldCharType="begin" w:fldLock="1"/>
      </w:r>
      <w:r w:rsidR="00D762E5">
        <w:instrText>ADDIN CSL_CITATION {"citationItems":[{"id":"ITEM-1","itemData":{"author":[{"dropping-particle":"","family":"Vriezen","given":"Theodorus C","non-dropping-particle":"","parse-names":false,"suffix":""}],"container-title":"IJ Cairns, Cet","id":"ITEM-1","issued":{"date-parts":[["2003"]]},"publisher":"BPK. Gunung Mulia","publisher-place":"Jakarta","title":"Agama Israel Kuno, Terj","type":"book","volume":"4"},"uris":["http://www.mendeley.com/documents/?uuid=0a5a93f3-13a4-4d1f-83b3-636e3f149907"]}],"mendeley":{"formattedCitation":"Vriezen, &lt;i&gt;Agama Israel Kuno, Terj&lt;/i&gt;.","plainTextFormattedCitation":"Vriezen, Agama Israel Kuno, Terj.","previouslyFormattedCitation":"Vriezen, &lt;i&gt;Agama Israel Kuno, Terj&lt;/i&gt;."},"properties":{"noteIndex":41},"schema":"https://github.com/citation-style-language/schema/raw/master/csl-citation.json"}</w:instrText>
      </w:r>
      <w:r>
        <w:fldChar w:fldCharType="separate"/>
      </w:r>
      <w:r w:rsidRPr="009F43A6">
        <w:rPr>
          <w:noProof/>
        </w:rPr>
        <w:t xml:space="preserve">Vriezen, </w:t>
      </w:r>
      <w:r w:rsidRPr="009F43A6">
        <w:rPr>
          <w:i/>
          <w:noProof/>
        </w:rPr>
        <w:t>Agama Israel Kuno, Terj</w:t>
      </w:r>
      <w:r w:rsidRPr="009F43A6">
        <w:rPr>
          <w:noProof/>
        </w:rPr>
        <w:t>.</w:t>
      </w:r>
      <w:r>
        <w:fldChar w:fldCharType="end"/>
      </w:r>
    </w:p>
  </w:footnote>
  <w:footnote w:id="42">
    <w:p w14:paraId="40DF7013" w14:textId="175AC629" w:rsidR="00660ABD" w:rsidRPr="00660ABD" w:rsidRDefault="00660ABD"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{"citationItems":[{"id":"ITEM-1","itemData":{"DOI":"10.2307/3260649","ISSN":"00219231","abstract":"Dans Sinai and Zion, Jon D. Levenson explore deux montagnes centrales dans la tradition biblique juive – le Sinaï et Sion – pour analyser leurs significations théologiques et leurs implications dans la religion d'Israël. Le Sinaï : Représente le lieu de la révélation divine et de l’alliance entre Dieu et Israël (à travers la Torah donnée à Moïse). Met l'accent sur la loi, l'obéissance et la relation contractuelle entre Dieu et son peuple. Sion (Jérusalem) : Symbolise la présence permanente de Dieu, notamment à travers le Temple. Associe la royauté divine et la stabilité de l’alliance, avec une dimension plus universaliste (par exemple, dans les Psaumes et les prophéties eschatologiques). Levenson montre comment ces deux symboles coexistent et se complètent dans la pensée biblique, malgré leurs différences. Il souligne également leur influence sur le judaïsme post-biblique et leur réinterprétation dans le christianisme. L'ouvrage offre une analyse approfondie des textes bibliques et une réflexion sur la manière dont ces deux traditions (Sinaï comme loi, Sion comme présence divine) ont façonné l'identité religieuse juive.","author":[{"dropping-particle":"","family":"Terrien","given":"Samuel","non-dropping-particle":"","parse-names":false,"suffix":""},{"dropping-particle":"","family":"Levenson","given":"Jon D.","non-dropping-particle":"","parse-names":false,"suffix":""}],"container-title":"Journal of Biblical Literature","id":"ITEM-1","issue":"2","issued":{"date-parts":[["1987"]]},"number-of-pages":"317","publisher":"Winston Press","publisher-place":"Minneapolis","title":"Sinai and Zion: An Entry into the Jewish Bible","type":"book","volume":"106"},"uris":["http://www.mendeley.com/documents/?uuid=6ebad6ce-840b-4d26-aac5-18600a76fe24"]}],"mendeley":{"formattedCitation":"Samuel Terrien and Jon D. Levenson, &lt;i&gt;Sinai and Zion: An Entry into the Jewish Bible&lt;/i&gt;, &lt;i&gt;Journal of Biblical Literature&lt;/i&gt;, vol. 106 (Minneapolis: Winston Press, 1987), https://doi.org/10.2307/3260649.","plainTextFormattedCitation":"Samuel Terrien and Jon D. Levenson, Sinai and Zion: An Entry into the Jewish Bible, Journal of Biblical Literature, vol. 106 (Minneapolis: Winston Press, 1987), https://doi.org/10.2307/3260649.","previouslyFormattedCitation":"Samuel Terrien and Jon D. Levenson, &lt;i&gt;Sinai and Zion: An Entry into the Jewish Bible&lt;/i&gt;, &lt;i&gt;Journal of Biblical Literature&lt;/i&gt;, vol. 106 (Minneapolis: Winston Press, 1987), https://doi.org/10.2307/3260649."},"properties":{"noteIndex":42},"schema":"https://github.com/citation-style-language/schema/raw/master/csl-citation.json"}</w:instrText>
      </w:r>
      <w:r>
        <w:fldChar w:fldCharType="separate"/>
      </w:r>
      <w:r w:rsidRPr="00660ABD">
        <w:rPr>
          <w:noProof/>
        </w:rPr>
        <w:t xml:space="preserve">Samuel Terrien and Jon D. Levenson, </w:t>
      </w:r>
      <w:r w:rsidRPr="00660ABD">
        <w:rPr>
          <w:i/>
          <w:noProof/>
        </w:rPr>
        <w:t>Sinai and Zion: An Entry into the Jewish Bible</w:t>
      </w:r>
      <w:r w:rsidRPr="00660ABD">
        <w:rPr>
          <w:noProof/>
        </w:rPr>
        <w:t xml:space="preserve">, </w:t>
      </w:r>
      <w:r w:rsidRPr="00660ABD">
        <w:rPr>
          <w:i/>
          <w:noProof/>
        </w:rPr>
        <w:t>Journal of Biblical Literature</w:t>
      </w:r>
      <w:r w:rsidRPr="00660ABD">
        <w:rPr>
          <w:noProof/>
        </w:rPr>
        <w:t>, vol. 106 (Minneapolis: Winston Press, 1987), https://doi.org/10.2307/3260649.</w:t>
      </w:r>
      <w:r>
        <w:fldChar w:fldCharType="end"/>
      </w:r>
    </w:p>
  </w:footnote>
  <w:footnote w:id="43">
    <w:p w14:paraId="07F3F230" w14:textId="61693CB3" w:rsidR="00660ABD" w:rsidRPr="00660ABD" w:rsidRDefault="00660ABD"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{"citationItems":[{"id":"ITEM-1","itemData":{"DOI":"10.2307/3265248","ISSN":"00219231","abstract":"Date of Input: 10/10/2007 Date Modified: 7/11/2011","author":[{"dropping-particle":"","family":"Milgrom","given":"Jacob","non-dropping-particle":"","parse-names":false,"suffix":""},{"dropping-particle":"","family":"Levine","given":"Baruch A.","non-dropping-particle":"","parse-names":false,"suffix":""}],"container-title":"Journal of Biblical Literature","id":"ITEM-1","issue":"2","issued":{"date-parts":[["1976"]]},"number-of-pages":"291","publisher":"Brill","publisher-place":"Leiden","title":"In the Presence of the Lord: A Study of Cult and Some Cultic Terms in Ancient Israel","type":"book","volume":"95"},"uris":["http://www.mendeley.com/documents/?uuid=f04fbbb2-547b-485b-b972-cabbe92bf760"]}],"mendeley":{"formattedCitation":"Jacob Milgrom and Baruch A. Levine, &lt;i&gt;In the Presence of the Lord: A Study of Cult and Some Cultic Terms in Ancient Israel&lt;/i&gt;, &lt;i&gt;Journal of Biblical Literature&lt;/i&gt;, vol. 95 (Leiden: Brill, 1976), https://doi.org/10.2307/3265248.","plainTextFormattedCitation":"Jacob Milgrom and Baruch A. Levine, In the Presence of the Lord: A Study of Cult and Some Cultic Terms in Ancient Israel, Journal of Biblical Literature, vol. 95 (Leiden: Brill, 1976), https://doi.org/10.2307/3265248.","previouslyFormattedCitation":"Jacob Milgrom and Baruch A. Levine, &lt;i&gt;In the Presence of the Lord: A Study of Cult and Some Cultic Terms in Ancient Israel&lt;/i&gt;, &lt;i&gt;Journal of Biblical Literature&lt;/i&gt;, vol. 95 (Leiden: Brill, 1976), https://doi.org/10.2307/3265248."},"properties":{"noteIndex":43},"schema":"https://github.com/citation-style-language/schema/raw/master/csl-citation.json"}</w:instrText>
      </w:r>
      <w:r>
        <w:fldChar w:fldCharType="separate"/>
      </w:r>
      <w:r w:rsidRPr="00660ABD">
        <w:rPr>
          <w:noProof/>
        </w:rPr>
        <w:t xml:space="preserve">Jacob Milgrom and Baruch A. Levine, </w:t>
      </w:r>
      <w:r w:rsidRPr="00660ABD">
        <w:rPr>
          <w:i/>
          <w:noProof/>
        </w:rPr>
        <w:t>In the Presence of the Lord: A Study of Cult and Some Cultic Terms in Ancient Israel</w:t>
      </w:r>
      <w:r w:rsidRPr="00660ABD">
        <w:rPr>
          <w:noProof/>
        </w:rPr>
        <w:t xml:space="preserve">, </w:t>
      </w:r>
      <w:r w:rsidRPr="00660ABD">
        <w:rPr>
          <w:i/>
          <w:noProof/>
        </w:rPr>
        <w:t>Journal of Biblical Literature</w:t>
      </w:r>
      <w:r w:rsidRPr="00660ABD">
        <w:rPr>
          <w:noProof/>
        </w:rPr>
        <w:t>, vol. 95 (Leiden: Brill, 1976), https://doi.org/10.2307/3265248.</w:t>
      </w:r>
      <w:r>
        <w:fldChar w:fldCharType="end"/>
      </w:r>
    </w:p>
  </w:footnote>
  <w:footnote w:id="44">
    <w:p w14:paraId="45562874" w14:textId="60CE1054" w:rsidR="00660ABD" w:rsidRPr="00660ABD" w:rsidRDefault="00660ABD"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{"citationItems":[{"id":"ITEM-1","itemData":{"DOI":"10.5040/bci-00a7","author":[{"dropping-particle":"","family":"Wenham","given":"Gordon J.","non-dropping-particle":"","parse-names":false,"suffix":""}],"container-title":"The Book of Leviticus","id":"ITEM-1","issued":{"date-parts":[["1979"]]},"publisher":"Eerdmans Publihing Company","publisher-place":"Grand Rapid, Michigan","title":"The Book of Leviticus","type":"book"},"uris":["http://www.mendeley.com/documents/?uuid=111d8d47-a437-467b-93b4-e08d059500b3"]}],"mendeley":{"formattedCitation":"Gordon J. Wenham, &lt;i&gt;The Book of Leviticus&lt;/i&gt;, &lt;i&gt;The Book of Leviticus&lt;/i&gt; (Grand Rapid, Michigan: Eerdmans Publihing Company, 1979), https://doi.org/10.5040/bci-00a7.","plainTextFormattedCitation":"Gordon J. Wenham, The Book of Leviticus, The Book of Leviticus (Grand Rapid, Michigan: Eerdmans Publihing Company, 1979), https://doi.org/10.5040/bci-00a7.","previouslyFormattedCitation":"Gordon J. Wenham, &lt;i&gt;The Book of Leviticus&lt;/i&gt;, &lt;i&gt;The Book of Leviticus&lt;/i&gt; (Grand Rapid, Michigan: Eerdmans Publihing Company, 1979), https://doi.org/10.5040/bci-00a7."},"properties":{"noteIndex":44},"schema":"https://github.com/citation-style-language/schema/raw/master/csl-citation.json"}</w:instrText>
      </w:r>
      <w:r>
        <w:fldChar w:fldCharType="separate"/>
      </w:r>
      <w:r w:rsidRPr="00660ABD">
        <w:rPr>
          <w:noProof/>
        </w:rPr>
        <w:t xml:space="preserve">Gordon J. Wenham, </w:t>
      </w:r>
      <w:r w:rsidRPr="00660ABD">
        <w:rPr>
          <w:i/>
          <w:noProof/>
        </w:rPr>
        <w:t>The Book of Leviticus</w:t>
      </w:r>
      <w:r w:rsidRPr="00660ABD">
        <w:rPr>
          <w:noProof/>
        </w:rPr>
        <w:t xml:space="preserve">, </w:t>
      </w:r>
      <w:r w:rsidRPr="00660ABD">
        <w:rPr>
          <w:i/>
          <w:noProof/>
        </w:rPr>
        <w:t>The Book of Leviticus</w:t>
      </w:r>
      <w:r w:rsidRPr="00660ABD">
        <w:rPr>
          <w:noProof/>
        </w:rPr>
        <w:t xml:space="preserve"> (Grand Rapid, Michigan: Eerdmans Publihing Company, 1979), https://doi.org/10.5040/bci-00a7.</w:t>
      </w:r>
      <w:r>
        <w:fldChar w:fldCharType="end"/>
      </w:r>
    </w:p>
  </w:footnote>
  <w:footnote w:id="45">
    <w:p w14:paraId="55418352" w14:textId="7D3804C8" w:rsidR="00660ABD" w:rsidRPr="00660ABD" w:rsidRDefault="00660ABD" w:rsidP="00BE5DA8">
      <w:pPr>
        <w:pStyle w:val="TeksCatatanKaki"/>
        <w:ind w:firstLine="720"/>
        <w:rPr>
          <w:lang w:val="id-ID"/>
        </w:rPr>
      </w:pPr>
      <w:r>
        <w:rPr>
          <w:rStyle w:val="ReferensiCatatanKaki"/>
        </w:rPr>
        <w:footnoteRef/>
      </w:r>
      <w:r>
        <w:t xml:space="preserve"> </w:t>
      </w:r>
      <w:r>
        <w:fldChar w:fldCharType="begin" w:fldLock="1"/>
      </w:r>
      <w:r w:rsidR="00D762E5">
        <w:instrText>ADDIN CSL_CITATION {"citationItems":[{"id":"ITEM-1","itemData":{"DOI":"10.1093/oxfordhb/9780199237777.003.0038","ISBN":"9780191577130","abstract":"This article discusses the discipline and practice of Old Testament theology. It covers the modern preoccupation with history; the break with historical relativism; a fresh beginning beyond historicism; the move away from a single, dominant perspective that resulted in a much more diverse, pluralistic, and variegated field of study; the emergence of new accents in the field in the 1970s; and future developments in Old Testament theology.","author":[{"dropping-particle":"","family":"Brueggemann","given":"Walter","non-dropping-particle":"","parse-names":false,"suffix":""}],"container-title":"The Oxford Handbook of Biblical Studies","id":"ITEM-1","issued":{"date-parts":[["2009"]]},"publisher":"Pers InterVarsity","title":"Old Testament Theology","type":"book"},"uris":["http://www.mendeley.com/documents/?uuid=2e668e85-e995-4185-9fbf-6db50349320d"]}],"mendeley":{"formattedCitation":"Brueggemann, &lt;i&gt;Old Testament Theology&lt;/i&gt;.","plainTextFormattedCitation":"Brueggemann, Old Testament Theology.","previouslyFormattedCitation":"Brueggemann, &lt;i&gt;Old Testament Theology&lt;/i&gt;."},"properties":{"noteIndex":45},"schema":"https://github.com/citation-style-language/schema/raw/master/csl-citation.json"}</w:instrText>
      </w:r>
      <w:r>
        <w:fldChar w:fldCharType="separate"/>
      </w:r>
      <w:r w:rsidRPr="00660ABD">
        <w:rPr>
          <w:noProof/>
        </w:rPr>
        <w:t xml:space="preserve">Brueggemann, </w:t>
      </w:r>
      <w:r w:rsidRPr="00660ABD">
        <w:rPr>
          <w:i/>
          <w:noProof/>
        </w:rPr>
        <w:t>Old Testament Theology</w:t>
      </w:r>
      <w:r w:rsidRPr="00660ABD">
        <w:rPr>
          <w:noProof/>
        </w:rPr>
        <w:t>.</w:t>
      </w:r>
      <w:r>
        <w:fldChar w:fldCharType="end"/>
      </w:r>
    </w:p>
  </w:footnote>
  <w:footnote w:id="46">
    <w:p w14:paraId="036E16A0" w14:textId="4C253014" w:rsidR="00486D66" w:rsidRPr="00486D66" w:rsidRDefault="00486D66" w:rsidP="000D0F7B">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ISBN":"978-634-7314-33-8","author":[{"dropping-particle":"","family":"Sulistiono","given":"","non-dropping-particle":"","parse-names":false,"suffix":""}],"edition":"1","id":"ITEM-1","issued":{"date-parts":[["2025"]]},"number-of-pages":"156","publisher":"Yayasan Putra Adi Dharma","publisher-place":"Yogyakarta","title":"Tafsir Kitab Kesusastraan","type":"book"},"uris":["http://www.mendeley.com/documents/?uuid=65f98c18-75ae-40e3-b147-4f364481fdf1"]}],"mendeley":{"formattedCitation":"Sulistiono, &lt;i&gt;Tafsir Kitab Kesusastraan&lt;/i&gt;, 1st ed. (Yogyakarta: Yayasan Putra Adi Dharma, 2025), https://scholar.google.com/citations?view_op=view_citation&amp;hl=id&amp;user=jXCOnVIAAAAJ&amp;authuser=2&amp;citation_for_view=jXCOnVIAAAAJ:3fE2CSJIrl8C.","plainTextFormattedCitation":"Sulistiono, Tafsir Kitab Kesusastraan, 1st ed. (Yogyakarta: Yayasan Putra Adi Dharma, 2025), https://scholar.google.com/citations?view_op=view_citation&amp;hl=id&amp;user=jXCOnVIAAAAJ&amp;authuser=2&amp;citation_for_view=jXCOnVIAAAAJ:3fE2CSJIrl8C.","previouslyFormattedCitation":"Sulistiono, &lt;i&gt;Tafsir Kitab Kesusastraan&lt;/i&gt;, 1st ed. (Yogyakarta: Yayasan Putra Adi Dharma, 2025), https://scholar.google.com/citations?view_op=view_citation&amp;hl=id&amp;user=jXCOnVIAAAAJ&amp;authuser=2&amp;citation_for_view=jXCOnVIAAAAJ:3fE2CSJIrl8C."},"properties":{"noteIndex":46},"schema":"https://github.com/citation-style-language/schema/raw/master/csl-citation.json"}</w:instrText>
      </w:r>
      <w:r>
        <w:fldChar w:fldCharType="separate"/>
      </w:r>
      <w:r w:rsidRPr="00486D66">
        <w:rPr>
          <w:noProof/>
        </w:rPr>
        <w:t xml:space="preserve">Sulistiono, </w:t>
      </w:r>
      <w:r w:rsidRPr="00486D66">
        <w:rPr>
          <w:i/>
          <w:noProof/>
        </w:rPr>
        <w:t>Tafsir Kitab Kesusastraan</w:t>
      </w:r>
      <w:r w:rsidRPr="00486D66">
        <w:rPr>
          <w:noProof/>
        </w:rPr>
        <w:t>, 1st ed. (Yogyakarta: Yayasan Putra Adi Dharma, 2025), https://scholar.google.com/citations?view_op=view_citation&amp;hl=id&amp;user=jXCOnVIAAAAJ&amp;authuser=2&amp;citation_for_view=jXCOnVIAAAAJ:3fE2CSJIrl8C.</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Default="00287189">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Nomor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r w:rsidR="00273E5A">
      <w:rPr>
        <w:rFonts w:ascii="Garamond" w:eastAsia="Garamond" w:hAnsi="Garamond" w:cs="Garamond"/>
        <w:color w:val="000000"/>
        <w:sz w:val="22"/>
        <w:szCs w:val="22"/>
      </w:rPr>
      <w:t>Februari</w:t>
    </w:r>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161BC"/>
    <w:rsid w:val="000B5DC2"/>
    <w:rsid w:val="000D0F7B"/>
    <w:rsid w:val="0014273A"/>
    <w:rsid w:val="001B0696"/>
    <w:rsid w:val="001D1E44"/>
    <w:rsid w:val="00205F92"/>
    <w:rsid w:val="00215DA9"/>
    <w:rsid w:val="00221797"/>
    <w:rsid w:val="00273E5A"/>
    <w:rsid w:val="002758F3"/>
    <w:rsid w:val="0028573F"/>
    <w:rsid w:val="00287189"/>
    <w:rsid w:val="0029549B"/>
    <w:rsid w:val="002D7200"/>
    <w:rsid w:val="002E3BFD"/>
    <w:rsid w:val="00311752"/>
    <w:rsid w:val="00342890"/>
    <w:rsid w:val="00353E95"/>
    <w:rsid w:val="003A0859"/>
    <w:rsid w:val="003A4350"/>
    <w:rsid w:val="003D31CF"/>
    <w:rsid w:val="00486D66"/>
    <w:rsid w:val="005223AB"/>
    <w:rsid w:val="00551C7E"/>
    <w:rsid w:val="005660D3"/>
    <w:rsid w:val="0057698C"/>
    <w:rsid w:val="00595524"/>
    <w:rsid w:val="005A2F44"/>
    <w:rsid w:val="005A4919"/>
    <w:rsid w:val="005B7BAB"/>
    <w:rsid w:val="005C71C3"/>
    <w:rsid w:val="005D7D2D"/>
    <w:rsid w:val="00603858"/>
    <w:rsid w:val="00604026"/>
    <w:rsid w:val="006265A8"/>
    <w:rsid w:val="006516B5"/>
    <w:rsid w:val="00660ABD"/>
    <w:rsid w:val="00680DA7"/>
    <w:rsid w:val="00687328"/>
    <w:rsid w:val="00687726"/>
    <w:rsid w:val="006E65F0"/>
    <w:rsid w:val="007073E3"/>
    <w:rsid w:val="007300A0"/>
    <w:rsid w:val="00782D3F"/>
    <w:rsid w:val="007B16C7"/>
    <w:rsid w:val="007E31AE"/>
    <w:rsid w:val="007F1CCC"/>
    <w:rsid w:val="0080490A"/>
    <w:rsid w:val="00880B38"/>
    <w:rsid w:val="008B2100"/>
    <w:rsid w:val="00901906"/>
    <w:rsid w:val="00987582"/>
    <w:rsid w:val="009B0F78"/>
    <w:rsid w:val="009E2647"/>
    <w:rsid w:val="009F4195"/>
    <w:rsid w:val="009F43A6"/>
    <w:rsid w:val="00A0283A"/>
    <w:rsid w:val="00A2275C"/>
    <w:rsid w:val="00A34F37"/>
    <w:rsid w:val="00A47FB2"/>
    <w:rsid w:val="00AD15E1"/>
    <w:rsid w:val="00AE35FD"/>
    <w:rsid w:val="00B632B6"/>
    <w:rsid w:val="00B66877"/>
    <w:rsid w:val="00B820E8"/>
    <w:rsid w:val="00B87209"/>
    <w:rsid w:val="00BD4471"/>
    <w:rsid w:val="00BE0A78"/>
    <w:rsid w:val="00BE5DA8"/>
    <w:rsid w:val="00C30472"/>
    <w:rsid w:val="00C435B7"/>
    <w:rsid w:val="00CE3B37"/>
    <w:rsid w:val="00CF12E9"/>
    <w:rsid w:val="00D07E9A"/>
    <w:rsid w:val="00D233DE"/>
    <w:rsid w:val="00D762E5"/>
    <w:rsid w:val="00D8419F"/>
    <w:rsid w:val="00DA1540"/>
    <w:rsid w:val="00DA24DA"/>
    <w:rsid w:val="00DC3EED"/>
    <w:rsid w:val="00DD3442"/>
    <w:rsid w:val="00DF3D85"/>
    <w:rsid w:val="00E80035"/>
    <w:rsid w:val="00ED1E48"/>
    <w:rsid w:val="00F55765"/>
    <w:rsid w:val="00F7172A"/>
    <w:rsid w:val="00F903B5"/>
    <w:rsid w:val="00FA125F"/>
    <w:rsid w:val="00FC670D"/>
    <w:rsid w:val="00FD3874"/>
  </w:rsids>
  <m:mathPr>
    <m:mathFont m:val="Cambria Math"/>
    <m:brkBin m:val="before"/>
    <m:brkBinSub m:val="--"/>
    <m:smallFrac m:val="0"/>
    <m:dispDef/>
    <m:lMargin m:val="0"/>
    <m:rMargin m:val="0"/>
    <m:defJc m:val="centerGroup"/>
    <m:wrapIndent m:val="1440"/>
    <m:intLim m:val="subSup"/>
    <m:naryLim m:val="undOvr"/>
  </m:mathPr>
  <w:themeFontLang w:val="en-ID"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eksCatatanKaki">
    <w:name w:val="footnote text"/>
    <w:basedOn w:val="Normal"/>
    <w:link w:val="TeksCatatanKakiKAR"/>
    <w:uiPriority w:val="99"/>
    <w:semiHidden/>
    <w:unhideWhenUsed/>
    <w:rsid w:val="00D8419F"/>
    <w:rPr>
      <w:sz w:val="20"/>
      <w:szCs w:val="20"/>
    </w:rPr>
  </w:style>
  <w:style w:type="character" w:customStyle="1" w:styleId="TeksCatatanKakiKAR">
    <w:name w:val="Teks Catatan Kaki KAR"/>
    <w:basedOn w:val="FontParagrafDefault"/>
    <w:link w:val="TeksCatatanKaki"/>
    <w:uiPriority w:val="99"/>
    <w:semiHidden/>
    <w:rsid w:val="00D8419F"/>
    <w:rPr>
      <w:rFonts w:eastAsia="SimSun"/>
      <w:sz w:val="20"/>
      <w:szCs w:val="20"/>
      <w:lang w:eastAsia="zh-CN"/>
    </w:rPr>
  </w:style>
  <w:style w:type="character" w:styleId="ReferensiCatatanKaki">
    <w:name w:val="footnote reference"/>
    <w:basedOn w:val="FontParagrafDefault"/>
    <w:uiPriority w:val="99"/>
    <w:semiHidden/>
    <w:unhideWhenUsed/>
    <w:rsid w:val="00D8419F"/>
    <w:rPr>
      <w:vertAlign w:val="superscript"/>
    </w:rPr>
  </w:style>
  <w:style w:type="character" w:styleId="SebutanYangBelumTerselesaikan">
    <w:name w:val="Unresolved Mention"/>
    <w:basedOn w:val="FontParagrafDefault"/>
    <w:uiPriority w:val="99"/>
    <w:semiHidden/>
    <w:unhideWhenUsed/>
    <w:rsid w:val="00B820E8"/>
    <w:rPr>
      <w:color w:val="605E5C"/>
      <w:shd w:val="clear" w:color="auto" w:fill="E1DFDD"/>
    </w:rPr>
  </w:style>
  <w:style w:type="character" w:styleId="ReferensiKomentar">
    <w:name w:val="annotation reference"/>
    <w:basedOn w:val="FontParagrafDefault"/>
    <w:uiPriority w:val="99"/>
    <w:semiHidden/>
    <w:unhideWhenUsed/>
    <w:rsid w:val="0028573F"/>
    <w:rPr>
      <w:sz w:val="16"/>
      <w:szCs w:val="16"/>
    </w:rPr>
  </w:style>
  <w:style w:type="paragraph" w:styleId="TeksKomentar">
    <w:name w:val="annotation text"/>
    <w:basedOn w:val="Normal"/>
    <w:link w:val="TeksKomentarKAR"/>
    <w:uiPriority w:val="99"/>
    <w:unhideWhenUsed/>
    <w:rsid w:val="0028573F"/>
    <w:rPr>
      <w:sz w:val="20"/>
      <w:szCs w:val="20"/>
    </w:rPr>
  </w:style>
  <w:style w:type="character" w:customStyle="1" w:styleId="TeksKomentarKAR">
    <w:name w:val="Teks Komentar KAR"/>
    <w:basedOn w:val="FontParagrafDefault"/>
    <w:link w:val="TeksKomentar"/>
    <w:uiPriority w:val="99"/>
    <w:rsid w:val="0028573F"/>
    <w:rPr>
      <w:rFonts w:eastAsia="SimSun"/>
      <w:sz w:val="20"/>
      <w:szCs w:val="20"/>
      <w:lang w:eastAsia="zh-CN"/>
    </w:rPr>
  </w:style>
  <w:style w:type="paragraph" w:styleId="SubjekKomentar">
    <w:name w:val="annotation subject"/>
    <w:basedOn w:val="TeksKomentar"/>
    <w:next w:val="TeksKomentar"/>
    <w:link w:val="SubjekKomentarKAR"/>
    <w:uiPriority w:val="99"/>
    <w:semiHidden/>
    <w:unhideWhenUsed/>
    <w:rsid w:val="0028573F"/>
    <w:rPr>
      <w:b/>
      <w:bCs/>
    </w:rPr>
  </w:style>
  <w:style w:type="character" w:customStyle="1" w:styleId="SubjekKomentarKAR">
    <w:name w:val="Subjek Komentar KAR"/>
    <w:basedOn w:val="TeksKomentarKAR"/>
    <w:link w:val="SubjekKomentar"/>
    <w:uiPriority w:val="99"/>
    <w:semiHidden/>
    <w:rsid w:val="0028573F"/>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8/08/relationships/commentsExtensible" Target="commentsExtensible.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omments" Target="comments.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2E8A779B-7BD3-4F6F-8D87-7FE0C4C4023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427</TotalTime>
  <Pages>24</Pages>
  <Words>8797</Words>
  <Characters>50147</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Author</cp:lastModifiedBy>
  <cp:revision>82</cp:revision>
  <dcterms:created xsi:type="dcterms:W3CDTF">2023-02-22T06:25:00Z</dcterms:created>
  <dcterms:modified xsi:type="dcterms:W3CDTF">2026-06-12T05:32:00Z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9th edition (full note)</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Unique User Id_1">
    <vt:lpwstr>59690328-0915-3ae5-9125-9611f4ee5cc3</vt:lpwstr>
  </property>
  <property fmtid="{D5CDD505-2E9C-101B-9397-08002B2CF9AE}" pid="25" name="Mendeley Citation Style_1">
    <vt:lpwstr>http://www.zotero.org/styles/turabian-fullnote-bibliography</vt:lpwstr>
  </property>
</Properties>
</file>