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1366A2">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366A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1366A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1366A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79DC99D6" w:rsidR="00C30472" w:rsidRPr="00BA74A8" w:rsidRDefault="00BA74A8" w:rsidP="00BA74A8">
            <w:pPr>
              <w:jc w:val="center"/>
              <w:rPr>
                <w:b/>
                <w:bCs/>
                <w:sz w:val="32"/>
                <w:szCs w:val="32"/>
                <w:lang w:val="sv-SE"/>
              </w:rPr>
            </w:pPr>
            <w:r w:rsidRPr="00BA74A8">
              <w:rPr>
                <w:b/>
                <w:bCs/>
                <w:sz w:val="32"/>
                <w:szCs w:val="32"/>
                <w:lang w:val="sv-SE"/>
              </w:rPr>
              <w:t>Tantangan Posmodernisme Dan Relativisme Terhadap Kebenaran Injil: Sebuah Tinjauan</w:t>
            </w:r>
            <w:r w:rsidR="007058EC">
              <w:rPr>
                <w:b/>
                <w:bCs/>
                <w:sz w:val="32"/>
                <w:szCs w:val="32"/>
                <w:lang w:val="sv-SE"/>
              </w:rPr>
              <w:t xml:space="preserve"> Teologi</w:t>
            </w:r>
            <w:r w:rsidRPr="00BA74A8">
              <w:rPr>
                <w:b/>
                <w:bCs/>
                <w:sz w:val="32"/>
                <w:szCs w:val="32"/>
                <w:lang w:val="sv-SE"/>
              </w:rPr>
              <w:t xml:space="preserve"> </w:t>
            </w:r>
            <w:r w:rsidR="003929F5">
              <w:rPr>
                <w:b/>
                <w:bCs/>
                <w:sz w:val="32"/>
                <w:szCs w:val="32"/>
                <w:lang w:val="sv-SE"/>
              </w:rPr>
              <w:t xml:space="preserve">Dan Filsafat </w:t>
            </w:r>
            <w:r w:rsidRPr="00BA74A8">
              <w:rPr>
                <w:b/>
                <w:bCs/>
                <w:sz w:val="32"/>
                <w:szCs w:val="32"/>
                <w:lang w:val="sv-SE"/>
              </w:rPr>
              <w:t>Kristen</w:t>
            </w:r>
          </w:p>
          <w:p w14:paraId="13A1ABAE" w14:textId="77777777" w:rsidR="00BA74A8" w:rsidRPr="00BA74A8" w:rsidRDefault="00BA74A8" w:rsidP="00BA74A8">
            <w:pPr>
              <w:jc w:val="center"/>
              <w:rPr>
                <w:rFonts w:ascii="Calibri Light" w:hAnsi="Calibri Light" w:cs="Calibri Light"/>
                <w:b/>
                <w:bCs/>
                <w:lang w:val="sv-SE"/>
              </w:rPr>
            </w:pPr>
          </w:p>
          <w:p w14:paraId="26CF9613" w14:textId="44253014" w:rsidR="00AE35FD" w:rsidRDefault="00BA74A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Debora</w:t>
            </w:r>
            <w:r w:rsidR="001366A2">
              <w:rPr>
                <w:b/>
                <w:i/>
                <w:color w:val="000000"/>
                <w:sz w:val="28"/>
                <w:szCs w:val="28"/>
                <w:vertAlign w:val="superscript"/>
              </w:rPr>
              <w:t>1</w:t>
            </w:r>
            <w:r w:rsidR="001366A2">
              <w:rPr>
                <w:i/>
                <w:color w:val="000000"/>
              </w:rPr>
              <w:t>*</w:t>
            </w:r>
            <w:r w:rsidR="001366A2">
              <w:rPr>
                <w:color w:val="000000"/>
                <w:vertAlign w:val="superscript"/>
              </w:rPr>
              <w:t>)</w:t>
            </w:r>
            <w:r w:rsidR="001366A2">
              <w:rPr>
                <w:b/>
                <w:i/>
                <w:color w:val="000000"/>
                <w:sz w:val="28"/>
                <w:szCs w:val="28"/>
              </w:rPr>
              <w:t xml:space="preserve"> </w:t>
            </w:r>
          </w:p>
          <w:p w14:paraId="28AC2386" w14:textId="3B8C4B26" w:rsidR="00C30472" w:rsidRDefault="00BA74A8" w:rsidP="00BA74A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Didit Yuliantono Adi</w:t>
            </w:r>
            <w:r w:rsidR="001366A2">
              <w:rPr>
                <w:b/>
                <w:i/>
                <w:color w:val="000000"/>
                <w:sz w:val="28"/>
                <w:szCs w:val="28"/>
                <w:vertAlign w:val="superscript"/>
              </w:rPr>
              <w:t>2</w:t>
            </w:r>
            <w:r w:rsidR="001366A2">
              <w:rPr>
                <w:b/>
                <w:i/>
                <w:color w:val="000000"/>
                <w:sz w:val="28"/>
                <w:szCs w:val="28"/>
              </w:rPr>
              <w:t xml:space="preserve"> </w:t>
            </w:r>
          </w:p>
          <w:p w14:paraId="6EDB9016" w14:textId="696C79FE" w:rsidR="00C30472" w:rsidRDefault="001366A2">
            <w:pPr>
              <w:jc w:val="center"/>
            </w:pPr>
            <w:bookmarkStart w:id="0" w:name="_heading=h.gjdgxs" w:colFirst="0" w:colLast="0"/>
            <w:bookmarkEnd w:id="0"/>
            <w:r>
              <w:rPr>
                <w:color w:val="000000"/>
                <w:vertAlign w:val="superscript"/>
              </w:rPr>
              <w:t>1</w:t>
            </w:r>
            <w:r>
              <w:rPr>
                <w:i/>
                <w:color w:val="000000"/>
              </w:rPr>
              <w:t xml:space="preserve">Sekolah Tinggi Teologi </w:t>
            </w:r>
            <w:r w:rsidR="00BA74A8">
              <w:rPr>
                <w:i/>
                <w:color w:val="000000"/>
              </w:rPr>
              <w:t>Rajawali Arastamar Indonesia Batam</w:t>
            </w:r>
          </w:p>
          <w:p w14:paraId="783395F9" w14:textId="03B1E6FF" w:rsidR="00C30472" w:rsidRDefault="001366A2">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r w:rsidR="00BA74A8">
              <w:rPr>
                <w:i/>
                <w:color w:val="000000"/>
              </w:rPr>
              <w:t>debora304@gmail.com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BA74A8"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1366A2">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1366A2">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366A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Lustria"/>
                <w:b/>
                <w:color w:val="000000"/>
                <w:sz w:val="22"/>
                <w:szCs w:val="22"/>
                <w:vertAlign w:val="subscript"/>
              </w:rPr>
              <w:t>ABSTRAK</w:t>
            </w:r>
          </w:p>
          <w:p w14:paraId="6A5A1759" w14:textId="0ED8B404" w:rsidR="00C30472" w:rsidRDefault="001366A2">
            <w:pPr>
              <w:pBdr>
                <w:top w:val="nil"/>
                <w:left w:val="nil"/>
                <w:bottom w:val="nil"/>
                <w:right w:val="nil"/>
                <w:between w:val="nil"/>
              </w:pBdr>
              <w:jc w:val="both"/>
              <w:rPr>
                <w:rFonts w:eastAsia="Lustria"/>
                <w:color w:val="000000"/>
                <w:sz w:val="22"/>
                <w:szCs w:val="22"/>
              </w:rPr>
            </w:pPr>
            <w:r w:rsidRPr="00F4082F">
              <w:rPr>
                <w:rFonts w:eastAsia="Lustria"/>
                <w:color w:val="000000"/>
                <w:sz w:val="22"/>
                <w:szCs w:val="22"/>
              </w:rPr>
              <w:t>____________________________________________________________</w:t>
            </w:r>
          </w:p>
          <w:p w14:paraId="0C0D7EC5" w14:textId="77777777" w:rsidR="00F4082F" w:rsidRPr="00F4082F" w:rsidRDefault="00F4082F" w:rsidP="00F4082F">
            <w:pPr>
              <w:ind w:firstLine="720"/>
              <w:jc w:val="both"/>
              <w:rPr>
                <w:sz w:val="22"/>
                <w:szCs w:val="22"/>
                <w:lang w:val="sv-SE"/>
              </w:rPr>
            </w:pPr>
            <w:r w:rsidRPr="00F4082F">
              <w:rPr>
                <w:sz w:val="22"/>
                <w:szCs w:val="22"/>
                <w:lang w:val="sv-SE"/>
              </w:rPr>
              <w:t>Penelitian ini diarahkan untuk mengkaji hubungan antara pemikiran posmodern dan iman Kristen, khususnya dalam menghadapi tantangan relativisme epistemologis terhadap klaim Injil sebagai kebenaran absolut. Penelitian ini menggunakan pendekatan kualitatif dengan metode studi pustaka. Sebagaimana ditegaskan oleh Creswell, penelitian kualitatif menitikberatkan pada penggalian makna di balik ide serta konsep abstrak, sementara Kaelan menyoroti peran sentral studi pustaka dalam penelitian konseptual di bidang filsafat. Literatur utama penelitian ini mencakup karya para filsuf posmodern seperti Jean-François Lyotard, Jacques Derrida, dan Michel Foucault yang mengekspresikan kritik tajam terhadap klaim universalitas kebenaran. Sebaliknya, penelitian ini juga mendialogkan pemikiran tersebut dengan karya-karya teologis, khususnya dari David J. Bosch dan Yakub B. Susabda, yang menegaskan keunikan sekaligus absolutisme Injil dalam perspektif misiologis dan teologis.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14:paraId="2A7EADA2" w14:textId="77777777" w:rsidR="00F4082F" w:rsidRPr="00F4082F" w:rsidRDefault="00F4082F">
            <w:pPr>
              <w:pBdr>
                <w:top w:val="nil"/>
                <w:left w:val="nil"/>
                <w:bottom w:val="nil"/>
                <w:right w:val="nil"/>
                <w:between w:val="nil"/>
              </w:pBdr>
              <w:jc w:val="both"/>
              <w:rPr>
                <w:rFonts w:eastAsia="Times New Roman"/>
                <w:color w:val="000000"/>
                <w:sz w:val="22"/>
                <w:szCs w:val="22"/>
              </w:rPr>
            </w:pPr>
          </w:p>
          <w:p w14:paraId="3A146C76" w14:textId="77777777" w:rsidR="003A4350" w:rsidRPr="00F4082F"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Pr="00F4082F" w:rsidRDefault="001366A2">
            <w:pPr>
              <w:pBdr>
                <w:top w:val="nil"/>
                <w:left w:val="nil"/>
                <w:bottom w:val="nil"/>
                <w:right w:val="nil"/>
                <w:between w:val="nil"/>
              </w:pBdr>
              <w:spacing w:line="276" w:lineRule="auto"/>
              <w:jc w:val="both"/>
              <w:rPr>
                <w:rFonts w:eastAsia="Times New Roman"/>
                <w:color w:val="000000"/>
                <w:sz w:val="22"/>
                <w:szCs w:val="22"/>
              </w:rPr>
            </w:pPr>
            <w:r w:rsidRPr="00F4082F">
              <w:rPr>
                <w:rFonts w:eastAsia="Times New Roman"/>
                <w:color w:val="000000"/>
                <w:sz w:val="22"/>
                <w:szCs w:val="22"/>
              </w:rPr>
              <w:t>___________________________________________________________</w:t>
            </w:r>
          </w:p>
          <w:p w14:paraId="04A73A90"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Kata Kunci:</w:t>
            </w:r>
          </w:p>
          <w:p w14:paraId="1E7E6481" w14:textId="212163A4" w:rsidR="00C30472" w:rsidRPr="00F4082F" w:rsidRDefault="00F4082F">
            <w:pPr>
              <w:pBdr>
                <w:top w:val="nil"/>
                <w:left w:val="nil"/>
                <w:bottom w:val="nil"/>
                <w:right w:val="nil"/>
                <w:between w:val="nil"/>
              </w:pBdr>
              <w:rPr>
                <w:rFonts w:eastAsia="Times New Roman"/>
                <w:i/>
                <w:color w:val="000000"/>
                <w:sz w:val="22"/>
                <w:szCs w:val="22"/>
              </w:rPr>
            </w:pPr>
            <w:r>
              <w:rPr>
                <w:rFonts w:eastAsia="Times New Roman"/>
                <w:color w:val="000000"/>
                <w:sz w:val="22"/>
                <w:szCs w:val="22"/>
              </w:rPr>
              <w:t>Postmodern, relativisme, kebenaran absolut, filsafat kristen</w:t>
            </w:r>
            <w:r w:rsidR="001366A2" w:rsidRPr="00F4082F">
              <w:rPr>
                <w:rFonts w:eastAsia="Times New Roman"/>
                <w:i/>
                <w:color w:val="000000"/>
                <w:sz w:val="22"/>
                <w:szCs w:val="22"/>
              </w:rPr>
              <w:t>.</w:t>
            </w:r>
          </w:p>
          <w:p w14:paraId="71E2798F" w14:textId="77777777" w:rsidR="00C30472" w:rsidRPr="00F4082F" w:rsidRDefault="001366A2">
            <w:pPr>
              <w:pBdr>
                <w:top w:val="nil"/>
                <w:left w:val="nil"/>
                <w:bottom w:val="nil"/>
                <w:right w:val="nil"/>
                <w:between w:val="nil"/>
              </w:pBdr>
              <w:spacing w:line="276" w:lineRule="auto"/>
              <w:rPr>
                <w:rFonts w:eastAsia="Times New Roman"/>
                <w:color w:val="000000"/>
                <w:sz w:val="22"/>
                <w:szCs w:val="22"/>
              </w:rPr>
            </w:pPr>
            <w:r w:rsidRPr="00F4082F">
              <w:rPr>
                <w:rFonts w:eastAsia="Times New Roman"/>
                <w:color w:val="000000"/>
                <w:sz w:val="22"/>
                <w:szCs w:val="22"/>
              </w:rPr>
              <w:t>___________________________________________________________</w:t>
            </w:r>
          </w:p>
          <w:p w14:paraId="185E54D8" w14:textId="77777777" w:rsidR="00C30472" w:rsidRPr="00F4082F" w:rsidRDefault="00C30472">
            <w:pPr>
              <w:pBdr>
                <w:top w:val="nil"/>
                <w:left w:val="nil"/>
                <w:bottom w:val="nil"/>
                <w:right w:val="nil"/>
                <w:between w:val="nil"/>
              </w:pBdr>
              <w:spacing w:line="276" w:lineRule="auto"/>
              <w:jc w:val="both"/>
              <w:rPr>
                <w:rFonts w:eastAsia="Times New Roman"/>
                <w:color w:val="000000"/>
                <w:sz w:val="22"/>
                <w:szCs w:val="22"/>
              </w:rPr>
            </w:pPr>
          </w:p>
          <w:p w14:paraId="088258F7"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6FE5072E"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75E9998A" w14:textId="0B9BB7C0"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b/>
                <w:i/>
                <w:color w:val="000000"/>
                <w:sz w:val="22"/>
                <w:szCs w:val="22"/>
                <w:vertAlign w:val="subscript"/>
              </w:rPr>
              <w:lastRenderedPageBreak/>
              <w:t>ABSTRACT</w:t>
            </w:r>
          </w:p>
          <w:p w14:paraId="1DB43061" w14:textId="77777777"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color w:val="000000"/>
                <w:sz w:val="22"/>
                <w:szCs w:val="22"/>
              </w:rPr>
              <w:t>___________________________________________________________</w:t>
            </w:r>
          </w:p>
          <w:p w14:paraId="61BF4E1A" w14:textId="77777777" w:rsidR="00BA74A8" w:rsidRPr="00F4082F" w:rsidRDefault="00BA74A8" w:rsidP="00BA74A8">
            <w:pPr>
              <w:ind w:firstLine="720"/>
              <w:jc w:val="both"/>
              <w:rPr>
                <w:i/>
                <w:iCs/>
                <w:sz w:val="22"/>
                <w:szCs w:val="22"/>
              </w:rPr>
            </w:pPr>
            <w:r w:rsidRPr="00F4082F">
              <w:rPr>
                <w:i/>
                <w:iCs/>
                <w:sz w:val="22"/>
                <w:szCs w:val="22"/>
              </w:rPr>
              <w:t>This study aims to examine the relationship between postmodern thought and Christian faith, particularly in facing the challenges of epistemological relativism to the Gospel's claim as absolute truth. This study uses a qualitative approach with a literature review method. As Creswell asserts, qualitative research focuses on exploring the meaning behind ideas and abstract concepts, while Kaelan highlights the central role of literature study in conceptual research in the field of philosophy. The main literature of this study includes the works of postmodern philosophers such as Jean-François Lyotard, Jacques Derrida, and Michel Foucault, who express sharp criticism of the claim of the universality of truth. Conversely, this study also dialogues these ideas with theological works, particularly those of David J. Bosch and Yakub B. Susabda, who affirm the uniqueness and absolutism of the Gospel from a missiological and theological perspective. The analysis is descriptive-analytical and critical, elaborating on the main ideas of postmodernism and evaluating them in the light of the Christian faith. The results of the study show that even though postmodernism challenges claim of absolute truth, it also opens up opportunities for constructive dialogue for the church to reaffirm the relevance of the Gospel in the contemporary world. Thus, this study contributes to enriching critical and reflective theological understanding of the Christian faith's response to postmodernism discourse.</w:t>
            </w:r>
          </w:p>
          <w:p w14:paraId="44D1E0EB" w14:textId="77777777" w:rsidR="003A4350" w:rsidRPr="00F4082F" w:rsidRDefault="003A4350">
            <w:pPr>
              <w:pBdr>
                <w:top w:val="nil"/>
                <w:left w:val="nil"/>
                <w:bottom w:val="nil"/>
                <w:right w:val="nil"/>
                <w:between w:val="nil"/>
              </w:pBdr>
              <w:rPr>
                <w:rFonts w:eastAsia="Times New Roman"/>
                <w:i/>
                <w:color w:val="000000"/>
                <w:sz w:val="22"/>
                <w:szCs w:val="22"/>
              </w:rPr>
            </w:pPr>
          </w:p>
          <w:p w14:paraId="61514CC2" w14:textId="2E8F26D7" w:rsidR="00C30472" w:rsidRPr="00F4082F" w:rsidRDefault="001366A2">
            <w:pPr>
              <w:pBdr>
                <w:top w:val="nil"/>
                <w:left w:val="nil"/>
                <w:bottom w:val="nil"/>
                <w:right w:val="nil"/>
                <w:between w:val="nil"/>
              </w:pBdr>
              <w:rPr>
                <w:rFonts w:eastAsia="Times New Roman"/>
                <w:i/>
                <w:color w:val="000000"/>
                <w:sz w:val="22"/>
                <w:szCs w:val="22"/>
              </w:rPr>
            </w:pPr>
            <w:r w:rsidRPr="00F4082F">
              <w:rPr>
                <w:rFonts w:eastAsia="Times New Roman"/>
                <w:i/>
                <w:color w:val="000000"/>
                <w:sz w:val="22"/>
                <w:szCs w:val="22"/>
              </w:rPr>
              <w:t>___________________________________________________</w:t>
            </w:r>
          </w:p>
          <w:p w14:paraId="06FAA9F6"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Keywords:</w:t>
            </w:r>
          </w:p>
          <w:p w14:paraId="59570307" w14:textId="6743270A" w:rsidR="00C30472" w:rsidRPr="00F4082F" w:rsidRDefault="00BA74A8">
            <w:pPr>
              <w:pBdr>
                <w:top w:val="nil"/>
                <w:left w:val="nil"/>
                <w:bottom w:val="nil"/>
                <w:right w:val="nil"/>
                <w:between w:val="nil"/>
              </w:pBdr>
              <w:rPr>
                <w:rFonts w:eastAsia="Times New Roman"/>
                <w:i/>
                <w:iCs/>
                <w:color w:val="000000"/>
                <w:sz w:val="22"/>
                <w:szCs w:val="22"/>
              </w:rPr>
            </w:pPr>
            <w:r w:rsidRPr="00F4082F">
              <w:rPr>
                <w:rFonts w:eastAsia="Times New Roman"/>
                <w:i/>
                <w:iCs/>
                <w:color w:val="000000"/>
                <w:sz w:val="22"/>
                <w:szCs w:val="22"/>
              </w:rPr>
              <w:t xml:space="preserve">Postmodernism, relativism, </w:t>
            </w:r>
            <w:r w:rsidR="00F4082F" w:rsidRPr="00F4082F">
              <w:rPr>
                <w:rFonts w:eastAsia="Times New Roman"/>
                <w:i/>
                <w:iCs/>
                <w:color w:val="000000"/>
                <w:sz w:val="22"/>
                <w:szCs w:val="22"/>
              </w:rPr>
              <w:t>absolut truth, Christian philosophy</w:t>
            </w:r>
          </w:p>
          <w:p w14:paraId="7A1C1A60"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Times New Roman"/>
                <w:color w:val="000000"/>
                <w:sz w:val="22"/>
                <w:szCs w:val="22"/>
              </w:rPr>
              <w:t>___________________________________________________________</w:t>
            </w:r>
          </w:p>
          <w:p w14:paraId="232CD83A" w14:textId="77777777" w:rsidR="00C30472" w:rsidRPr="00F4082F" w:rsidRDefault="00C30472">
            <w:pPr>
              <w:pBdr>
                <w:top w:val="nil"/>
                <w:left w:val="nil"/>
                <w:bottom w:val="nil"/>
                <w:right w:val="nil"/>
                <w:between w:val="nil"/>
              </w:pBdr>
              <w:jc w:val="both"/>
              <w:rPr>
                <w:rFonts w:eastAsia="EB Garamond"/>
                <w:color w:val="000000"/>
                <w:sz w:val="22"/>
                <w:szCs w:val="22"/>
              </w:rPr>
            </w:pPr>
          </w:p>
        </w:tc>
      </w:tr>
    </w:tbl>
    <w:p w14:paraId="276DCA46"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p w14:paraId="596F4EB6" w14:textId="77777777" w:rsidR="00230647" w:rsidRPr="00230647" w:rsidRDefault="00230647" w:rsidP="00230647">
      <w:pPr>
        <w:rPr>
          <w:rFonts w:ascii="Lustria" w:eastAsia="Lustria" w:hAnsi="Lustria" w:cs="Lustria"/>
          <w:sz w:val="16"/>
          <w:szCs w:val="16"/>
        </w:rPr>
      </w:pPr>
    </w:p>
    <w:p w14:paraId="05A67AAE" w14:textId="77777777" w:rsidR="00230647" w:rsidRPr="00230647" w:rsidRDefault="00230647" w:rsidP="00230647">
      <w:pPr>
        <w:rPr>
          <w:rFonts w:ascii="Lustria" w:eastAsia="Lustria" w:hAnsi="Lustria" w:cs="Lustria"/>
          <w:sz w:val="16"/>
          <w:szCs w:val="16"/>
        </w:rPr>
      </w:pPr>
    </w:p>
    <w:p w14:paraId="14B148E9" w14:textId="77777777" w:rsidR="00230647" w:rsidRPr="00230647" w:rsidRDefault="00230647" w:rsidP="00230647">
      <w:pPr>
        <w:rPr>
          <w:rFonts w:ascii="Lustria" w:eastAsia="Lustria" w:hAnsi="Lustria" w:cs="Lustria"/>
          <w:sz w:val="16"/>
          <w:szCs w:val="16"/>
        </w:rPr>
      </w:pPr>
    </w:p>
    <w:p w14:paraId="661465F7" w14:textId="77777777" w:rsidR="00230647" w:rsidRPr="00230647" w:rsidRDefault="00230647" w:rsidP="00230647">
      <w:pPr>
        <w:rPr>
          <w:rFonts w:ascii="Lustria" w:eastAsia="Lustria" w:hAnsi="Lustria" w:cs="Lustria"/>
          <w:sz w:val="16"/>
          <w:szCs w:val="16"/>
        </w:rPr>
      </w:pPr>
    </w:p>
    <w:p w14:paraId="77879052" w14:textId="77777777" w:rsidR="00230647" w:rsidRPr="00230647" w:rsidRDefault="00230647" w:rsidP="00230647">
      <w:pPr>
        <w:rPr>
          <w:rFonts w:ascii="Lustria" w:eastAsia="Lustria" w:hAnsi="Lustria" w:cs="Lustria"/>
          <w:sz w:val="16"/>
          <w:szCs w:val="16"/>
        </w:rPr>
      </w:pPr>
    </w:p>
    <w:p w14:paraId="13D8ACF0" w14:textId="77777777" w:rsidR="00230647" w:rsidRPr="00230647" w:rsidRDefault="00230647" w:rsidP="00230647">
      <w:pPr>
        <w:rPr>
          <w:rFonts w:ascii="Lustria" w:eastAsia="Lustria" w:hAnsi="Lustria" w:cs="Lustria"/>
          <w:sz w:val="16"/>
          <w:szCs w:val="16"/>
        </w:rPr>
      </w:pPr>
    </w:p>
    <w:p w14:paraId="13F78745" w14:textId="77777777" w:rsidR="00230647" w:rsidRPr="00230647" w:rsidRDefault="00230647" w:rsidP="00230647">
      <w:pPr>
        <w:rPr>
          <w:rFonts w:ascii="Lustria" w:eastAsia="Lustria" w:hAnsi="Lustria" w:cs="Lustria"/>
          <w:sz w:val="16"/>
          <w:szCs w:val="16"/>
        </w:rPr>
      </w:pPr>
    </w:p>
    <w:p w14:paraId="05C92719" w14:textId="77777777" w:rsidR="00230647" w:rsidRPr="00230647" w:rsidRDefault="00230647" w:rsidP="00230647">
      <w:pPr>
        <w:rPr>
          <w:rFonts w:ascii="Lustria" w:eastAsia="Lustria" w:hAnsi="Lustria" w:cs="Lustria"/>
          <w:sz w:val="16"/>
          <w:szCs w:val="16"/>
        </w:rPr>
      </w:pPr>
    </w:p>
    <w:p w14:paraId="08C1F19B" w14:textId="77777777" w:rsidR="00230647" w:rsidRPr="00230647" w:rsidRDefault="00230647" w:rsidP="00230647">
      <w:pPr>
        <w:rPr>
          <w:rFonts w:ascii="Lustria" w:eastAsia="Lustria" w:hAnsi="Lustria" w:cs="Lustria"/>
          <w:sz w:val="16"/>
          <w:szCs w:val="16"/>
        </w:rPr>
      </w:pPr>
    </w:p>
    <w:p w14:paraId="29D5CB7D" w14:textId="77777777" w:rsidR="00230647" w:rsidRPr="00230647" w:rsidRDefault="00230647" w:rsidP="00230647">
      <w:pPr>
        <w:rPr>
          <w:rFonts w:ascii="Lustria" w:eastAsia="Lustria" w:hAnsi="Lustria" w:cs="Lustria"/>
          <w:sz w:val="16"/>
          <w:szCs w:val="16"/>
        </w:rPr>
      </w:pPr>
    </w:p>
    <w:p w14:paraId="46585BBD" w14:textId="77777777" w:rsidR="00230647" w:rsidRPr="00230647" w:rsidRDefault="00230647" w:rsidP="00230647">
      <w:pPr>
        <w:rPr>
          <w:rFonts w:ascii="Lustria" w:eastAsia="Lustria" w:hAnsi="Lustria" w:cs="Lustria"/>
          <w:sz w:val="16"/>
          <w:szCs w:val="16"/>
        </w:rPr>
      </w:pPr>
    </w:p>
    <w:p w14:paraId="70737772" w14:textId="77777777" w:rsidR="00230647" w:rsidRPr="00230647" w:rsidRDefault="00230647" w:rsidP="00230647">
      <w:pPr>
        <w:rPr>
          <w:rFonts w:ascii="Lustria" w:eastAsia="Lustria" w:hAnsi="Lustria" w:cs="Lustria"/>
          <w:sz w:val="16"/>
          <w:szCs w:val="16"/>
        </w:rPr>
      </w:pPr>
    </w:p>
    <w:p w14:paraId="3DEA5833" w14:textId="77777777" w:rsidR="00230647" w:rsidRPr="00230647" w:rsidRDefault="00230647" w:rsidP="00230647">
      <w:pPr>
        <w:rPr>
          <w:rFonts w:ascii="Lustria" w:eastAsia="Lustria" w:hAnsi="Lustria" w:cs="Lustria"/>
          <w:sz w:val="16"/>
          <w:szCs w:val="16"/>
        </w:rPr>
      </w:pPr>
    </w:p>
    <w:p w14:paraId="426EBA62" w14:textId="77777777" w:rsidR="00230647" w:rsidRPr="00230647" w:rsidRDefault="00230647" w:rsidP="00230647">
      <w:pPr>
        <w:rPr>
          <w:rFonts w:ascii="Lustria" w:eastAsia="Lustria" w:hAnsi="Lustria" w:cs="Lustria"/>
          <w:sz w:val="16"/>
          <w:szCs w:val="16"/>
        </w:rPr>
      </w:pPr>
    </w:p>
    <w:p w14:paraId="57E565F8" w14:textId="77777777" w:rsidR="00230647" w:rsidRDefault="00230647" w:rsidP="00230647">
      <w:pPr>
        <w:rPr>
          <w:rFonts w:ascii="Lustria" w:eastAsia="Lustria" w:hAnsi="Lustria" w:cs="Lustria"/>
          <w:color w:val="000000"/>
          <w:sz w:val="16"/>
          <w:szCs w:val="16"/>
        </w:rPr>
      </w:pPr>
    </w:p>
    <w:p w14:paraId="21DFCD7B" w14:textId="77777777" w:rsidR="00230647" w:rsidRDefault="00230647" w:rsidP="00230647">
      <w:pPr>
        <w:rPr>
          <w:rFonts w:ascii="Lustria" w:eastAsia="Lustria" w:hAnsi="Lustria" w:cs="Lustria"/>
          <w:color w:val="000000"/>
          <w:sz w:val="16"/>
          <w:szCs w:val="16"/>
        </w:rPr>
      </w:pPr>
    </w:p>
    <w:p w14:paraId="02D3DCDC" w14:textId="1685B0E4" w:rsidR="00230647" w:rsidRPr="00230647" w:rsidRDefault="00230647" w:rsidP="00230647">
      <w:pPr>
        <w:rPr>
          <w:rFonts w:ascii="Lustria" w:eastAsia="Lustria" w:hAnsi="Lustria" w:cs="Lustria"/>
          <w:sz w:val="16"/>
          <w:szCs w:val="16"/>
        </w:rPr>
        <w:sectPr w:rsidR="00230647" w:rsidRPr="00230647">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1366A2">
      <w:pPr>
        <w:jc w:val="both"/>
        <w:rPr>
          <w:b/>
        </w:rPr>
      </w:pPr>
      <w:r>
        <w:rPr>
          <w:b/>
        </w:rPr>
        <w:t>PENDAHULUAN</w:t>
      </w:r>
    </w:p>
    <w:p w14:paraId="33DEDEDE" w14:textId="77777777" w:rsidR="00EC38BA" w:rsidRPr="00EC38BA" w:rsidRDefault="00EC38BA" w:rsidP="00EC38BA">
      <w:pPr>
        <w:ind w:firstLine="720"/>
        <w:jc w:val="both"/>
        <w:rPr>
          <w:lang w:val="sv-SE"/>
        </w:rPr>
      </w:pPr>
      <w:r w:rsidRPr="00EC38BA">
        <w:rPr>
          <w:lang w:val="sv-SE"/>
        </w:rPr>
        <w:t>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RPr="00EC38BA">
        <w:rPr>
          <w:rStyle w:val="FootnoteReference"/>
          <w:lang w:val="sv-SE"/>
        </w:rPr>
        <w:footnoteReference w:id="1"/>
      </w:r>
      <w:r w:rsidRPr="00EC38BA">
        <w:rPr>
          <w:lang w:val="sv-SE"/>
        </w:rPr>
        <w:t xml:space="preserve"> Pergeseran ini tidak hanya mengguncang dunia filsafat, tetapi juga menimbulkan dampak signifikan bagi sosiologi dan teologi. Salah satu ciri sentral posmodernisme adalah relativisme epistemologis pandangan yang menegaskan bahwa kebenaran selalu bergantung pada perspektif individu atau komunitas tertentu. Dalam kerangka ini, setiap klaim kebenaran dianggap sah sejauh ia memiliki relevansi dalam konteks sosial tertentu, tanpa mengacu pada standar universal yang berlaku untuk semua.</w:t>
      </w:r>
      <w:r w:rsidRPr="00EC38BA">
        <w:rPr>
          <w:rStyle w:val="FootnoteReference"/>
          <w:lang w:val="sv-SE"/>
        </w:rPr>
        <w:footnoteReference w:id="2"/>
      </w:r>
      <w:r w:rsidRPr="00EC38BA">
        <w:rPr>
          <w:lang w:val="sv-SE"/>
        </w:rPr>
        <w:t xml:space="preserve"> Pemahaman ini menggeser konsep kebenaran dari sifatnya yang tetap dan mutlak yang selama berabad-abad menjadi pilar dalam filsafat klasik dan tradisi keagamaan menjadi sesuatu</w:t>
      </w:r>
      <w:r w:rsidRPr="00EC38BA">
        <w:rPr>
          <w:rStyle w:val="CommentReference"/>
          <w:sz w:val="24"/>
          <w:szCs w:val="24"/>
        </w:rPr>
        <w:t xml:space="preserve"> y</w:t>
      </w:r>
      <w:r w:rsidRPr="00EC38BA">
        <w:rPr>
          <w:lang w:val="sv-SE"/>
        </w:rPr>
        <w:t>ang lentur, cair, dan dapat dinegosiasikan.</w:t>
      </w:r>
    </w:p>
    <w:p w14:paraId="0818C251" w14:textId="77777777" w:rsidR="00EC38BA" w:rsidRPr="00EC38BA" w:rsidRDefault="00EC38BA" w:rsidP="00EC38BA">
      <w:pPr>
        <w:ind w:firstLine="720"/>
        <w:jc w:val="both"/>
        <w:rPr>
          <w:lang w:val="sv-SE"/>
        </w:rPr>
      </w:pPr>
      <w:r w:rsidRPr="00EC38BA">
        <w:rPr>
          <w:lang w:val="sv-SE"/>
        </w:rPr>
        <w:t>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RPr="00EC38BA">
        <w:rPr>
          <w:rStyle w:val="FootnoteReference"/>
          <w:lang w:val="sv-SE"/>
        </w:rPr>
        <w:footnoteReference w:id="3"/>
      </w:r>
      <w:r w:rsidRPr="00EC38BA">
        <w:rPr>
          <w:lang w:val="sv-SE"/>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untuk menegaskan kembali bahwa kebenaran Kristen bersifat transhistoris, melampaui batas budaya dan relativisme zaman.</w:t>
      </w:r>
    </w:p>
    <w:p w14:paraId="38E364D5" w14:textId="77777777" w:rsidR="00EC38BA" w:rsidRPr="00EC38BA" w:rsidRDefault="00EC38BA" w:rsidP="00EC38BA">
      <w:pPr>
        <w:ind w:firstLine="720"/>
        <w:jc w:val="both"/>
        <w:rPr>
          <w:lang w:val="sv-SE"/>
        </w:rPr>
      </w:pPr>
      <w:r w:rsidRPr="00EC38BA">
        <w:rPr>
          <w:lang w:val="sv-SE"/>
        </w:rPr>
        <w:t>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posmodernisme.</w:t>
      </w:r>
      <w:r w:rsidRPr="00EC38BA">
        <w:rPr>
          <w:rStyle w:val="FootnoteReference"/>
          <w:lang w:val="sv-SE"/>
        </w:rPr>
        <w:footnoteReference w:id="4"/>
      </w:r>
      <w:r w:rsidRPr="00EC38BA">
        <w:rPr>
          <w:lang w:val="sv-SE"/>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 terutama dalam klaim objektivitas yang terlalu mutlak penolakan total terhadap kebenaran objektif bertentangan secara langsung dengan inti Injil. Dalam perspektif Alkitab, kebenaran bukan sekadar kumpulan proposisi yang dapat </w:t>
      </w:r>
      <w:r w:rsidRPr="00EC38BA">
        <w:rPr>
          <w:lang w:val="sv-SE"/>
        </w:rPr>
        <w:lastRenderedPageBreak/>
        <w:t>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RPr="00EC38BA">
        <w:rPr>
          <w:rStyle w:val="FootnoteReference"/>
          <w:lang w:val="sv-SE"/>
        </w:rPr>
        <w:footnoteReference w:id="5"/>
      </w:r>
      <w:r w:rsidRPr="00EC38BA">
        <w:rPr>
          <w:lang w:val="sv-SE"/>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51B0F77D" w14:textId="1E1D7D68" w:rsidR="00C30472" w:rsidRDefault="00EC38BA" w:rsidP="00EC38BA">
      <w:pPr>
        <w:ind w:firstLine="720"/>
        <w:jc w:val="both"/>
      </w:pPr>
      <w:r w:rsidRPr="00EC38BA">
        <w:rPr>
          <w:lang w:val="sv-SE"/>
        </w:rPr>
        <w:t>Beriringan dengan menguatnya arus pemikiran yang menolak segala bentuk klaim kebenaran absolut, timbul pertanyaan mendasar bagi umat percaya: apakah gereja masa kini masih dapat menegaskan kemutlakan kebenaran Injil tanpa terjebak pada kesan eksklusivisme yang dianggap usang atau tidak relevan dalam bingkai budaya posmodern?</w:t>
      </w:r>
      <w:r w:rsidRPr="00EC38BA">
        <w:rPr>
          <w:rStyle w:val="FootnoteReference"/>
          <w:lang w:val="sv-SE"/>
        </w:rPr>
        <w:footnoteReference w:id="6"/>
      </w:r>
      <w:r w:rsidRPr="00EC38BA">
        <w:rPr>
          <w:lang w:val="sv-SE"/>
        </w:rPr>
        <w:t xml:space="preserve"> Lebih jauh, patutkah Injil dipandang sekadar sebagai salah satu narasi religius di antara beragam wacana spiritual yang secara epistemologis disejajarkan,</w:t>
      </w:r>
      <w:r w:rsidRPr="00EC38BA">
        <w:rPr>
          <w:rStyle w:val="FootnoteReference"/>
          <w:lang w:val="sv-SE"/>
        </w:rPr>
        <w:footnoteReference w:id="7"/>
      </w:r>
      <w:r w:rsidRPr="00EC38BA">
        <w:rPr>
          <w:lang w:val="sv-SE"/>
        </w:rPr>
        <w:t xml:space="preserve"> ataukah Injil tetap memiliki otoritas ilahi yang unik, transenden, dan tidak tunduk pada konstruksi budaya manusia?</w:t>
      </w:r>
      <w:r w:rsidRPr="00EC38BA">
        <w:rPr>
          <w:rStyle w:val="FootnoteReference"/>
          <w:lang w:val="sv-SE"/>
        </w:rPr>
        <w:footnoteReference w:id="8"/>
      </w:r>
      <w:r w:rsidRPr="00EC38BA">
        <w:rPr>
          <w:lang w:val="sv-SE"/>
        </w:rPr>
        <w:t xml:space="preserve"> Pada akhirnya, tantangan terbesar yang perlu dijawab adalah bagaimana gereja dapat mengkomunikasikan kebenaran yang kekal dan tak berubah ini secara efektif, sembari menyesuaikan pendekatan dengan dinamika sosial dan paradigma pemikiran dunia yang terus mengalami perubahan.</w:t>
      </w:r>
      <w:r w:rsidRPr="00EC38BA">
        <w:rPr>
          <w:rStyle w:val="FootnoteReference"/>
          <w:lang w:val="sv-SE"/>
        </w:rPr>
        <w:footnoteReference w:id="9"/>
      </w:r>
      <w:r w:rsidRPr="00EC38BA">
        <w:rPr>
          <w:lang w:val="sv-SE"/>
        </w:rPr>
        <w:t xml:space="preserve"> Penulis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Kebaruan dari penelitian ini terletak pada upaya mengintegrasikan analisis teologis dengan pendekatan kontekstual, sehingga Injil tidak dipandang semata sebagai salah satu narasi religius, melainkan sebagai kebenaran ilahi yang transenden, namun dikomunikasikan dengan cara yang relevan bagi dunia </w:t>
      </w:r>
      <w:r w:rsidRPr="00EC38BA">
        <w:rPr>
          <w:lang w:val="sv-SE"/>
        </w:rPr>
        <w:lastRenderedPageBreak/>
        <w:t>posmodern.</w:t>
      </w:r>
      <w:r w:rsidRPr="00EC38BA">
        <w:rPr>
          <w:rStyle w:val="FootnoteReference"/>
          <w:lang w:val="sv-SE"/>
        </w:rPr>
        <w:footnoteReference w:id="10"/>
      </w:r>
      <w:r w:rsidRPr="00EC38BA">
        <w:rPr>
          <w:lang w:val="sv-SE"/>
        </w:rPr>
        <w:t xml:space="preserve"> Gereja dapat mengartikulasikan kembali kemutlakan kebenaran Injil secara efektif tanpa jatuh pada eksklusivisme sempit, dengan mengadopsi pendekatan komunikatif yang peka terhadap budaya dan paradigma pemikiran kontemporer.</w:t>
      </w:r>
      <w:r w:rsidRPr="00EC38BA">
        <w:rPr>
          <w:rStyle w:val="FootnoteReference"/>
          <w:lang w:val="sv-SE"/>
        </w:rPr>
        <w:footnoteReference w:id="11"/>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1366A2">
      <w:pPr>
        <w:tabs>
          <w:tab w:val="left" w:pos="284"/>
        </w:tabs>
        <w:jc w:val="both"/>
        <w:rPr>
          <w:b/>
        </w:rPr>
      </w:pPr>
      <w:r>
        <w:rPr>
          <w:b/>
        </w:rPr>
        <w:t>METODE PENELITIAN</w:t>
      </w:r>
    </w:p>
    <w:p w14:paraId="0CC68792" w14:textId="77777777" w:rsidR="001366A2" w:rsidRDefault="00EC38BA">
      <w:pPr>
        <w:jc w:val="both"/>
        <w:rPr>
          <w:lang w:val="sv-SE"/>
        </w:rPr>
      </w:pPr>
      <w:r w:rsidRPr="00EC38BA">
        <w:rPr>
          <w:lang w:val="sv-SE"/>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w:t>
      </w:r>
      <w:r w:rsidRPr="00EC38BA">
        <w:t xml:space="preserve">Creswell menjelaskan bahwa penelitian kualitatif merupakan sarana yang tepat untuk memahami ide-ide abstrak maupun konsep-konsep yang berkembang dalam ruang lingkup filsafat dan teologi: </w:t>
      </w:r>
      <w:r w:rsidRPr="00EC38BA">
        <w:rPr>
          <w:i/>
          <w:iCs/>
        </w:rPr>
        <w:t>“Qualitative research is an approach for exploring and understanding the meaning individuals or groups ascribe to a social or human problem. It often relies on text and image data, has unique steps in data analysis, and draws on diverse theoretical lenses.”</w:t>
      </w:r>
      <w:r w:rsidRPr="00EC38BA">
        <w:rPr>
          <w:rStyle w:val="FootnoteReference"/>
          <w:i/>
          <w:iCs/>
        </w:rPr>
        <w:footnoteReference w:id="12"/>
      </w:r>
      <w:r w:rsidRPr="00EC38BA">
        <w:t xml:space="preserve"> </w:t>
      </w:r>
      <w:r w:rsidRPr="00EC38BA">
        <w:rPr>
          <w:lang w:val="sv-SE"/>
        </w:rPr>
        <w:t>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mensintesis gagasan yang relevan, sehingga dapat digunakan untuk menjawab persoalan konseptual dan teoretis.</w:t>
      </w:r>
      <w:r w:rsidRPr="00EC38BA">
        <w:rPr>
          <w:rStyle w:val="FootnoteReference"/>
          <w:lang w:val="sv-SE"/>
        </w:rPr>
        <w:footnoteReference w:id="13"/>
      </w:r>
      <w:r w:rsidRPr="00EC38BA">
        <w:rPr>
          <w:lang w:val="sv-SE"/>
        </w:rPr>
        <w:t xml:space="preserve"> Pernyataan ini menegaskan relevansi studi pustaka bagi penelitian yang berorientasi konseptual-teologis. </w:t>
      </w:r>
    </w:p>
    <w:p w14:paraId="50551D0B" w14:textId="374BAF7A" w:rsidR="00C30472" w:rsidRDefault="00EC38BA" w:rsidP="001366A2">
      <w:pPr>
        <w:ind w:firstLine="720"/>
        <w:jc w:val="both"/>
        <w:rPr>
          <w:lang w:val="sv-SE"/>
        </w:rPr>
      </w:pPr>
      <w:r w:rsidRPr="00EC38BA">
        <w:rPr>
          <w:lang w:val="sv-SE"/>
        </w:rPr>
        <w:t>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posmodern menghadirkan tantangan, namun sekaligus juga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14:paraId="6D97A113" w14:textId="77777777" w:rsidR="001366A2" w:rsidRPr="00EC38BA" w:rsidRDefault="001366A2" w:rsidP="001366A2">
      <w:pPr>
        <w:ind w:firstLine="720"/>
        <w:jc w:val="both"/>
        <w:rPr>
          <w:lang w:val="sv-SE"/>
        </w:rPr>
      </w:pPr>
    </w:p>
    <w:p w14:paraId="6C4811C0" w14:textId="77777777" w:rsidR="00C30472" w:rsidRDefault="00C30472">
      <w:pPr>
        <w:jc w:val="both"/>
        <w:rPr>
          <w:b/>
        </w:rPr>
      </w:pPr>
    </w:p>
    <w:p w14:paraId="23DDDC07" w14:textId="77777777" w:rsidR="00C30472" w:rsidRDefault="001366A2">
      <w:pPr>
        <w:jc w:val="both"/>
        <w:rPr>
          <w:b/>
        </w:rPr>
      </w:pPr>
      <w:r>
        <w:rPr>
          <w:b/>
        </w:rPr>
        <w:lastRenderedPageBreak/>
        <w:t>HASIL DAN PEMBAHASAN</w:t>
      </w:r>
    </w:p>
    <w:p w14:paraId="7C0E611F" w14:textId="77777777" w:rsidR="00813C21" w:rsidRPr="00813C21" w:rsidRDefault="00813C21" w:rsidP="00813C21">
      <w:pPr>
        <w:ind w:firstLine="720"/>
        <w:jc w:val="both"/>
        <w:rPr>
          <w:lang w:val="sv-SE"/>
        </w:rPr>
      </w:pPr>
      <w:r w:rsidRPr="00813C21">
        <w:rPr>
          <w:lang w:val="sv-SE"/>
        </w:rPr>
        <w:t>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RPr="00813C21">
        <w:rPr>
          <w:i/>
          <w:iCs/>
          <w:lang w:val="sv-SE"/>
        </w:rPr>
        <w:t>grand narratives</w:t>
      </w:r>
      <w:r w:rsidRPr="00813C21">
        <w:rPr>
          <w:lang w:val="sv-SE"/>
        </w:rPr>
        <w:t>),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14:paraId="4EB0DA4C" w14:textId="77777777" w:rsidR="00813C21" w:rsidRPr="00813C21" w:rsidRDefault="00813C21" w:rsidP="00813C21">
      <w:pPr>
        <w:ind w:firstLine="720"/>
        <w:jc w:val="both"/>
        <w:rPr>
          <w:lang w:val="sv-SE"/>
        </w:rPr>
      </w:pPr>
      <w:r w:rsidRPr="00813C21">
        <w:rPr>
          <w:lang w:val="sv-SE"/>
        </w:rPr>
        <w:t>Dari perspektif teologi Kristen, penolakan posmodernisme terhadap narasi besar memiliki implikasi serius, terutama terhadap kebenaran Injil yang secara esensial bersifat 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14:paraId="71B36F25" w14:textId="77777777" w:rsidR="00813C21" w:rsidRPr="00813C21" w:rsidRDefault="00813C21" w:rsidP="00813C21">
      <w:pPr>
        <w:ind w:firstLine="720"/>
        <w:jc w:val="both"/>
        <w:rPr>
          <w:lang w:val="sv-SE"/>
        </w:rPr>
      </w:pPr>
    </w:p>
    <w:p w14:paraId="0BBBE0F8" w14:textId="77777777" w:rsidR="00813C21" w:rsidRPr="00813C21" w:rsidRDefault="00813C21" w:rsidP="00813C21">
      <w:pPr>
        <w:jc w:val="both"/>
        <w:rPr>
          <w:b/>
          <w:bCs/>
          <w:lang w:val="sv-SE"/>
        </w:rPr>
      </w:pPr>
      <w:r w:rsidRPr="00813C21">
        <w:rPr>
          <w:b/>
          <w:bCs/>
          <w:lang w:val="sv-SE"/>
        </w:rPr>
        <w:t>Posmodernisme dan relativisme: sebuah anaslisis filosofis</w:t>
      </w:r>
    </w:p>
    <w:p w14:paraId="41B24DC1" w14:textId="77777777" w:rsidR="00813C21" w:rsidRPr="00813C21" w:rsidRDefault="00813C21" w:rsidP="00813C21">
      <w:pPr>
        <w:ind w:firstLine="360"/>
        <w:jc w:val="both"/>
        <w:rPr>
          <w:lang w:val="sv-SE"/>
        </w:rPr>
      </w:pPr>
      <w:r w:rsidRPr="00813C21">
        <w:rPr>
          <w:lang w:val="sv-SE"/>
        </w:rPr>
        <w:t>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RPr="00813C21">
        <w:rPr>
          <w:rStyle w:val="FootnoteReference"/>
          <w:lang w:val="sv-SE"/>
        </w:rPr>
        <w:footnoteReference w:id="14"/>
      </w:r>
    </w:p>
    <w:p w14:paraId="705DBFC6" w14:textId="77777777" w:rsidR="00813C21" w:rsidRPr="00813C21" w:rsidRDefault="00813C21" w:rsidP="00813C21">
      <w:pPr>
        <w:ind w:firstLine="360"/>
        <w:jc w:val="both"/>
        <w:rPr>
          <w:lang w:val="sv-SE"/>
        </w:rPr>
      </w:pPr>
      <w:r w:rsidRPr="00813C21">
        <w:rPr>
          <w:lang w:val="sv-SE"/>
        </w:rPr>
        <w:t xml:space="preserve">Jean-François Lyotard menyebut kondisi posmodern sebagai </w:t>
      </w:r>
      <w:r w:rsidRPr="00813C21">
        <w:rPr>
          <w:i/>
          <w:iCs/>
          <w:lang w:val="sv-SE"/>
        </w:rPr>
        <w:t>incredulity toward metanarratives</w:t>
      </w:r>
      <w:r w:rsidRPr="00813C21">
        <w:rPr>
          <w:lang w:val="sv-SE"/>
        </w:rPr>
        <w:t>, yakni ketidakpercayaan terhadap narasi besar yang berpretensi memiliki otoritas universal atas kebenaran.</w:t>
      </w:r>
      <w:r w:rsidRPr="00813C21">
        <w:rPr>
          <w:rStyle w:val="FootnoteReference"/>
          <w:lang w:val="sv-SE"/>
        </w:rPr>
        <w:footnoteReference w:id="15"/>
      </w:r>
      <w:r w:rsidRPr="00813C21">
        <w:rPr>
          <w:lang w:val="sv-SE"/>
        </w:rPr>
        <w:t xml:space="preserve"> Dalam terang teologi, penolakan terhadap metanarasi ini menantang kekristenan untuk menegaskan kembali Injil bukan sekadar sebagai wacana rasional atau narasi historis, melainkan sebagai kebenaran ilahi yang melampaui relativisme.</w:t>
      </w:r>
      <w:r w:rsidRPr="00813C21">
        <w:rPr>
          <w:rStyle w:val="FootnoteReference"/>
          <w:lang w:val="sv-SE"/>
        </w:rPr>
        <w:footnoteReference w:id="16"/>
      </w:r>
      <w:r w:rsidRPr="00813C21">
        <w:rPr>
          <w:lang w:val="sv-SE"/>
        </w:rPr>
        <w:t xml:space="preserve"> Dengan demikian, posmodernisme menjadi medan pergumulan bagi iman Kristen untuk menghadirkan Injil secara kontekstual, namun tetap setia pada klaim kebenaran absolut yang bersumber dari wahyu Allah.</w:t>
      </w:r>
      <w:r w:rsidRPr="00813C21">
        <w:rPr>
          <w:rStyle w:val="FootnoteReference"/>
          <w:lang w:val="sv-SE"/>
        </w:rPr>
        <w:footnoteReference w:id="17"/>
      </w:r>
    </w:p>
    <w:p w14:paraId="579306E4" w14:textId="77777777" w:rsidR="00813C21" w:rsidRPr="00813C21" w:rsidRDefault="00813C21" w:rsidP="00813C21">
      <w:pPr>
        <w:ind w:firstLine="360"/>
        <w:jc w:val="both"/>
        <w:rPr>
          <w:lang w:val="sv-SE"/>
        </w:rPr>
      </w:pPr>
      <w:r w:rsidRPr="00813C21">
        <w:rPr>
          <w:lang w:val="sv-SE"/>
        </w:rPr>
        <w:t xml:space="preserve">Dalam konteks era postmodern, hermeneutika ditandai oleh penolakan terhadap klaim kebenaran universal dan dominasi relativisme. Teks, termasuk Kitab Suci, kerap dipandang </w:t>
      </w:r>
      <w:r w:rsidRPr="00813C21">
        <w:rPr>
          <w:lang w:val="sv-SE"/>
        </w:rPr>
        <w:lastRenderedPageBreak/>
        <w:t>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RPr="00813C21">
        <w:rPr>
          <w:rStyle w:val="FootnoteReference"/>
          <w:lang w:val="sv-SE"/>
        </w:rPr>
        <w:footnoteReference w:id="18"/>
      </w:r>
      <w:r w:rsidRPr="00813C21">
        <w:rPr>
          <w:lang w:val="sv-SE"/>
        </w:rPr>
        <w:t xml:space="preserve"> Namun, di tengah arus tersebut, gereja dipanggil untuk menegaskan kembali fondasi teologisnya bahwa Alkitab adalah pewahyuan ilahi yang 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14:paraId="3E7C2B53" w14:textId="77777777" w:rsidR="00813C21" w:rsidRPr="00813C21" w:rsidRDefault="00813C21" w:rsidP="00813C21">
      <w:pPr>
        <w:ind w:firstLine="360"/>
        <w:jc w:val="both"/>
        <w:rPr>
          <w:lang w:val="sv-SE"/>
        </w:rPr>
      </w:pPr>
      <w:r w:rsidRPr="00813C21">
        <w:rPr>
          <w:lang w:val="sv-SE"/>
        </w:rPr>
        <w:t>Jacques Derrida menambahkan kritik melalui gagasan dekonstruksi. Menurutnya, bahasa tidak pernah mampu mengungkapkan makna secara final, melainkan selalu terbuka terhadap penafsiran yang beragam.</w:t>
      </w:r>
      <w:r w:rsidRPr="00813C21">
        <w:rPr>
          <w:rStyle w:val="FootnoteReference"/>
          <w:lang w:val="sv-SE"/>
        </w:rPr>
        <w:footnoteReference w:id="19"/>
      </w:r>
      <w:r w:rsidRPr="00813C21">
        <w:rPr>
          <w:lang w:val="sv-SE"/>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klaim kebenaran sering kali tidak berdiri netral, melainkan menjadi alat legitimasi bagi struktur kekuasaan tertentu.</w:t>
      </w:r>
      <w:r w:rsidRPr="00813C21">
        <w:rPr>
          <w:rStyle w:val="FootnoteReference"/>
          <w:lang w:val="sv-SE"/>
        </w:rPr>
        <w:footnoteReference w:id="20"/>
      </w:r>
      <w:r w:rsidRPr="00813C21">
        <w:rPr>
          <w:lang w:val="sv-SE"/>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14:paraId="3C96E878" w14:textId="77777777" w:rsidR="00813C21" w:rsidRPr="00813C21" w:rsidRDefault="00813C21" w:rsidP="00813C21">
      <w:pPr>
        <w:ind w:firstLine="360"/>
        <w:jc w:val="both"/>
        <w:rPr>
          <w:lang w:val="sv-SE"/>
        </w:rPr>
      </w:pPr>
      <w:r w:rsidRPr="00813C21">
        <w:rPr>
          <w:lang w:val="sv-SE"/>
        </w:rPr>
        <w:t>Secara filosofis, relativisme epistemologis menjadi landasan utama posmodernisme. Relativisme ini menyatakan bahwa kebenaran tidak bersifat transenden ataupun universal, tetapi selalu dipengaruhi oleh perspektif individu maupun komunitas tertentu.</w:t>
      </w:r>
      <w:r w:rsidRPr="00813C21">
        <w:rPr>
          <w:rStyle w:val="FootnoteReference"/>
          <w:lang w:val="sv-SE"/>
        </w:rPr>
        <w:footnoteReference w:id="21"/>
      </w:r>
      <w:r w:rsidRPr="00813C21">
        <w:rPr>
          <w:lang w:val="sv-SE"/>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 Jika kebenaran hanya dipahami sebagai produk konstruksi sosial, maka klaim iman Kristen yang menegaskan Kristus sebagai kebenaran absolut (Yoh. 14:6) dipandang problematis dalam kerangka posmodern.</w:t>
      </w:r>
      <w:r w:rsidRPr="00813C21">
        <w:rPr>
          <w:rStyle w:val="FootnoteReference"/>
          <w:lang w:val="sv-SE"/>
        </w:rPr>
        <w:footnoteReference w:id="22"/>
      </w:r>
      <w:r w:rsidRPr="00813C21">
        <w:rPr>
          <w:lang w:val="sv-SE"/>
        </w:rPr>
        <w:t xml:space="preserve"> Injil sebagai kabar keselamatan unik kehilangan posisinya yang transenden dan direduksi menjadi sekadar salah satu narasi di antara sekian banyak narasi religius lainnya.</w:t>
      </w:r>
    </w:p>
    <w:p w14:paraId="04610ADB" w14:textId="77777777" w:rsidR="00813C21" w:rsidRPr="00813C21" w:rsidRDefault="00813C21" w:rsidP="00813C21">
      <w:pPr>
        <w:ind w:firstLine="360"/>
        <w:jc w:val="both"/>
        <w:rPr>
          <w:lang w:val="sv-SE"/>
        </w:rPr>
      </w:pPr>
      <w:r w:rsidRPr="00813C21">
        <w:rPr>
          <w:lang w:val="sv-SE"/>
        </w:rPr>
        <w:t>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mengkomunikasikannya secara kontekstual kepada dunia yang semakin plural.</w:t>
      </w:r>
      <w:r w:rsidRPr="00813C21">
        <w:rPr>
          <w:rStyle w:val="FootnoteReference"/>
          <w:lang w:val="sv-SE"/>
        </w:rPr>
        <w:footnoteReference w:id="23"/>
      </w:r>
    </w:p>
    <w:p w14:paraId="19EA1D12" w14:textId="77777777" w:rsidR="00813C21" w:rsidRPr="00813C21" w:rsidRDefault="00813C21" w:rsidP="00813C21">
      <w:pPr>
        <w:ind w:firstLine="360"/>
        <w:jc w:val="both"/>
        <w:rPr>
          <w:lang w:val="sv-SE"/>
        </w:rPr>
      </w:pPr>
    </w:p>
    <w:p w14:paraId="456A0724" w14:textId="77777777" w:rsidR="00813C21" w:rsidRPr="00813C21" w:rsidRDefault="00813C21" w:rsidP="00813C21">
      <w:pPr>
        <w:jc w:val="both"/>
        <w:rPr>
          <w:b/>
          <w:bCs/>
          <w:lang w:val="sv-SE"/>
        </w:rPr>
      </w:pPr>
      <w:r w:rsidRPr="00813C21">
        <w:rPr>
          <w:b/>
          <w:bCs/>
          <w:lang w:val="sv-SE"/>
        </w:rPr>
        <w:t xml:space="preserve">Konfrontasi Dengan Kebenaran Injil </w:t>
      </w:r>
    </w:p>
    <w:p w14:paraId="0FA0D47C" w14:textId="77777777" w:rsidR="00813C21" w:rsidRPr="00813C21" w:rsidRDefault="00813C21" w:rsidP="00813C21">
      <w:pPr>
        <w:ind w:firstLine="360"/>
        <w:jc w:val="both"/>
        <w:rPr>
          <w:lang w:val="sv-SE"/>
        </w:rPr>
      </w:pPr>
      <w:r w:rsidRPr="00813C21">
        <w:rPr>
          <w:lang w:val="sv-SE"/>
        </w:rPr>
        <w:t>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RPr="00813C21">
        <w:rPr>
          <w:rStyle w:val="FootnoteReference"/>
          <w:lang w:val="sv-SE"/>
        </w:rPr>
        <w:footnoteReference w:id="24"/>
      </w:r>
      <w:r w:rsidRPr="00813C21">
        <w:rPr>
          <w:lang w:val="sv-SE"/>
        </w:rPr>
        <w:t>her</w:t>
      </w:r>
    </w:p>
    <w:p w14:paraId="28045BCF" w14:textId="77777777" w:rsidR="00813C21" w:rsidRPr="00813C21" w:rsidRDefault="00813C21" w:rsidP="00813C21">
      <w:pPr>
        <w:ind w:firstLine="360"/>
        <w:jc w:val="both"/>
        <w:rPr>
          <w:lang w:val="sv-SE"/>
        </w:rPr>
      </w:pPr>
      <w:r w:rsidRPr="00813C21">
        <w:rPr>
          <w:lang w:val="sv-SE"/>
        </w:rPr>
        <w:t>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karena itu, iman Kristen menolak pandangan relativisme yang menganggap kebenaran sebagai sesuatu yang berubah-ubah sesuai konteks manusia, karena kebenaran telah dimeteraikan dalam diri Kristus yang kekal.</w:t>
      </w:r>
      <w:r w:rsidRPr="00813C21">
        <w:rPr>
          <w:rStyle w:val="FootnoteReference"/>
          <w:lang w:val="sv-SE"/>
        </w:rPr>
        <w:footnoteReference w:id="25"/>
      </w:r>
    </w:p>
    <w:p w14:paraId="4A42E7F8" w14:textId="77777777" w:rsidR="00813C21" w:rsidRPr="00813C21" w:rsidRDefault="00813C21" w:rsidP="00813C21">
      <w:pPr>
        <w:ind w:firstLine="360"/>
        <w:jc w:val="both"/>
        <w:rPr>
          <w:lang w:val="sv-SE"/>
        </w:rPr>
      </w:pPr>
      <w:r w:rsidRPr="00813C21">
        <w:rPr>
          <w:lang w:val="sv-SE"/>
        </w:rPr>
        <w:t>Dengan demikian, pengakuan iman bahwa Yesus adalah “kebenaran” menegaskan karakter unik iman Kristen yang bersandar pada relasi dengan Allah Tritunggal. Kebenaran tidak hanya menyangkut kepastian pengetahuan, tetapi juga menyentuh aspek eksistensial manusia bagaimana manusia hidup, beriman, dan diarahkan kepada Allah. Kebenaran tidak hanya menyangkut kepastian pengetahuan, tetapi juga menyentuh aspek eksistensial manusia— bagaimana manusia hidup, beriman, dan diarahkan kepada Allah. Kristus bukan hanya pemberita kebenaran, tetapi Ia sendiri adalah Kebenaran itu, sehingga setiap pengakuan akan kebenaran pada akhirnya harus berpusat pada Dia.</w:t>
      </w:r>
      <w:r w:rsidRPr="00813C21">
        <w:rPr>
          <w:rStyle w:val="FootnoteReference"/>
          <w:lang w:val="sv-SE"/>
        </w:rPr>
        <w:footnoteReference w:id="26"/>
      </w:r>
    </w:p>
    <w:p w14:paraId="03C9F1C9" w14:textId="77777777" w:rsidR="00813C21" w:rsidRPr="00813C21" w:rsidRDefault="00813C21" w:rsidP="00813C21">
      <w:pPr>
        <w:ind w:firstLine="360"/>
        <w:jc w:val="both"/>
        <w:rPr>
          <w:lang w:val="sv-SE"/>
        </w:rPr>
      </w:pPr>
      <w:r w:rsidRPr="00813C21">
        <w:rPr>
          <w:lang w:val="sv-SE"/>
        </w:rPr>
        <w:t>Selanjutnya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RPr="00813C21">
        <w:rPr>
          <w:rStyle w:val="FootnoteReference"/>
          <w:lang w:val="sv-SE"/>
        </w:rPr>
        <w:footnoteReference w:id="27"/>
      </w:r>
      <w:r w:rsidRPr="00813C21">
        <w:rPr>
          <w:lang w:val="sv-SE"/>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RPr="00813C21">
        <w:rPr>
          <w:rStyle w:val="FootnoteReference"/>
          <w:lang w:val="sv-SE"/>
        </w:rPr>
        <w:footnoteReference w:id="28"/>
      </w:r>
    </w:p>
    <w:p w14:paraId="754D5394" w14:textId="77777777" w:rsidR="00813C21" w:rsidRPr="00813C21" w:rsidRDefault="00813C21" w:rsidP="00813C21">
      <w:pPr>
        <w:ind w:firstLine="360"/>
        <w:jc w:val="both"/>
        <w:rPr>
          <w:lang w:val="sv-SE"/>
        </w:rPr>
      </w:pPr>
      <w:r w:rsidRPr="00813C21">
        <w:rPr>
          <w:lang w:val="sv-SE"/>
        </w:rPr>
        <w:t>Dengan demikian, pernyataan Petrus sekaligus menjadi penolakan terhadap pluralisme religius yang beranggapan bahwa semua agama pada dasarnya sama dan dapat membawa kepada keselamatan. Pandangan seperti itu mereduksi karya Kristus menjadi relatif di antara banyak jalan, padahal Injil menegaskan bahwa Kristus adalah satu-satunya jalan keselamatan yang sah dan ditetapkan Allah.</w:t>
      </w:r>
      <w:r w:rsidRPr="00813C21">
        <w:rPr>
          <w:rStyle w:val="FootnoteReference"/>
          <w:lang w:val="sv-SE"/>
        </w:rPr>
        <w:footnoteReference w:id="29"/>
      </w:r>
    </w:p>
    <w:p w14:paraId="328C515F" w14:textId="77777777" w:rsidR="00813C21" w:rsidRPr="00813C21" w:rsidRDefault="00813C21" w:rsidP="00813C21">
      <w:pPr>
        <w:ind w:firstLine="360"/>
        <w:jc w:val="both"/>
        <w:rPr>
          <w:lang w:val="sv-SE"/>
        </w:rPr>
      </w:pPr>
      <w:r w:rsidRPr="00813C21">
        <w:rPr>
          <w:lang w:val="sv-SE"/>
        </w:rPr>
        <w:t xml:space="preserve">Posmodernisme dengan prinsip relativismenya menolak klaim-klaim kebenaran universal dan cenderung menyingkirkan keberadaan metanarasi. Dalam kerangka ini, </w:t>
      </w:r>
      <w:r w:rsidRPr="00813C21">
        <w:rPr>
          <w:lang w:val="sv-SE"/>
        </w:rPr>
        <w:lastRenderedPageBreak/>
        <w:t>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RPr="00813C21">
        <w:rPr>
          <w:rStyle w:val="FootnoteReference"/>
          <w:lang w:val="sv-SE"/>
        </w:rPr>
        <w:footnoteReference w:id="30"/>
      </w:r>
      <w:r w:rsidRPr="00813C21">
        <w:rPr>
          <w:lang w:val="sv-SE"/>
        </w:rPr>
        <w:t xml:space="preserve"> Sebaliknya, iman Kristen berakar pada sebuah metanarasi yang bersumber dari pewahyuan Allah sendiri yakni karya penyelamatan yang berpuncak dalam inkarnasi, kematian, dan kebangkitan Kristus.</w:t>
      </w:r>
      <w:r w:rsidRPr="00813C21">
        <w:rPr>
          <w:rStyle w:val="FootnoteReference"/>
          <w:lang w:val="sv-SE"/>
        </w:rPr>
        <w:footnoteReference w:id="31"/>
      </w:r>
      <w:r w:rsidRPr="00813C21">
        <w:rPr>
          <w:lang w:val="sv-SE"/>
        </w:rPr>
        <w:t xml:space="preserve"> Metanarasi ini tidak lahir dari spekulasi manusia, melainkan memiliki dasar ilahi dan otoritas mutlak yang melampaui relativisme posmodern.</w:t>
      </w:r>
      <w:r w:rsidRPr="00813C21">
        <w:rPr>
          <w:rStyle w:val="FootnoteReference"/>
          <w:lang w:val="sv-SE"/>
        </w:rPr>
        <w:footnoteReference w:id="32"/>
      </w:r>
      <w:r w:rsidRPr="00813C21">
        <w:rPr>
          <w:lang w:val="sv-SE"/>
        </w:rPr>
        <w:t xml:space="preserve"> Oleh sebab itu, kebenaran Injil tetap berdiri teguh sebagai realitas objektif dan universal, yang menantang setiap pandangan dunia yang meniadakan kepastian kebenaran mutlak.</w:t>
      </w:r>
      <w:r w:rsidRPr="00813C21">
        <w:rPr>
          <w:rStyle w:val="FootnoteReference"/>
          <w:lang w:val="sv-SE"/>
        </w:rPr>
        <w:footnoteReference w:id="33"/>
      </w:r>
    </w:p>
    <w:p w14:paraId="4C1A860C" w14:textId="77777777" w:rsidR="00813C21" w:rsidRPr="00813C21" w:rsidRDefault="00813C21" w:rsidP="00813C21">
      <w:pPr>
        <w:ind w:firstLine="360"/>
        <w:jc w:val="both"/>
        <w:rPr>
          <w:lang w:val="sv-SE"/>
        </w:rPr>
      </w:pPr>
      <w:r w:rsidRPr="00813C21">
        <w:rPr>
          <w:lang w:val="sv-SE"/>
        </w:rPr>
        <w:t>Dari sudut pandang teologi Kristen, kebenaran tidak dapat direduksi hanya pada konsensus sosial atau konstruksi budaya. Kebenaran bersifat ontologis, berakar pada natur Allah yang kudus, benar, dan tidak berubah.</w:t>
      </w:r>
      <w:r w:rsidRPr="00813C21">
        <w:rPr>
          <w:rStyle w:val="FootnoteReference"/>
          <w:lang w:val="sv-SE"/>
        </w:rPr>
        <w:footnoteReference w:id="34"/>
      </w:r>
      <w:r w:rsidRPr="00813C21">
        <w:rPr>
          <w:lang w:val="sv-SE"/>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RPr="00813C21">
        <w:rPr>
          <w:rStyle w:val="FootnoteReference"/>
          <w:lang w:val="sv-SE"/>
        </w:rPr>
        <w:footnoteReference w:id="35"/>
      </w:r>
    </w:p>
    <w:p w14:paraId="309560B6" w14:textId="77777777" w:rsidR="00813C21" w:rsidRPr="00813C21" w:rsidRDefault="00813C21" w:rsidP="00813C21">
      <w:pPr>
        <w:ind w:firstLine="360"/>
        <w:jc w:val="both"/>
        <w:rPr>
          <w:lang w:val="sv-SE"/>
        </w:rPr>
      </w:pPr>
      <w:r w:rsidRPr="00813C21">
        <w:rPr>
          <w:lang w:val="sv-SE"/>
        </w:rPr>
        <w:t>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RPr="00813C21">
        <w:rPr>
          <w:rStyle w:val="FootnoteReference"/>
          <w:lang w:val="sv-SE"/>
        </w:rPr>
        <w:footnoteReference w:id="36"/>
      </w:r>
      <w:r w:rsidRPr="00813C21">
        <w:rPr>
          <w:lang w:val="sv-SE"/>
        </w:rPr>
        <w:t xml:space="preserve"> Dalam konteks inilah gereja dipanggil untuk menyatakan kembali bahwa kebenaran Injil bersifat kosmik dan tidak terbatas pada komunitas Kristen saja, melainkan berlaku bagi seluruh ciptaan.</w:t>
      </w:r>
      <w:r w:rsidRPr="00813C21">
        <w:rPr>
          <w:rStyle w:val="FootnoteReference"/>
          <w:lang w:val="sv-SE"/>
        </w:rPr>
        <w:footnoteReference w:id="37"/>
      </w:r>
      <w:r w:rsidRPr="00813C21">
        <w:rPr>
          <w:lang w:val="sv-SE"/>
        </w:rPr>
        <w:t xml:space="preserve"> Hal ini menegaskan dimensi publik Injil yang harus dihadirkan di tengah dunia.</w:t>
      </w:r>
    </w:p>
    <w:p w14:paraId="6DAC0499" w14:textId="77777777" w:rsidR="00813C21" w:rsidRPr="00813C21" w:rsidRDefault="00813C21" w:rsidP="00813C21">
      <w:pPr>
        <w:ind w:firstLine="360"/>
        <w:jc w:val="both"/>
        <w:rPr>
          <w:lang w:val="sv-SE"/>
        </w:rPr>
      </w:pPr>
      <w:r w:rsidRPr="00813C21">
        <w:rPr>
          <w:lang w:val="sv-SE"/>
        </w:rPr>
        <w:t>Dengan demikian, konfrontasi antara Injil dan relativisme posmodern bukan hanya persoalan filsafat, melainkan juga ujian iman gereja. Gereja dituntut untuk memberitakan Injil bukan sebagai teori abstrak, melainkan sebagai kebenaran yang hidup, dinamis, dan transformatif.</w:t>
      </w:r>
      <w:r w:rsidRPr="00813C21">
        <w:rPr>
          <w:rStyle w:val="FootnoteReference"/>
          <w:lang w:val="sv-SE"/>
        </w:rPr>
        <w:footnoteReference w:id="38"/>
      </w:r>
      <w:r w:rsidRPr="00813C21">
        <w:rPr>
          <w:lang w:val="sv-SE"/>
        </w:rPr>
        <w:t xml:space="preserve"> Hanya di dalam Kristus manusia memperoleh keselamatan, sehingga pemberitaan Injil harus dilakukan dengan keyakinan penuh akan otoritas dan kuasanya.</w:t>
      </w:r>
      <w:r w:rsidRPr="00813C21">
        <w:rPr>
          <w:rStyle w:val="FootnoteReference"/>
          <w:lang w:val="sv-SE"/>
        </w:rPr>
        <w:footnoteReference w:id="39"/>
      </w:r>
      <w:r w:rsidRPr="00813C21">
        <w:rPr>
          <w:lang w:val="sv-SE"/>
        </w:rPr>
        <w:t xml:space="preserve"> Dengan sikap tersebut, gereja bukan saja mampu bertahan dalam arus relativisme, tetapi juga memberi kesaksian nyata tentang Allah yang hidup dan bekerja dalam sejarah manusia.</w:t>
      </w:r>
      <w:r w:rsidRPr="00813C21">
        <w:rPr>
          <w:rStyle w:val="FootnoteReference"/>
          <w:lang w:val="sv-SE"/>
        </w:rPr>
        <w:footnoteReference w:id="40"/>
      </w:r>
    </w:p>
    <w:p w14:paraId="7B3963A7" w14:textId="77777777" w:rsidR="00813C21" w:rsidRPr="00813C21" w:rsidRDefault="00813C21" w:rsidP="00813C21">
      <w:pPr>
        <w:ind w:firstLine="360"/>
        <w:jc w:val="both"/>
        <w:rPr>
          <w:lang w:val="sv-SE"/>
        </w:rPr>
      </w:pPr>
    </w:p>
    <w:p w14:paraId="63B10A75" w14:textId="50CE068F" w:rsidR="00813C21" w:rsidRPr="00813C21" w:rsidRDefault="00813C21" w:rsidP="00813C21">
      <w:pPr>
        <w:jc w:val="both"/>
        <w:rPr>
          <w:b/>
          <w:bCs/>
          <w:lang w:val="sv-SE"/>
        </w:rPr>
      </w:pPr>
      <w:r w:rsidRPr="00813C21">
        <w:rPr>
          <w:b/>
          <w:bCs/>
          <w:lang w:val="sv-SE"/>
        </w:rPr>
        <w:t>Titik Temu dan Sumbangan Posmodernisme</w:t>
      </w:r>
    </w:p>
    <w:p w14:paraId="19EB1009" w14:textId="77777777" w:rsidR="00813C21" w:rsidRPr="00813C21" w:rsidRDefault="00813C21" w:rsidP="00813C21">
      <w:pPr>
        <w:ind w:firstLine="360"/>
        <w:jc w:val="both"/>
        <w:rPr>
          <w:lang w:val="sv-SE"/>
        </w:rPr>
      </w:pPr>
      <w:r w:rsidRPr="00813C21">
        <w:rPr>
          <w:lang w:val="sv-SE"/>
        </w:rPr>
        <w:t xml:space="preserve">Dalam dinamika pemikiran kontemporer, posmodernisme kerap dipandang sebagai tantangan serius bagi iman Kristen, terutama karena sikapnya yang menolak klaim </w:t>
      </w:r>
      <w:r w:rsidRPr="00813C21">
        <w:rPr>
          <w:lang w:val="sv-SE"/>
        </w:rPr>
        <w:lastRenderedPageBreak/>
        <w:t>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RPr="00813C21">
        <w:rPr>
          <w:rStyle w:val="FootnoteReference"/>
          <w:lang w:val="sv-SE"/>
        </w:rPr>
        <w:footnoteReference w:id="41"/>
      </w:r>
    </w:p>
    <w:p w14:paraId="69D2E177" w14:textId="77777777" w:rsidR="00813C21" w:rsidRPr="00813C21" w:rsidRDefault="00813C21" w:rsidP="00813C21">
      <w:pPr>
        <w:ind w:firstLine="360"/>
        <w:jc w:val="both"/>
        <w:rPr>
          <w:lang w:val="sv-SE"/>
        </w:rPr>
      </w:pPr>
      <w:r w:rsidRPr="00813C21">
        <w:rPr>
          <w:lang w:val="sv-SE"/>
        </w:rPr>
        <w:t>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relasi sejati. Justru melalui bentuk narasi, Injil dapat dikomunikasikan dengan cara yang kontekstual, sehingga lebih mudah dimengerti dan dihayati oleh generasi posmodern.</w:t>
      </w:r>
      <w:r w:rsidRPr="00813C21">
        <w:rPr>
          <w:rStyle w:val="FootnoteReference"/>
          <w:lang w:val="sv-SE"/>
        </w:rPr>
        <w:footnoteReference w:id="42"/>
      </w:r>
    </w:p>
    <w:p w14:paraId="5A2074E9" w14:textId="77777777" w:rsidR="00813C21" w:rsidRPr="00813C21" w:rsidRDefault="00813C21" w:rsidP="00813C21">
      <w:pPr>
        <w:ind w:firstLine="360"/>
        <w:jc w:val="both"/>
        <w:rPr>
          <w:lang w:val="sv-SE"/>
        </w:rPr>
      </w:pPr>
      <w:r w:rsidRPr="00813C21">
        <w:rPr>
          <w:lang w:val="sv-SE"/>
        </w:rPr>
        <w:t>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RPr="00813C21">
        <w:rPr>
          <w:rStyle w:val="FootnoteReference"/>
          <w:lang w:val="sv-SE"/>
        </w:rPr>
        <w:footnoteReference w:id="43"/>
      </w:r>
    </w:p>
    <w:p w14:paraId="2A31F0F4" w14:textId="77777777" w:rsidR="00813C21" w:rsidRPr="00813C21" w:rsidRDefault="00813C21" w:rsidP="00813C21">
      <w:pPr>
        <w:ind w:firstLine="360"/>
        <w:jc w:val="both"/>
        <w:rPr>
          <w:lang w:val="sv-SE"/>
        </w:rPr>
      </w:pPr>
      <w:r w:rsidRPr="00813C21">
        <w:rPr>
          <w:lang w:val="sv-SE"/>
        </w:rPr>
        <w:t>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RPr="00813C21">
        <w:rPr>
          <w:rStyle w:val="FootnoteReference"/>
          <w:lang w:val="sv-SE"/>
        </w:rPr>
        <w:footnoteReference w:id="44"/>
      </w:r>
    </w:p>
    <w:p w14:paraId="58F5801B" w14:textId="77777777" w:rsidR="00813C21" w:rsidRPr="00813C21" w:rsidRDefault="00813C21" w:rsidP="00813C21">
      <w:pPr>
        <w:ind w:firstLine="360"/>
        <w:jc w:val="both"/>
        <w:rPr>
          <w:lang w:val="sv-SE"/>
        </w:rPr>
      </w:pPr>
      <w:r w:rsidRPr="00813C21">
        <w:rPr>
          <w:lang w:val="sv-SE"/>
        </w:rPr>
        <w:t>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Kristen menempatkan perjumpaan eksistensial dengan Allah Tritunggal sebagai pusat kehidupan iman, bukan sekadar pengakuan dogmatis formal semata.</w:t>
      </w:r>
      <w:r w:rsidRPr="00813C21">
        <w:rPr>
          <w:rStyle w:val="FootnoteReference"/>
          <w:lang w:val="sv-SE"/>
        </w:rPr>
        <w:footnoteReference w:id="45"/>
      </w:r>
    </w:p>
    <w:p w14:paraId="5D405FE0" w14:textId="77777777" w:rsidR="00813C21" w:rsidRPr="00813C21" w:rsidRDefault="00813C21" w:rsidP="00813C21">
      <w:pPr>
        <w:ind w:firstLine="360"/>
        <w:jc w:val="both"/>
        <w:rPr>
          <w:lang w:val="sv-SE"/>
        </w:rPr>
      </w:pPr>
      <w:r w:rsidRPr="00813C21">
        <w:rPr>
          <w:lang w:val="sv-SE"/>
        </w:rPr>
        <w:t>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RPr="00813C21">
        <w:rPr>
          <w:rStyle w:val="FootnoteReference"/>
          <w:lang w:val="sv-SE"/>
        </w:rPr>
        <w:footnoteReference w:id="46"/>
      </w:r>
      <w:r w:rsidRPr="00813C21">
        <w:rPr>
          <w:lang w:val="sv-SE"/>
        </w:rPr>
        <w:t xml:space="preserve"> Perspektif ini memberi ruang bagi gereja untuk berdialog </w:t>
      </w:r>
      <w:r w:rsidRPr="00813C21">
        <w:rPr>
          <w:lang w:val="sv-SE"/>
        </w:rPr>
        <w:lastRenderedPageBreak/>
        <w:t>dengan posmodernisme, tanpa kehilangan keunikan Injil sebagai kebenaran Allah yang menyapa manusia dalam sejarah.</w:t>
      </w:r>
    </w:p>
    <w:p w14:paraId="09AB0CF0" w14:textId="77777777" w:rsidR="00813C21" w:rsidRPr="00813C21" w:rsidRDefault="00813C21" w:rsidP="00813C21">
      <w:pPr>
        <w:ind w:firstLine="360"/>
        <w:jc w:val="both"/>
        <w:rPr>
          <w:lang w:val="sv-SE"/>
        </w:rPr>
      </w:pPr>
      <w:r w:rsidRPr="00813C21">
        <w:rPr>
          <w:lang w:val="sv-SE"/>
        </w:rPr>
        <w:t>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RPr="00813C21">
        <w:rPr>
          <w:rStyle w:val="FootnoteReference"/>
          <w:lang w:val="sv-SE"/>
        </w:rPr>
        <w:footnoteReference w:id="47"/>
      </w:r>
      <w:r w:rsidRPr="00813C21">
        <w:rPr>
          <w:lang w:val="sv-SE"/>
        </w:rPr>
        <w:t xml:space="preserve"> Dengan demikian, kerangka posmodern tentang relasionalitas dapat dipakai sebagai sarana untuk menekankan bahwa Injil adalah kabar baik yang menghidupkan, bukan sekadar sistem kepercayaan statis.</w:t>
      </w:r>
    </w:p>
    <w:p w14:paraId="021C10A2" w14:textId="77777777" w:rsidR="00813C21" w:rsidRPr="00813C21" w:rsidRDefault="00813C21" w:rsidP="00813C21">
      <w:pPr>
        <w:ind w:firstLine="360"/>
        <w:jc w:val="both"/>
        <w:rPr>
          <w:lang w:val="sv-SE"/>
        </w:rPr>
      </w:pPr>
      <w:r w:rsidRPr="00813C21">
        <w:rPr>
          <w:lang w:val="sv-SE"/>
        </w:rPr>
        <w:t>Gereja perlu mengembangkan pendekatan yang menegaskan relasi kasih sebagai wujud iman yang sejati. Konteks posmodern yang mengutamakan pengalaman relasional 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RPr="00813C21">
        <w:rPr>
          <w:rStyle w:val="FootnoteReference"/>
          <w:lang w:val="sv-SE"/>
        </w:rPr>
        <w:footnoteReference w:id="48"/>
      </w:r>
      <w:r w:rsidRPr="00813C21">
        <w:rPr>
          <w:lang w:val="sv-SE"/>
        </w:rPr>
        <w:t xml:space="preserve"> Dengan demikian, gereja dapat bersaksi secara relevan bahwa Injil adalah panggilan untuk hidup dalam kasih yang menghubungkan manusia dengan Allah dan sesamanya, serta membawa transformasi dalam seluruh dimensi kehidupan.</w:t>
      </w:r>
    </w:p>
    <w:p w14:paraId="09B6C83C" w14:textId="77777777" w:rsidR="00813C21" w:rsidRPr="00813C21" w:rsidRDefault="00813C21" w:rsidP="00813C21">
      <w:pPr>
        <w:ind w:firstLine="360"/>
        <w:jc w:val="both"/>
        <w:rPr>
          <w:lang w:val="sv-SE"/>
        </w:rPr>
      </w:pPr>
      <w:r w:rsidRPr="00813C21">
        <w:rPr>
          <w:lang w:val="sv-SE"/>
        </w:rPr>
        <w:t>Kritik posmodern terhadap hegemoni wacana dan praktik dominasi kuasa sesungguhnya memberikan koreksi yang signifikan bagi gereja. Dalam sejarahnya, gereja kerap tergoda untuk jatuh pada sikap triumphalisme,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RPr="00813C21">
        <w:rPr>
          <w:rStyle w:val="FootnoteReference"/>
          <w:lang w:val="sv-SE"/>
        </w:rPr>
        <w:footnoteReference w:id="49"/>
      </w:r>
    </w:p>
    <w:p w14:paraId="442C4DD0" w14:textId="77777777" w:rsidR="00813C21" w:rsidRPr="00813C21" w:rsidRDefault="00813C21" w:rsidP="00813C21">
      <w:pPr>
        <w:ind w:firstLine="360"/>
        <w:jc w:val="both"/>
        <w:rPr>
          <w:lang w:val="sv-SE"/>
        </w:rPr>
      </w:pPr>
      <w:r w:rsidRPr="00813C21">
        <w:rPr>
          <w:lang w:val="sv-SE"/>
        </w:rPr>
        <w:t>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RPr="00813C21">
        <w:rPr>
          <w:rStyle w:val="FootnoteReference"/>
          <w:lang w:val="sv-SE"/>
        </w:rPr>
        <w:footnoteReference w:id="50"/>
      </w:r>
      <w:r w:rsidRPr="00813C21">
        <w:rPr>
          <w:lang w:val="sv-SE"/>
        </w:rPr>
        <w:t xml:space="preserve"> Dalam kerangka ini, posmodernisme menjadi tantangan sekaligus peluang: tantangan karena ia mengkritisi klaim kebenaran tunggal yang bersifat hegemonik, tetapi juga peluang karena ia mendorong gereja untuk menampilkan wajah Injil yang membebaskan, bukan menindas.</w:t>
      </w:r>
      <w:r w:rsidRPr="00813C21">
        <w:rPr>
          <w:rStyle w:val="FootnoteReference"/>
          <w:lang w:val="sv-SE"/>
        </w:rPr>
        <w:footnoteReference w:id="51"/>
      </w:r>
      <w:r w:rsidRPr="00813C21">
        <w:rPr>
          <w:lang w:val="sv-SE"/>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RPr="00813C21">
        <w:rPr>
          <w:rStyle w:val="FootnoteReference"/>
          <w:lang w:val="sv-SE"/>
        </w:rPr>
        <w:footnoteReference w:id="52"/>
      </w:r>
      <w:r w:rsidRPr="00813C21">
        <w:rPr>
          <w:lang w:val="sv-SE"/>
        </w:rPr>
        <w:t xml:space="preserve"> Dalam terang ini, gereja dipanggil mengikuti teladan Kristus yang merendahkan diri-Nya dan mengosongkan kemuliaan-Nya (kenosis), agar berita Injil sungguh-sungguh hadir sebagai tanda kasih dan anugerah Allah yang menyelamatkan.</w:t>
      </w:r>
      <w:r w:rsidRPr="00813C21">
        <w:rPr>
          <w:rStyle w:val="FootnoteReference"/>
          <w:lang w:val="sv-SE"/>
        </w:rPr>
        <w:footnoteReference w:id="53"/>
      </w:r>
    </w:p>
    <w:p w14:paraId="72B1EEE1" w14:textId="77777777" w:rsidR="00813C21" w:rsidRPr="00813C21" w:rsidRDefault="00813C21" w:rsidP="00813C21">
      <w:pPr>
        <w:ind w:firstLine="360"/>
        <w:jc w:val="both"/>
        <w:rPr>
          <w:lang w:val="sv-SE"/>
        </w:rPr>
      </w:pPr>
      <w:r w:rsidRPr="00813C21">
        <w:rPr>
          <w:lang w:val="sv-SE"/>
        </w:rPr>
        <w:t xml:space="preserve">Pendekatan teologis yang peka terhadap budaya menegaskan bahwa pemberitaan Injil tidak boleh dilepaskan dari konteks kehidupan masyarakat. Injil memang bersumber dari Allah dan memiliki kebenaran yang mutlak, tetapi cara penyampaiannya perlu disesuaikan </w:t>
      </w:r>
      <w:r w:rsidRPr="00813C21">
        <w:rPr>
          <w:lang w:val="sv-SE"/>
        </w:rPr>
        <w:lastRenderedPageBreak/>
        <w:t>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RPr="00813C21">
        <w:rPr>
          <w:rStyle w:val="FootnoteReference"/>
          <w:lang w:val="sv-SE"/>
        </w:rPr>
        <w:footnoteReference w:id="54"/>
      </w:r>
    </w:p>
    <w:p w14:paraId="2F2625DA" w14:textId="77777777" w:rsidR="00813C21" w:rsidRPr="00813C21" w:rsidRDefault="00813C21" w:rsidP="00813C21">
      <w:pPr>
        <w:ind w:firstLine="360"/>
        <w:jc w:val="both"/>
        <w:rPr>
          <w:lang w:val="sv-SE"/>
        </w:rPr>
      </w:pPr>
      <w:r w:rsidRPr="00813C21">
        <w:rPr>
          <w:lang w:val="sv-SE"/>
        </w:rPr>
        <w:t>Dalam kerangka ini, posmodernisme dapat dipandang secara kritis sekaligus positif. Di satu sisi, posmodernisme menantang klaim kebenaran yang bersifat absolut. Namun di sisi lain, ia membuka peluang bagi gereja untuk mengkomunikasikan Injil dengan cara yang lebih kreatif, dialogis, dan kontekstual. Tantangan relativisme justru mendorong umat Kristen untuk kembali menegaskan bahwa kebenaran Injil tidak sekadar teori, tetapi kuasa yang mengubah hidup.</w:t>
      </w:r>
      <w:r w:rsidRPr="00813C21">
        <w:rPr>
          <w:rStyle w:val="FootnoteReference"/>
          <w:lang w:val="sv-SE"/>
        </w:rPr>
        <w:footnoteReference w:id="55"/>
      </w:r>
    </w:p>
    <w:p w14:paraId="6586D643" w14:textId="77777777" w:rsidR="00813C21" w:rsidRPr="00813C21" w:rsidRDefault="00813C21" w:rsidP="00813C21">
      <w:pPr>
        <w:ind w:firstLine="360"/>
        <w:jc w:val="both"/>
        <w:rPr>
          <w:lang w:val="sv-SE"/>
        </w:rPr>
      </w:pPr>
      <w:r w:rsidRPr="00813C21">
        <w:rPr>
          <w:lang w:val="sv-SE"/>
        </w:rPr>
        <w:t>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RPr="00813C21">
        <w:rPr>
          <w:rStyle w:val="FootnoteReference"/>
          <w:lang w:val="sv-SE"/>
        </w:rPr>
        <w:footnoteReference w:id="56"/>
      </w:r>
    </w:p>
    <w:p w14:paraId="00D6BFC8" w14:textId="77777777" w:rsidR="00813C21" w:rsidRPr="00813C21" w:rsidRDefault="00813C21" w:rsidP="00813C21">
      <w:pPr>
        <w:ind w:firstLine="720"/>
        <w:jc w:val="both"/>
        <w:rPr>
          <w:lang w:val="sv-SE"/>
        </w:rPr>
      </w:pPr>
    </w:p>
    <w:p w14:paraId="4987FD4C" w14:textId="2232CE87" w:rsidR="00813C21" w:rsidRPr="00813C21" w:rsidRDefault="00813C21" w:rsidP="00813C21">
      <w:pPr>
        <w:jc w:val="both"/>
        <w:rPr>
          <w:b/>
          <w:bCs/>
          <w:lang w:val="sv-SE"/>
        </w:rPr>
      </w:pPr>
      <w:r w:rsidRPr="00813C21">
        <w:rPr>
          <w:b/>
          <w:bCs/>
          <w:lang w:val="sv-SE"/>
        </w:rPr>
        <w:t>Respons Teologis Gereja terhadap Tantangan Posmodern</w:t>
      </w:r>
    </w:p>
    <w:p w14:paraId="010D3BCF" w14:textId="77777777" w:rsidR="00813C21" w:rsidRPr="00813C21" w:rsidRDefault="00813C21" w:rsidP="00813C21">
      <w:pPr>
        <w:ind w:firstLine="360"/>
        <w:jc w:val="both"/>
        <w:rPr>
          <w:lang w:val="sv-SE"/>
        </w:rPr>
      </w:pPr>
      <w:r w:rsidRPr="00813C21">
        <w:rPr>
          <w:lang w:val="sv-SE"/>
        </w:rPr>
        <w:t>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RPr="00813C21">
        <w:rPr>
          <w:rStyle w:val="FootnoteReference"/>
          <w:lang w:val="sv-SE"/>
        </w:rPr>
        <w:footnoteReference w:id="57"/>
      </w:r>
    </w:p>
    <w:p w14:paraId="73BC220D" w14:textId="77777777" w:rsidR="00813C21" w:rsidRPr="00813C21" w:rsidRDefault="00813C21" w:rsidP="00813C21">
      <w:pPr>
        <w:ind w:firstLine="360"/>
        <w:jc w:val="both"/>
        <w:rPr>
          <w:lang w:val="sv-SE"/>
        </w:rPr>
      </w:pPr>
      <w:r w:rsidRPr="00813C21">
        <w:rPr>
          <w:lang w:val="sv-SE"/>
        </w:rPr>
        <w:t>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cerita Allah yang masuk ke dalam sejarah manusia, yang mengundang partisipasi dan transformasi.</w:t>
      </w:r>
      <w:r w:rsidRPr="00813C21">
        <w:rPr>
          <w:rStyle w:val="FootnoteReference"/>
          <w:lang w:val="sv-SE"/>
        </w:rPr>
        <w:footnoteReference w:id="58"/>
      </w:r>
    </w:p>
    <w:p w14:paraId="13735339" w14:textId="77777777" w:rsidR="00813C21" w:rsidRPr="00813C21" w:rsidRDefault="00813C21" w:rsidP="00813C21">
      <w:pPr>
        <w:ind w:firstLine="360"/>
        <w:jc w:val="both"/>
        <w:rPr>
          <w:lang w:val="sv-SE"/>
        </w:rPr>
      </w:pPr>
      <w:r w:rsidRPr="00813C21">
        <w:rPr>
          <w:lang w:val="sv-SE"/>
        </w:rPr>
        <w:t>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RPr="00813C21">
        <w:rPr>
          <w:rStyle w:val="FootnoteReference"/>
          <w:lang w:val="sv-SE"/>
        </w:rPr>
        <w:footnoteReference w:id="59"/>
      </w:r>
      <w:r w:rsidRPr="00813C21">
        <w:rPr>
          <w:lang w:val="sv-SE"/>
        </w:rPr>
        <w:t xml:space="preserve"> Beberapa langkah teologis yang dapat ditawarkan adalah: </w:t>
      </w:r>
    </w:p>
    <w:p w14:paraId="4A4C7285"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Menegaskan kembali otoritas Kitab Suci</w:t>
      </w:r>
      <w:r w:rsidRPr="00813C21">
        <w:rPr>
          <w:rFonts w:eastAsia="Times New Roman"/>
          <w:lang w:val="sv-SE" w:eastAsia="en-ID"/>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w:t>
      </w:r>
      <w:r w:rsidRPr="00813C21">
        <w:rPr>
          <w:rFonts w:eastAsia="Times New Roman"/>
          <w:lang w:val="sv-SE" w:eastAsia="en-ID"/>
        </w:rPr>
        <w:lastRenderedPageBreak/>
        <w:t>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p>
    <w:p w14:paraId="71D236B9"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Mengembangkan apologetika naratif</w:t>
      </w:r>
      <w:r w:rsidRPr="00813C21">
        <w:rPr>
          <w:rFonts w:eastAsia="Times New Roman"/>
          <w:lang w:val="sv-SE" w:eastAsia="en-ID"/>
        </w:rPr>
        <w:t>,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p>
    <w:p w14:paraId="288A5251" w14:textId="77777777" w:rsidR="00813C21" w:rsidRPr="00813C21" w:rsidRDefault="00813C21" w:rsidP="00813C21">
      <w:pPr>
        <w:numPr>
          <w:ilvl w:val="0"/>
          <w:numId w:val="1"/>
        </w:numPr>
        <w:spacing w:before="100" w:beforeAutospacing="1" w:after="100" w:afterAutospacing="1"/>
        <w:jc w:val="both"/>
        <w:rPr>
          <w:rFonts w:eastAsia="Times New Roman"/>
          <w:lang w:val="sv-SE" w:eastAsia="en-ID"/>
        </w:rPr>
      </w:pPr>
      <w:r w:rsidRPr="00813C21">
        <w:rPr>
          <w:rFonts w:eastAsia="Times New Roman"/>
          <w:b/>
          <w:bCs/>
          <w:lang w:val="sv-SE" w:eastAsia="en-ID"/>
        </w:rPr>
        <w:t>Mengintegrasikan dimensi relasional Injil</w:t>
      </w:r>
      <w:r w:rsidRPr="00813C21">
        <w:rPr>
          <w:rFonts w:eastAsia="Times New Roman"/>
          <w:lang w:val="sv-SE" w:eastAsia="en-ID"/>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p>
    <w:p w14:paraId="5D84B1AF" w14:textId="77777777" w:rsidR="00813C21" w:rsidRPr="00813C21" w:rsidRDefault="00813C21" w:rsidP="00813C21">
      <w:pPr>
        <w:numPr>
          <w:ilvl w:val="0"/>
          <w:numId w:val="1"/>
        </w:numPr>
        <w:jc w:val="both"/>
        <w:rPr>
          <w:rFonts w:eastAsia="Times New Roman"/>
          <w:lang w:val="sv-SE" w:eastAsia="en-ID"/>
        </w:rPr>
      </w:pPr>
      <w:r w:rsidRPr="00813C21">
        <w:rPr>
          <w:rFonts w:eastAsia="Times New Roman"/>
          <w:b/>
          <w:bCs/>
          <w:lang w:val="sv-SE" w:eastAsia="en-ID"/>
        </w:rPr>
        <w:t>Menerapkan inkulturasi teologis</w:t>
      </w:r>
      <w:r w:rsidRPr="00813C21">
        <w:rPr>
          <w:rFonts w:eastAsia="Times New Roman"/>
          <w:lang w:val="sv-SE" w:eastAsia="en-ID"/>
        </w:rPr>
        <w:t>,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14:paraId="46A1729F" w14:textId="77777777" w:rsidR="00813C21" w:rsidRPr="00813C21" w:rsidRDefault="00813C21" w:rsidP="00813C21">
      <w:pPr>
        <w:ind w:left="720"/>
        <w:jc w:val="both"/>
        <w:rPr>
          <w:rFonts w:eastAsia="Times New Roman"/>
          <w:lang w:val="sv-SE" w:eastAsia="en-ID"/>
        </w:rPr>
      </w:pPr>
    </w:p>
    <w:p w14:paraId="3AB714C1" w14:textId="6175217F" w:rsidR="00813C21" w:rsidRPr="00813C21" w:rsidRDefault="00813C21" w:rsidP="00813C21">
      <w:pPr>
        <w:jc w:val="both"/>
        <w:rPr>
          <w:rFonts w:eastAsia="Times New Roman"/>
          <w:b/>
          <w:bCs/>
          <w:lang w:val="sv-SE" w:eastAsia="en-ID"/>
        </w:rPr>
      </w:pPr>
      <w:bookmarkStart w:id="1" w:name="_GoBack"/>
      <w:bookmarkEnd w:id="1"/>
      <w:r w:rsidRPr="00813C21">
        <w:rPr>
          <w:rFonts w:eastAsia="Times New Roman"/>
          <w:b/>
          <w:bCs/>
          <w:lang w:val="sv-SE" w:eastAsia="en-ID"/>
        </w:rPr>
        <w:t>Implikasi Bagi Teologi dan Misi Gereja</w:t>
      </w:r>
    </w:p>
    <w:p w14:paraId="1CA40589"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RPr="00813C21">
        <w:rPr>
          <w:rStyle w:val="FootnoteReference"/>
          <w:rFonts w:eastAsia="Times New Roman"/>
          <w:lang w:val="sv-SE" w:eastAsia="en-ID"/>
        </w:rPr>
        <w:footnoteReference w:id="60"/>
      </w:r>
      <w:r w:rsidRPr="00813C21">
        <w:rPr>
          <w:rFonts w:eastAsia="Times New Roman"/>
          <w:lang w:val="sv-SE" w:eastAsia="en-ID"/>
        </w:rPr>
        <w:t xml:space="preserve"> Dengan demikian, iman Kristen berdiri teguh pada dasar yang transenden dan tidak berubah, sekalipun dunia terus mengalami perubahan paradigma.</w:t>
      </w:r>
      <w:r w:rsidRPr="00813C21">
        <w:rPr>
          <w:rStyle w:val="FootnoteReference"/>
          <w:rFonts w:eastAsia="Times New Roman"/>
          <w:lang w:val="sv-SE" w:eastAsia="en-ID"/>
        </w:rPr>
        <w:footnoteReference w:id="61"/>
      </w:r>
    </w:p>
    <w:p w14:paraId="5B750EF1"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 xml:space="preserve">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w:t>
      </w:r>
      <w:r w:rsidRPr="00813C21">
        <w:rPr>
          <w:rFonts w:eastAsia="Times New Roman"/>
          <w:lang w:val="sv-SE" w:eastAsia="en-ID"/>
        </w:rPr>
        <w:lastRenderedPageBreak/>
        <w:t>agar para murid bukan hanya menjadi pendengar firman, tetapi pelaku firman yang menghadirkan nilai-nilai Kerajaan Allah di tengah dunia.</w:t>
      </w:r>
      <w:r w:rsidRPr="00813C21">
        <w:rPr>
          <w:rStyle w:val="FootnoteReference"/>
          <w:rFonts w:eastAsia="Times New Roman"/>
          <w:lang w:val="sv-SE" w:eastAsia="en-ID"/>
        </w:rPr>
        <w:footnoteReference w:id="62"/>
      </w:r>
    </w:p>
    <w:p w14:paraId="34CB19E7"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RPr="00813C21">
        <w:rPr>
          <w:rStyle w:val="FootnoteReference"/>
          <w:rFonts w:eastAsia="Times New Roman"/>
          <w:lang w:val="sv-SE" w:eastAsia="en-ID"/>
        </w:rPr>
        <w:footnoteReference w:id="63"/>
      </w:r>
    </w:p>
    <w:p w14:paraId="6EAD9166"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RPr="00813C21">
        <w:rPr>
          <w:rStyle w:val="FootnoteReference"/>
          <w:rFonts w:eastAsia="Times New Roman"/>
          <w:lang w:val="sv-SE" w:eastAsia="en-ID"/>
        </w:rPr>
        <w:footnoteReference w:id="64"/>
      </w:r>
    </w:p>
    <w:p w14:paraId="13AFF822" w14:textId="77777777" w:rsidR="00813C21" w:rsidRPr="00813C21" w:rsidRDefault="00813C21" w:rsidP="00813C21">
      <w:pPr>
        <w:ind w:firstLine="720"/>
        <w:jc w:val="both"/>
        <w:rPr>
          <w:lang w:val="sv-SE"/>
        </w:rPr>
      </w:pPr>
      <w:r w:rsidRPr="00813C21">
        <w:rPr>
          <w:rFonts w:eastAsia="Times New Roman"/>
          <w:lang w:val="sv-SE" w:eastAsia="en-ID"/>
        </w:rPr>
        <w:t>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RPr="00813C21">
        <w:rPr>
          <w:rStyle w:val="FootnoteReference"/>
          <w:rFonts w:eastAsia="Times New Roman"/>
          <w:lang w:val="sv-SE" w:eastAsia="en-ID"/>
        </w:rPr>
        <w:footnoteReference w:id="65"/>
      </w:r>
    </w:p>
    <w:p w14:paraId="114EB3F7" w14:textId="3A697DDD" w:rsidR="00C30472" w:rsidRDefault="00C30472">
      <w:pPr>
        <w:ind w:firstLine="720"/>
        <w:jc w:val="both"/>
      </w:pPr>
    </w:p>
    <w:p w14:paraId="135ABFC8" w14:textId="77777777" w:rsidR="00C30472" w:rsidRDefault="00C30472">
      <w:pPr>
        <w:jc w:val="both"/>
      </w:pPr>
    </w:p>
    <w:p w14:paraId="1B7C2636" w14:textId="77777777" w:rsidR="00C30472" w:rsidRDefault="001366A2">
      <w:pPr>
        <w:tabs>
          <w:tab w:val="left" w:pos="284"/>
        </w:tabs>
        <w:jc w:val="both"/>
        <w:rPr>
          <w:b/>
        </w:rPr>
      </w:pPr>
      <w:r>
        <w:rPr>
          <w:b/>
        </w:rPr>
        <w:t>KESIMPULAN</w:t>
      </w:r>
    </w:p>
    <w:p w14:paraId="709C1A60" w14:textId="4F600F49" w:rsidR="003929F5" w:rsidRPr="003929F5" w:rsidRDefault="003929F5" w:rsidP="003929F5">
      <w:pPr>
        <w:ind w:firstLine="720"/>
        <w:jc w:val="both"/>
        <w:rPr>
          <w:lang w:val="sv-SE"/>
        </w:rPr>
      </w:pPr>
      <w:r w:rsidRPr="003929F5">
        <w:rPr>
          <w:lang w:val="sv-SE"/>
        </w:rPr>
        <w:t>Pertemuan antara posmodernisme dan Kekristenan menampilkan suatu dialektika yang menuntut respons teologis yang kritis sekaligus konstruktif. Relativisme epistemologis yang melekat dalam posmodernisme jelas bertentangan dengan pengakuan iman Kristen 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14:paraId="04D2B532" w14:textId="39EC8F7C"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1366A2">
      <w:pPr>
        <w:rPr>
          <w:b/>
        </w:rPr>
      </w:pPr>
      <w:r>
        <w:rPr>
          <w:b/>
        </w:rPr>
        <w:t xml:space="preserve">DAFTAR PUSTAKA </w:t>
      </w:r>
    </w:p>
    <w:p w14:paraId="6B71F03F" w14:textId="28BFE51A" w:rsidR="00C30472" w:rsidRDefault="00C30472">
      <w:pPr>
        <w:ind w:left="360" w:hanging="360"/>
        <w:jc w:val="both"/>
      </w:pPr>
    </w:p>
    <w:p w14:paraId="1AEDFAA3" w14:textId="0671584E" w:rsidR="002E779E" w:rsidRPr="002E779E" w:rsidRDefault="002E779E" w:rsidP="002E779E">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E779E">
        <w:rPr>
          <w:noProof/>
        </w:rPr>
        <w:t xml:space="preserve">Alister E. McGrath. </w:t>
      </w:r>
      <w:r w:rsidRPr="002E779E">
        <w:rPr>
          <w:i/>
          <w:iCs/>
          <w:noProof/>
        </w:rPr>
        <w:t>Christian Theology : An Introduction</w:t>
      </w:r>
      <w:r w:rsidRPr="002E779E">
        <w:rPr>
          <w:noProof/>
        </w:rPr>
        <w:t>. Chichester: Wiley, Blackwell, 2017.</w:t>
      </w:r>
    </w:p>
    <w:p w14:paraId="36B4F3A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Alvin Plantinga. </w:t>
      </w:r>
      <w:r w:rsidRPr="002E779E">
        <w:rPr>
          <w:i/>
          <w:iCs/>
          <w:noProof/>
        </w:rPr>
        <w:t xml:space="preserve">Warranted Christian Belief </w:t>
      </w:r>
      <w:r w:rsidRPr="002E779E">
        <w:rPr>
          <w:noProof/>
        </w:rPr>
        <w:t>. New York: Oxford University Press, 2000.</w:t>
      </w:r>
    </w:p>
    <w:p w14:paraId="56F4A04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Carson, D. A. </w:t>
      </w:r>
      <w:r w:rsidRPr="002E779E">
        <w:rPr>
          <w:i/>
          <w:iCs/>
          <w:noProof/>
        </w:rPr>
        <w:t>Kristen Di Tengah Era Postmodern</w:t>
      </w:r>
      <w:r w:rsidRPr="002E779E">
        <w:rPr>
          <w:noProof/>
        </w:rPr>
        <w:t>. Surabaya: Momentum, 2003.</w:t>
      </w:r>
    </w:p>
    <w:p w14:paraId="01B6276E" w14:textId="77777777" w:rsidR="002E779E" w:rsidRPr="002E779E" w:rsidRDefault="002E779E" w:rsidP="002E779E">
      <w:pPr>
        <w:widowControl w:val="0"/>
        <w:autoSpaceDE w:val="0"/>
        <w:autoSpaceDN w:val="0"/>
        <w:adjustRightInd w:val="0"/>
        <w:ind w:left="480" w:hanging="480"/>
        <w:rPr>
          <w:noProof/>
        </w:rPr>
      </w:pPr>
      <w:r w:rsidRPr="002E779E">
        <w:rPr>
          <w:noProof/>
        </w:rPr>
        <w:t>———. “The Gagging of God: Christianity.” Michigan: Zondervan, 2009.</w:t>
      </w:r>
    </w:p>
    <w:p w14:paraId="441353B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The Gagging of God: Christianity Confronts Pluralism</w:t>
      </w:r>
      <w:r w:rsidRPr="002E779E">
        <w:rPr>
          <w:noProof/>
        </w:rPr>
        <w:t>. Grand Rapids: Zondervan, 2020.</w:t>
      </w:r>
    </w:p>
    <w:p w14:paraId="347E980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Conn, Harvie M.. </w:t>
      </w:r>
      <w:r w:rsidRPr="002E779E">
        <w:rPr>
          <w:i/>
          <w:iCs/>
          <w:noProof/>
        </w:rPr>
        <w:t>Eternal Word and Changing Worlds: Theology, Anthropology, and Mission in Trialogue</w:t>
      </w:r>
      <w:r w:rsidRPr="002E779E">
        <w:rPr>
          <w:noProof/>
        </w:rPr>
        <w:t>. Grand Rapids, Mich.: Zondervan, 1984.</w:t>
      </w:r>
    </w:p>
    <w:p w14:paraId="779A1BA7" w14:textId="77777777" w:rsidR="002E779E" w:rsidRPr="002E779E" w:rsidRDefault="002E779E" w:rsidP="002E779E">
      <w:pPr>
        <w:widowControl w:val="0"/>
        <w:autoSpaceDE w:val="0"/>
        <w:autoSpaceDN w:val="0"/>
        <w:adjustRightInd w:val="0"/>
        <w:ind w:left="480" w:hanging="480"/>
        <w:rPr>
          <w:noProof/>
        </w:rPr>
      </w:pPr>
      <w:r w:rsidRPr="002E779E">
        <w:rPr>
          <w:noProof/>
        </w:rPr>
        <w:t>Darmaputera, Eka. “Pergulatan Kehadiran Kristen Di Indonesia.” Jakarta: BPK Gunung Mulia, 2005.</w:t>
      </w:r>
    </w:p>
    <w:p w14:paraId="6E23C5D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David J. Bosch. </w:t>
      </w:r>
      <w:r w:rsidRPr="002E779E">
        <w:rPr>
          <w:i/>
          <w:iCs/>
          <w:noProof/>
        </w:rPr>
        <w:t>Transforming Mission: Paradigm Shifts in Theology of Mission</w:t>
      </w:r>
      <w:r w:rsidRPr="002E779E">
        <w:rPr>
          <w:noProof/>
        </w:rPr>
        <w:t>. Maryknoll: Orbis Books, 2011.</w:t>
      </w:r>
    </w:p>
    <w:p w14:paraId="6D69796F"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Eka Darmaputera. </w:t>
      </w:r>
      <w:r w:rsidRPr="002E779E">
        <w:rPr>
          <w:i/>
          <w:iCs/>
          <w:noProof/>
        </w:rPr>
        <w:t>Pergulatan Kehadiran Kristen Di Indonesia: Teks-Teks Terpilih Eka Darmaputera</w:t>
      </w:r>
      <w:r w:rsidRPr="002E779E">
        <w:rPr>
          <w:noProof/>
        </w:rPr>
        <w:t>. Jakarta: BPK Gunung Mulia , 2005.</w:t>
      </w:r>
    </w:p>
    <w:p w14:paraId="02647750"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F. F. Bruce. </w:t>
      </w:r>
      <w:r w:rsidRPr="002E779E">
        <w:rPr>
          <w:i/>
          <w:iCs/>
          <w:noProof/>
        </w:rPr>
        <w:t>The Book of the Acts</w:t>
      </w:r>
      <w:r w:rsidRPr="002E779E">
        <w:rPr>
          <w:noProof/>
        </w:rPr>
        <w:t xml:space="preserve">. </w:t>
      </w:r>
      <w:r w:rsidRPr="002E779E">
        <w:rPr>
          <w:i/>
          <w:iCs/>
          <w:noProof/>
        </w:rPr>
        <w:t>The Book of the Acts</w:t>
      </w:r>
      <w:r w:rsidRPr="002E779E">
        <w:rPr>
          <w:noProof/>
        </w:rPr>
        <w:t>. Grand Rapids: Eerdmans, 1988.</w:t>
      </w:r>
    </w:p>
    <w:p w14:paraId="6341DF6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Grenz, Stanley J. </w:t>
      </w:r>
      <w:r w:rsidRPr="002E779E">
        <w:rPr>
          <w:i/>
          <w:iCs/>
          <w:noProof/>
        </w:rPr>
        <w:t>Teologi Postmodernisme: Membaca Budaya Dengan Kacamata Injil</w:t>
      </w:r>
      <w:r w:rsidRPr="002E779E">
        <w:rPr>
          <w:noProof/>
        </w:rPr>
        <w:t>. Jakarta: BPK Gunung Mulia, 2002.</w:t>
      </w:r>
    </w:p>
    <w:p w14:paraId="712433C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Harun Hadiwijono. </w:t>
      </w:r>
      <w:r w:rsidRPr="002E779E">
        <w:rPr>
          <w:i/>
          <w:iCs/>
          <w:noProof/>
        </w:rPr>
        <w:t>Iman Kristen</w:t>
      </w:r>
      <w:r w:rsidRPr="002E779E">
        <w:rPr>
          <w:noProof/>
        </w:rPr>
        <w:t>. Jakarta: BPK Gunung Mulia, 2007.</w:t>
      </w:r>
    </w:p>
    <w:p w14:paraId="14E272F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Herman Bavinck. </w:t>
      </w:r>
      <w:r w:rsidRPr="002E779E">
        <w:rPr>
          <w:i/>
          <w:iCs/>
          <w:noProof/>
        </w:rPr>
        <w:t xml:space="preserve">Reformed Dogmatics </w:t>
      </w:r>
      <w:r w:rsidRPr="002E779E">
        <w:rPr>
          <w:noProof/>
        </w:rPr>
        <w:t>. Vol. 1. Grand Rapids: Baker Academic, 2003.</w:t>
      </w:r>
    </w:p>
    <w:p w14:paraId="4E605CE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Hick, John. </w:t>
      </w:r>
      <w:r w:rsidRPr="002E779E">
        <w:rPr>
          <w:i/>
          <w:iCs/>
          <w:noProof/>
        </w:rPr>
        <w:t>An Interpretation of Religion: Human Responses to the Transcendent</w:t>
      </w:r>
      <w:r w:rsidRPr="002E779E">
        <w:rPr>
          <w:noProof/>
        </w:rPr>
        <w:t>. New Haven, CT: Yale University Press, 1989.</w:t>
      </w:r>
    </w:p>
    <w:p w14:paraId="61D892C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Hiebert, Paul G. </w:t>
      </w:r>
      <w:r w:rsidRPr="002E779E">
        <w:rPr>
          <w:i/>
          <w:iCs/>
          <w:noProof/>
        </w:rPr>
        <w:t>Anthropological Insights for Missionaries</w:t>
      </w:r>
      <w:r w:rsidRPr="002E779E">
        <w:rPr>
          <w:noProof/>
        </w:rPr>
        <w:t>. Grand Rapids, Michigan, USA: Baker Book House, 1985.</w:t>
      </w:r>
    </w:p>
    <w:p w14:paraId="4C8306F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 Richard Middleton, Brian J. Walsh. </w:t>
      </w:r>
      <w:r w:rsidRPr="002E779E">
        <w:rPr>
          <w:i/>
          <w:iCs/>
          <w:noProof/>
        </w:rPr>
        <w:t>Kebenaran Subversif: Membaca Alkitab Dalam Dunia Postmodern</w:t>
      </w:r>
      <w:r w:rsidRPr="002E779E">
        <w:rPr>
          <w:noProof/>
        </w:rPr>
        <w:t>. Jakarta: BPK Gunung Mulia, 2010.</w:t>
      </w:r>
    </w:p>
    <w:p w14:paraId="59AE766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Jacques Derrida. </w:t>
      </w:r>
      <w:r w:rsidRPr="002E779E">
        <w:rPr>
          <w:i/>
          <w:iCs/>
          <w:noProof/>
        </w:rPr>
        <w:t xml:space="preserve">Of Grammatology </w:t>
      </w:r>
      <w:r w:rsidRPr="002E779E">
        <w:rPr>
          <w:noProof/>
        </w:rPr>
        <w:t>. Baltimore: Johns Hopkins University Press, 1976.</w:t>
      </w:r>
    </w:p>
    <w:p w14:paraId="1500933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John R. W. Stott. </w:t>
      </w:r>
      <w:r w:rsidRPr="002E779E">
        <w:rPr>
          <w:i/>
          <w:iCs/>
          <w:noProof/>
        </w:rPr>
        <w:t xml:space="preserve">The Message of Acts </w:t>
      </w:r>
      <w:r w:rsidRPr="002E779E">
        <w:rPr>
          <w:noProof/>
        </w:rPr>
        <w:t>. Leicester: Inter-Varsity Press, 2020.</w:t>
      </w:r>
    </w:p>
    <w:p w14:paraId="521BE03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John W. Creswell. </w:t>
      </w:r>
      <w:r w:rsidRPr="002E779E">
        <w:rPr>
          <w:i/>
          <w:iCs/>
          <w:noProof/>
        </w:rPr>
        <w:t>Second Edition Qualitative Inquiry &amp; Research Design Choosing Among Five Approaches</w:t>
      </w:r>
      <w:r w:rsidRPr="002E779E">
        <w:rPr>
          <w:noProof/>
        </w:rPr>
        <w:t xml:space="preserve">. </w:t>
      </w:r>
      <w:r w:rsidRPr="002E779E">
        <w:rPr>
          <w:i/>
          <w:iCs/>
          <w:noProof/>
        </w:rPr>
        <w:t>Sage</w:t>
      </w:r>
      <w:r w:rsidRPr="002E779E">
        <w:rPr>
          <w:noProof/>
        </w:rPr>
        <w:t>. California: Sage Publications, Inc., 2007.</w:t>
      </w:r>
    </w:p>
    <w:p w14:paraId="1274C1BF"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Joseph P. Natoli, and Linda Hutcheon. </w:t>
      </w:r>
      <w:r w:rsidRPr="002E779E">
        <w:rPr>
          <w:i/>
          <w:iCs/>
          <w:noProof/>
        </w:rPr>
        <w:t>A Postmodern Reader</w:t>
      </w:r>
      <w:r w:rsidRPr="002E779E">
        <w:rPr>
          <w:noProof/>
        </w:rPr>
        <w:t>. State University of New York Press, 1993.</w:t>
      </w:r>
    </w:p>
    <w:p w14:paraId="24397F3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Karl Barth. </w:t>
      </w:r>
      <w:r w:rsidRPr="002E779E">
        <w:rPr>
          <w:i/>
          <w:iCs/>
          <w:noProof/>
        </w:rPr>
        <w:t xml:space="preserve">Church Dogmatics The Doctrine of the Word of God, Volume 1, Part 2 </w:t>
      </w:r>
      <w:r w:rsidRPr="002E779E">
        <w:rPr>
          <w:noProof/>
        </w:rPr>
        <w:t>. Vol. 1. Edinburgh: T&amp;T Clark Internasional, 1936.</w:t>
      </w:r>
    </w:p>
    <w:p w14:paraId="4CD2887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Kevin J. Vanhoozer. </w:t>
      </w:r>
      <w:r w:rsidRPr="002E779E">
        <w:rPr>
          <w:i/>
          <w:iCs/>
          <w:noProof/>
        </w:rPr>
        <w:t>Is There a Meaning in This Text? The Bible, the Reader, and the Morality of Literary Knowledge</w:t>
      </w:r>
      <w:r w:rsidRPr="002E779E">
        <w:rPr>
          <w:noProof/>
        </w:rPr>
        <w:t>. Grand Rapids: Zondervan, 1998.</w:t>
      </w:r>
    </w:p>
    <w:p w14:paraId="43C955FB"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Kevin J. Vanhoozer, Charles A. Andersonand Michael J. Sleasman. </w:t>
      </w:r>
      <w:r w:rsidRPr="002E779E">
        <w:rPr>
          <w:i/>
          <w:iCs/>
          <w:noProof/>
        </w:rPr>
        <w:t xml:space="preserve">Everyday Theology (Cultural Exegesis): How to Read Cultural Texts and Interpret Trends </w:t>
      </w:r>
      <w:r w:rsidRPr="002E779E">
        <w:rPr>
          <w:noProof/>
        </w:rPr>
        <w:t>. USA: Baker Academic , 2007.</w:t>
      </w:r>
    </w:p>
    <w:p w14:paraId="1DF44C7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Kleden, Budi. </w:t>
      </w:r>
      <w:r w:rsidRPr="002E779E">
        <w:rPr>
          <w:i/>
          <w:iCs/>
          <w:noProof/>
        </w:rPr>
        <w:t>Kristologi Dalam Konteks Papua</w:t>
      </w:r>
      <w:r w:rsidRPr="002E779E">
        <w:rPr>
          <w:noProof/>
        </w:rPr>
        <w:t>. Yogyakarta: Kanisius, 2015.</w:t>
      </w:r>
    </w:p>
    <w:p w14:paraId="402703C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LAI 1974. </w:t>
      </w:r>
      <w:r w:rsidRPr="002E779E">
        <w:rPr>
          <w:i/>
          <w:iCs/>
          <w:noProof/>
        </w:rPr>
        <w:t>Alkitab Terjemahan Baru</w:t>
      </w:r>
      <w:r w:rsidRPr="002E779E">
        <w:rPr>
          <w:noProof/>
        </w:rPr>
        <w:t>. Jakarta: LEMBAGA ALKITAB INDONESIA, 2018.</w:t>
      </w:r>
    </w:p>
    <w:p w14:paraId="33C8646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Lubis, Akhyar. </w:t>
      </w:r>
      <w:r w:rsidRPr="002E779E">
        <w:rPr>
          <w:i/>
          <w:iCs/>
          <w:noProof/>
        </w:rPr>
        <w:t>Postmodernisme</w:t>
      </w:r>
      <w:r w:rsidRPr="002E779E">
        <w:rPr>
          <w:noProof/>
        </w:rPr>
        <w:t>. Jakarta: Rajawali Pres, 2014.</w:t>
      </w:r>
    </w:p>
    <w:p w14:paraId="29C1647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Lyotard, Jean-François. </w:t>
      </w:r>
      <w:r w:rsidRPr="002E779E">
        <w:rPr>
          <w:i/>
          <w:iCs/>
          <w:noProof/>
        </w:rPr>
        <w:t>Kondisi Postmodern</w:t>
      </w:r>
      <w:r w:rsidRPr="002E779E">
        <w:rPr>
          <w:noProof/>
        </w:rPr>
        <w:t>. Yogyakarta: Kanisius, 2009.</w:t>
      </w:r>
    </w:p>
    <w:p w14:paraId="7B3906C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The Postmodern Condition: A Report on Knowledge</w:t>
      </w:r>
      <w:r w:rsidRPr="002E779E">
        <w:rPr>
          <w:noProof/>
        </w:rPr>
        <w:t>. Minneapolis: University of Minnesota Press, 1984.</w:t>
      </w:r>
    </w:p>
    <w:p w14:paraId="55C59AF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Marlon Butarbutar. “Kristologi Biblika Menurut Kaum Reformed Sebagai Salah Satu Dasar Apologetika Dalam Menghadapi Pengajaran Gnostik Di Era Postmodern.” </w:t>
      </w:r>
      <w:r w:rsidRPr="002E779E">
        <w:rPr>
          <w:i/>
          <w:iCs/>
          <w:noProof/>
        </w:rPr>
        <w:lastRenderedPageBreak/>
        <w:t>Scripta</w:t>
      </w:r>
      <w:r w:rsidRPr="002E779E">
        <w:rPr>
          <w:noProof/>
        </w:rPr>
        <w:t xml:space="preserve"> 6, no. 2 (June 2018): 116–128.</w:t>
      </w:r>
    </w:p>
    <w:p w14:paraId="18D6E90C" w14:textId="77777777" w:rsidR="002E779E" w:rsidRPr="002E779E" w:rsidRDefault="002E779E" w:rsidP="002E779E">
      <w:pPr>
        <w:widowControl w:val="0"/>
        <w:autoSpaceDE w:val="0"/>
        <w:autoSpaceDN w:val="0"/>
        <w:adjustRightInd w:val="0"/>
        <w:ind w:left="480" w:hanging="480"/>
        <w:rPr>
          <w:noProof/>
        </w:rPr>
      </w:pPr>
      <w:r w:rsidRPr="002E779E">
        <w:rPr>
          <w:noProof/>
        </w:rPr>
        <w:t>McGrath, Alister E. “Christian Theology: An Introduction, 5th Edition: An Introduction” (2011): 539.</w:t>
      </w:r>
    </w:p>
    <w:p w14:paraId="07B739B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Michel Foucault. </w:t>
      </w:r>
      <w:r w:rsidRPr="002E779E">
        <w:rPr>
          <w:i/>
          <w:iCs/>
          <w:noProof/>
        </w:rPr>
        <w:t>Power/Knowledge: Selected Interviews and Other Writings 1972–1977</w:t>
      </w:r>
      <w:r w:rsidRPr="002E779E">
        <w:rPr>
          <w:noProof/>
        </w:rPr>
        <w:t>. New York: Pantheon Books, 1980.</w:t>
      </w:r>
    </w:p>
    <w:p w14:paraId="1B2EF35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MS, Kaelan. </w:t>
      </w:r>
      <w:r w:rsidRPr="002E779E">
        <w:rPr>
          <w:i/>
          <w:iCs/>
          <w:noProof/>
        </w:rPr>
        <w:t>Metode Penelitian Kualitatif Bidang Filsafat</w:t>
      </w:r>
      <w:r w:rsidRPr="002E779E">
        <w:rPr>
          <w:noProof/>
        </w:rPr>
        <w:t>. Yogyakarta.: Paradigma, 2005.</w:t>
      </w:r>
    </w:p>
    <w:p w14:paraId="7339DE6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N. T. Wright. </w:t>
      </w:r>
      <w:r w:rsidRPr="002E779E">
        <w:rPr>
          <w:i/>
          <w:iCs/>
          <w:noProof/>
        </w:rPr>
        <w:t xml:space="preserve">Following Jesus: Biblical Reflections on Discipleship </w:t>
      </w:r>
      <w:r w:rsidRPr="002E779E">
        <w:rPr>
          <w:noProof/>
        </w:rPr>
        <w:t>. Grand Rapids: Eerdmans, 1995.</w:t>
      </w:r>
    </w:p>
    <w:p w14:paraId="0E158C5B"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Simply Jesus : A New Vision of Who He Was, What He Did, and Why He Matters</w:t>
      </w:r>
      <w:r w:rsidRPr="002E779E">
        <w:rPr>
          <w:noProof/>
        </w:rPr>
        <w:t>. HarperOne, 2011.</w:t>
      </w:r>
    </w:p>
    <w:p w14:paraId="6BB6336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Newbigin, Lesslie. </w:t>
      </w:r>
      <w:r w:rsidRPr="002E779E">
        <w:rPr>
          <w:i/>
          <w:iCs/>
          <w:noProof/>
        </w:rPr>
        <w:t>The Gospel in a Pluralist Society</w:t>
      </w:r>
      <w:r w:rsidRPr="002E779E">
        <w:rPr>
          <w:noProof/>
        </w:rPr>
        <w:t>. London: SPCK, 2022.</w:t>
      </w:r>
    </w:p>
    <w:p w14:paraId="47E001E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Oakes, Edward T. “SIMPLY CHRISTIAN: WHY CHRISTIANITY MAKES SENSE .” </w:t>
      </w:r>
      <w:r w:rsidRPr="002E779E">
        <w:rPr>
          <w:i/>
          <w:iCs/>
          <w:noProof/>
        </w:rPr>
        <w:t>A Monthly Journal of Religion and Public Life</w:t>
      </w:r>
      <w:r w:rsidRPr="002E779E">
        <w:rPr>
          <w:noProof/>
        </w:rPr>
        <w:t>, no. 169 (January 2007): 56–57.</w:t>
      </w:r>
    </w:p>
    <w:p w14:paraId="77B5564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Priest, Robert J. “Missionary Elenctics: Conscience and Culture.” </w:t>
      </w:r>
      <w:r w:rsidRPr="002E779E">
        <w:rPr>
          <w:i/>
          <w:iCs/>
          <w:noProof/>
        </w:rPr>
        <w:t>Missiology</w:t>
      </w:r>
      <w:r w:rsidRPr="002E779E">
        <w:rPr>
          <w:noProof/>
        </w:rPr>
        <w:t xml:space="preserve"> 22, no. 3 (July 1994): 291–315.</w:t>
      </w:r>
    </w:p>
    <w:p w14:paraId="02BBC27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Priyono, Budi, and Arnold Tindas. “Otoritas Alkitab Dalam Era Postmodern.” </w:t>
      </w:r>
      <w:r w:rsidRPr="002E779E">
        <w:rPr>
          <w:i/>
          <w:iCs/>
          <w:noProof/>
        </w:rPr>
        <w:t>Tri Tunggal: Jurnal Pendidikan Kristen dan Katolik</w:t>
      </w:r>
      <w:r w:rsidRPr="002E779E">
        <w:rPr>
          <w:noProof/>
        </w:rPr>
        <w:t xml:space="preserve"> 3, no. 2 (April 2025): 16–37.</w:t>
      </w:r>
    </w:p>
    <w:p w14:paraId="781F9BE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R. W. L. Moberly. </w:t>
      </w:r>
      <w:r w:rsidRPr="002E779E">
        <w:rPr>
          <w:i/>
          <w:iCs/>
          <w:noProof/>
        </w:rPr>
        <w:t>The Science of Sustainable Development. Local Livelihoods and the Global Environment (Sayer, Campbell 2004)</w:t>
      </w:r>
      <w:r w:rsidRPr="002E779E">
        <w:rPr>
          <w:noProof/>
        </w:rPr>
        <w:t xml:space="preserve">. </w:t>
      </w:r>
      <w:r w:rsidRPr="002E779E">
        <w:rPr>
          <w:i/>
          <w:iCs/>
          <w:noProof/>
        </w:rPr>
        <w:t>Ecology and Society</w:t>
      </w:r>
      <w:r w:rsidRPr="002E779E">
        <w:rPr>
          <w:noProof/>
        </w:rPr>
        <w:t>. Cambridge: Cambridge University Press, 2000.</w:t>
      </w:r>
    </w:p>
    <w:p w14:paraId="6FACDCD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Reid Hensarling. </w:t>
      </w:r>
      <w:r w:rsidRPr="002E779E">
        <w:rPr>
          <w:i/>
          <w:iCs/>
          <w:noProof/>
        </w:rPr>
        <w:t>Biblical Gospel : Its Significance And Impact In Spiritual Renewal</w:t>
      </w:r>
      <w:r w:rsidRPr="002E779E">
        <w:rPr>
          <w:noProof/>
        </w:rPr>
        <w:t>. Bloomington: Westbow Press, 2012.</w:t>
      </w:r>
    </w:p>
    <w:p w14:paraId="55A1E31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Stanley J. Grenz. </w:t>
      </w:r>
      <w:r w:rsidRPr="002E779E">
        <w:rPr>
          <w:i/>
          <w:iCs/>
          <w:noProof/>
        </w:rPr>
        <w:t xml:space="preserve">A Primer on Postmodernism </w:t>
      </w:r>
      <w:r w:rsidRPr="002E779E">
        <w:rPr>
          <w:noProof/>
        </w:rPr>
        <w:t xml:space="preserve">. </w:t>
      </w:r>
      <w:r w:rsidRPr="002E779E">
        <w:rPr>
          <w:i/>
          <w:iCs/>
          <w:noProof/>
        </w:rPr>
        <w:t xml:space="preserve">Grand Rapids </w:t>
      </w:r>
      <w:r w:rsidRPr="002E779E">
        <w:rPr>
          <w:noProof/>
        </w:rPr>
        <w:t>. Michigan: Grand Rapids, 1996.</w:t>
      </w:r>
    </w:p>
    <w:p w14:paraId="3E91332F" w14:textId="77777777" w:rsidR="002E779E" w:rsidRPr="002E779E" w:rsidRDefault="002E779E" w:rsidP="002E779E">
      <w:pPr>
        <w:widowControl w:val="0"/>
        <w:autoSpaceDE w:val="0"/>
        <w:autoSpaceDN w:val="0"/>
        <w:adjustRightInd w:val="0"/>
        <w:ind w:left="480" w:hanging="480"/>
        <w:rPr>
          <w:noProof/>
        </w:rPr>
      </w:pPr>
      <w:r w:rsidRPr="002E779E">
        <w:rPr>
          <w:noProof/>
        </w:rPr>
        <w:t>Stephen B. Bevans, SVD. “Models of Contextual Theology.” Maryknoll, New York, USA: Orbis Books, 2002.</w:t>
      </w:r>
    </w:p>
    <w:p w14:paraId="63655F6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Stott, John R. W. 1921-2011. </w:t>
      </w:r>
      <w:r w:rsidRPr="002E779E">
        <w:rPr>
          <w:i/>
          <w:iCs/>
          <w:noProof/>
        </w:rPr>
        <w:t>The Contemporary Christian  an Urgent Plea for Double Listening</w:t>
      </w:r>
      <w:r w:rsidRPr="002E779E">
        <w:rPr>
          <w:noProof/>
        </w:rPr>
        <w:t>. [Leicester]: Inter-Varsity Press, 1993.</w:t>
      </w:r>
    </w:p>
    <w:p w14:paraId="4309B74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Susabda, Yakub B. </w:t>
      </w:r>
      <w:r w:rsidRPr="002E779E">
        <w:rPr>
          <w:i/>
          <w:iCs/>
          <w:noProof/>
        </w:rPr>
        <w:t>Konseling Pastoral: Sebuah Pengantar</w:t>
      </w:r>
      <w:r w:rsidRPr="002E779E">
        <w:rPr>
          <w:noProof/>
        </w:rPr>
        <w:t>. Malang: Gandum Mas, 1997.</w:t>
      </w:r>
    </w:p>
    <w:p w14:paraId="66C8F5D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Thomas F Torrance. </w:t>
      </w:r>
      <w:r w:rsidRPr="002E779E">
        <w:rPr>
          <w:i/>
          <w:iCs/>
          <w:noProof/>
        </w:rPr>
        <w:t>Reality &amp; Evangelical Theology : The Realism of Christian Revelation</w:t>
      </w:r>
      <w:r w:rsidRPr="002E779E">
        <w:rPr>
          <w:noProof/>
        </w:rPr>
        <w:t>. Wipf and Stock Publishers, 2003.</w:t>
      </w:r>
    </w:p>
    <w:p w14:paraId="468CD54F" w14:textId="77777777" w:rsidR="002E779E" w:rsidRPr="002E779E" w:rsidRDefault="002E779E" w:rsidP="002E779E">
      <w:pPr>
        <w:widowControl w:val="0"/>
        <w:autoSpaceDE w:val="0"/>
        <w:autoSpaceDN w:val="0"/>
        <w:adjustRightInd w:val="0"/>
        <w:ind w:left="480" w:hanging="480"/>
        <w:rPr>
          <w:noProof/>
        </w:rPr>
      </w:pPr>
      <w:r w:rsidRPr="002E779E">
        <w:rPr>
          <w:i/>
          <w:iCs/>
          <w:noProof/>
        </w:rPr>
        <w:t>Theologia Crucis: Salib Kristus</w:t>
      </w:r>
      <w:r w:rsidRPr="002E779E">
        <w:rPr>
          <w:noProof/>
        </w:rPr>
        <w:t>. Jakarta: Reformed Institute, 2006.</w:t>
      </w:r>
    </w:p>
    <w:p w14:paraId="64C4E3FF" w14:textId="65D70F43" w:rsidR="002E779E" w:rsidRDefault="002E779E">
      <w:pPr>
        <w:ind w:left="360" w:hanging="360"/>
        <w:jc w:val="both"/>
      </w:pPr>
      <w:r>
        <w:fldChar w:fldCharType="end"/>
      </w:r>
    </w:p>
    <w:sectPr w:rsidR="002E779E">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AA859" w14:textId="77777777" w:rsidR="00E01239" w:rsidRDefault="00E01239">
      <w:r>
        <w:separator/>
      </w:r>
    </w:p>
  </w:endnote>
  <w:endnote w:type="continuationSeparator" w:id="0">
    <w:p w14:paraId="5C124B7C" w14:textId="77777777" w:rsidR="00E01239" w:rsidRDefault="00E01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DE116C5-5645-4A5D-A5C0-F6EB17EA0FBF}"/>
    <w:embedBold r:id="rId2" w:fontKey="{9BD09D8E-B1A0-40BB-B501-94472A672F5C}"/>
  </w:font>
  <w:font w:name="Calibri">
    <w:panose1 w:val="020F0502020204030204"/>
    <w:charset w:val="00"/>
    <w:family w:val="swiss"/>
    <w:pitch w:val="variable"/>
    <w:sig w:usb0="E4002EFF" w:usb1="C200247B" w:usb2="00000009" w:usb3="00000000" w:csb0="000001FF" w:csb1="00000000"/>
    <w:embedRegular r:id="rId3" w:fontKey="{ADD38B02-28E5-4CF9-9045-1AE459DB1FDB}"/>
    <w:embedBold r:id="rId4" w:fontKey="{039C4BC4-7399-489A-A2B3-3B434D6FD2E0}"/>
    <w:embedItalic r:id="rId5" w:fontKey="{B1257648-5D2A-481E-A25E-DE3AE3A16C79}"/>
  </w:font>
  <w:font w:name="Calisto MT">
    <w:panose1 w:val="02040603050505030304"/>
    <w:charset w:val="00"/>
    <w:family w:val="roman"/>
    <w:pitch w:val="variable"/>
    <w:sig w:usb0="00000003" w:usb1="00000000" w:usb2="00000000" w:usb3="00000000" w:csb0="00000001" w:csb1="00000000"/>
    <w:embedRegular r:id="rId6" w:fontKey="{340C2DD5-ACA1-4893-9331-A7E5175F0374}"/>
    <w:embedBold r:id="rId7" w:fontKey="{CB940C1A-4EE3-465E-9D0E-4B739870DC65}"/>
  </w:font>
  <w:font w:name="Minion Pro">
    <w:panose1 w:val="02040503050306020203"/>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55D3AD4C-A999-4856-9065-2304485B1D21}"/>
    <w:embedItalic r:id="rId9" w:fontKey="{74435487-2173-4A84-8C93-305922E19325}"/>
  </w:font>
  <w:font w:name="Lustria">
    <w:altName w:val="Cambria"/>
    <w:charset w:val="00"/>
    <w:family w:val="auto"/>
    <w:pitch w:val="default"/>
    <w:embedRegular r:id="rId10" w:fontKey="{1EB30949-9A73-4952-9B73-B0914DEEE96D}"/>
    <w:embedBold r:id="rId11" w:fontKey="{18814E29-FFB4-4AFD-91F2-A80208CA9E47}"/>
    <w:embedItalic r:id="rId12" w:fontKey="{5B2B8A0F-EBE6-4984-B7CB-C93078755E9F}"/>
  </w:font>
  <w:font w:name="Calibri Light">
    <w:panose1 w:val="020F0302020204030204"/>
    <w:charset w:val="00"/>
    <w:family w:val="swiss"/>
    <w:pitch w:val="variable"/>
    <w:sig w:usb0="E4002EFF" w:usb1="C200247B" w:usb2="00000009" w:usb3="00000000" w:csb0="000001FF" w:csb1="00000000"/>
    <w:embedRegular r:id="rId13" w:fontKey="{B95496EC-5DF1-4408-8586-554ED5559A2F}"/>
    <w:embedBold r:id="rId14" w:fontKey="{9A55B58F-0788-4247-9533-EB40F7F919C2}"/>
  </w:font>
  <w:font w:name="EB Garamond">
    <w:altName w:val="Calibri"/>
    <w:charset w:val="00"/>
    <w:family w:val="auto"/>
    <w:pitch w:val="variable"/>
    <w:sig w:usb0="E00002FF" w:usb1="02000413" w:usb2="00000000" w:usb3="00000000" w:csb0="0000019F" w:csb1="00000000"/>
    <w:embedRegular r:id="rId15" w:fontKey="{B54DAC8A-45EF-407D-9779-5365E3E1461C}"/>
  </w:font>
  <w:font w:name="Cambria">
    <w:panose1 w:val="02040503050406030204"/>
    <w:charset w:val="00"/>
    <w:family w:val="roman"/>
    <w:pitch w:val="variable"/>
    <w:sig w:usb0="E00006FF" w:usb1="420024FF" w:usb2="02000000" w:usb3="00000000" w:csb0="0000019F" w:csb1="00000000"/>
    <w:embedRegular r:id="rId16" w:fontKey="{0DE354BD-5214-4E29-A970-9C6B765B776A}"/>
    <w:embedBoldItalic r:id="rId17" w:fontKey="{9A65E91E-7E34-4FAA-8D33-C9A06F6488DD}"/>
  </w:font>
  <w:font w:name="Garamond">
    <w:panose1 w:val="02020404030301010803"/>
    <w:charset w:val="00"/>
    <w:family w:val="roman"/>
    <w:pitch w:val="variable"/>
    <w:sig w:usb0="00000287" w:usb1="00000000" w:usb2="00000000" w:usb3="00000000" w:csb0="0000009F" w:csb1="00000000"/>
    <w:embedRegular r:id="rId18" w:fontKey="{171F0121-8A7B-45FA-9E13-9390EEE14E43}"/>
  </w:font>
  <w:font w:name="Corben">
    <w:charset w:val="00"/>
    <w:family w:val="auto"/>
    <w:pitch w:val="default"/>
    <w:embedRegular r:id="rId19" w:fontKey="{636D6B23-6283-47C3-B16A-1FD46962915C}"/>
  </w:font>
  <w:font w:name="Verdana">
    <w:panose1 w:val="020B0604030504040204"/>
    <w:charset w:val="00"/>
    <w:family w:val="swiss"/>
    <w:pitch w:val="variable"/>
    <w:sig w:usb0="A00006FF" w:usb1="4000205B" w:usb2="00000010" w:usb3="00000000" w:csb0="0000019F" w:csb1="00000000"/>
    <w:embedRegular r:id="rId20" w:fontKey="{DDC2B7ED-BDCE-408F-ADCA-661C36786A34}"/>
    <w:embedBold r:id="rId21" w:fontKey="{21673801-929B-4874-8C64-ED99A79419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18F1" w14:textId="77777777" w:rsidR="001366A2" w:rsidRDefault="001366A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863" w14:textId="77777777" w:rsidR="001366A2" w:rsidRDefault="001366A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803B" w14:textId="77777777" w:rsidR="001366A2" w:rsidRDefault="001366A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CE03D" w14:textId="77777777" w:rsidR="00E01239" w:rsidRDefault="00E01239">
      <w:r>
        <w:separator/>
      </w:r>
    </w:p>
  </w:footnote>
  <w:footnote w:type="continuationSeparator" w:id="0">
    <w:p w14:paraId="12F214C2" w14:textId="77777777" w:rsidR="00E01239" w:rsidRDefault="00E01239">
      <w:r>
        <w:continuationSeparator/>
      </w:r>
    </w:p>
  </w:footnote>
  <w:footnote w:id="1">
    <w:p w14:paraId="478CA429" w14:textId="5D4795F3"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","type":"book"},"locator":"2-5","uris":["http://www.mendeley.com/documents/?uuid=db9cdd4e-3846-3758-abc8-c0dc9ce216b7","http://www.mendeley.com/documents/?uuid=235d4bf7-d27f-48ca-820f-cf8a1b8211bd"]}],"mendeley":{"formattedCitation":"Stanley J. Grenz, &lt;i&gt;A Primer on Postmodernism &lt;/i&gt;, &lt;i&gt;Grand Rapids &lt;/i&gt; (Michigan: Grand Rapids, 1996), 2–5.","plainTextFormattedCitation":"Stanley J. Grenz, A Primer on Postmodernism , Grand Rapids  (Michigan: Grand Rapids, 1996), 2–5.","previouslyFormattedCitation":"Stanley J. Grenz, &lt;i&gt;A Primer on Postmodernism &lt;/i&gt;, &lt;i&gt;Grand Rapids &lt;/i&gt; (Michigan: Grand Rapids, 1996), 2–5, diakses Agustus 12, 2025, https://www.google.co.id/books/edition/A_Primer_on_Postmodernism/gBTTKIqz5mEC?hl=id&amp;gbpv=1&amp;dq=Stanley+J.+Grenz,+A+Primer+on+Postmodernism&amp;pg=PA191&amp;printsec=frontcover."},"properties":{"noteIndex":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 xml:space="preserve">, </w:t>
      </w:r>
      <w:r w:rsidRPr="00C71822">
        <w:rPr>
          <w:rFonts w:ascii="Times New Roman" w:hAnsi="Times New Roman" w:cs="Times New Roman"/>
          <w:i/>
          <w:noProof/>
        </w:rPr>
        <w:t xml:space="preserve">Grand Rapids </w:t>
      </w:r>
      <w:r w:rsidRPr="00C71822">
        <w:rPr>
          <w:rFonts w:ascii="Times New Roman" w:hAnsi="Times New Roman" w:cs="Times New Roman"/>
          <w:noProof/>
        </w:rPr>
        <w:t xml:space="preserve"> (Michigan: Grand Rapids, 1996), 2–5.</w:t>
      </w:r>
      <w:r w:rsidRPr="00C71822">
        <w:rPr>
          <w:rFonts w:ascii="Times New Roman" w:hAnsi="Times New Roman" w:cs="Times New Roman"/>
        </w:rPr>
        <w:fldChar w:fldCharType="end"/>
      </w:r>
    </w:p>
  </w:footnote>
  <w:footnote w:id="2">
    <w:p w14:paraId="79829E0B" w14:textId="4E9F18BA"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{"citationItems":[{"id":"ITEM-1","itemData":{"ISBN":"9780816611737","author":[{"dropping-particle":"","family":"Lyotard","given":"Jean-François","non-dropping-particle":"","parse-names":false,"suffix":""}],"id":"ITEM-1","issued":{"date-parts":[["1984"]]},"publisher":"University of Minnesota Press","publisher-place":"Minneapolis","title":"The Postmodern Condition: A Report on Knowledge","type":"book"},"locator":"71","uris":["http://www.mendeley.com/documents/?uuid=8117cd37-5bd9-4252-8ac0-563005cbadbc","http://www.mendeley.com/documents/?uuid=9298f3d0-e5df-4065-997c-3089e18251d7"]}],"mendeley":{"formattedCitation":"Jean-François Lyotard, &lt;i&gt;The Postmodern Condition: A Report on Knowledge&lt;/i&gt; (Minneapolis: University of Minnesota Press, 1984), 71.","plainTextFormattedCitation":"Jean-François Lyotard, The Postmodern Condition: A Report on Knowledge (Minneapolis: University of Minnesota Press, 1984), 71.","previouslyFormattedCitation":"Jean-François Lyotard, &lt;i&gt;The Postmodern Condition: A Report on Knowledge&lt;/i&gt; (Minneapolis: University of Minnesota Press, 1984), 71."},"properties":{"noteIndex":2},"schema":"https://github.com/citation-style-language/schema/raw/master/csl-citation.json"}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Jean-François Lyotard, </w:t>
      </w:r>
      <w:r w:rsidRPr="00C71822">
        <w:rPr>
          <w:rFonts w:ascii="Times New Roman" w:hAnsi="Times New Roman" w:cs="Times New Roman"/>
          <w:i/>
          <w:noProof/>
        </w:rPr>
        <w:t>The Postmodern Condition: A Report on Knowledge</w:t>
      </w:r>
      <w:r w:rsidRPr="00C71822">
        <w:rPr>
          <w:rFonts w:ascii="Times New Roman" w:hAnsi="Times New Roman" w:cs="Times New Roman"/>
          <w:noProof/>
        </w:rPr>
        <w:t xml:space="preserve"> (Minneapolis: University of Minnesota Press, 1984), 71.</w:t>
      </w:r>
      <w:r w:rsidRPr="00C71822">
        <w:rPr>
          <w:rFonts w:ascii="Times New Roman" w:hAnsi="Times New Roman" w:cs="Times New Roman"/>
        </w:rPr>
        <w:fldChar w:fldCharType="end"/>
      </w:r>
    </w:p>
  </w:footnote>
  <w:footnote w:id="3">
    <w:p w14:paraId="22F61471" w14:textId="285B5936"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Christianity","type":"article"},"locator":"19-22","uris":["http://www.mendeley.com/documents/?uuid=466bdd54-0552-3321-a364-9d80ebcca0a2","http://www.mendeley.com/documents/?uuid=55e41519-be9e-414c-b6b3-673fbc3ee9a9"]}],"mendeley":{"formattedCitation":"D. A. Carson, “The Gagging of God: Christianity” (Michigan: Zondervan, 2009), 19–22.","plainTextFormattedCitation":"D. A. Carson, “The Gagging of God: Christianity” (Michigan: Zondervan, 2009), 19–22.","previouslyFormattedCitation":"D.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Chr."},"properties":{"noteIndex":3},"schema":"https://github.com/citation-style-language/schema/raw/master/csl-citation.json"}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D. A. Carson, “The Gagging of God: Christianity” (Michigan: Zondervan, 2009), 19–22.</w:t>
      </w:r>
      <w:r w:rsidRPr="00C71822">
        <w:rPr>
          <w:rFonts w:ascii="Times New Roman" w:hAnsi="Times New Roman" w:cs="Times New Roman"/>
        </w:rPr>
        <w:fldChar w:fldCharType="end"/>
      </w:r>
    </w:p>
  </w:footnote>
  <w:footnote w:id="4">
    <w:p w14:paraId="557B040C" w14:textId="22BDD7F6"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{"citationItems":[{"id":"ITEM-1","itemData":{"ISBN":"9780801031670","author":[{"dropping-particle":"","family":"Kevin J. Vanhoozer","given":"Charles A. Andersonand Michael J. Sleasman","non-dropping-particle":"","parse-names":false,"suffix":""}],"id":"ITEM-1","issued":{"date-parts":[["2007"]]},"publisher":"Baker Academic ","publisher-place":"USA","title":"Everyday Theology (Cultural Exegesis): How to Read Cultural Texts and Interpret Trends ","type":"book"},"locator":"23-26","uris":["http://www.mendeley.com/documents/?uuid=f2d0874b-a0ef-361e-8dcb-e6ebd3446c56","http://www.mendeley.com/documents/?uuid=ba41fd5d-bba3-4e81-b613-fb3f7f465bf3"]}],"mendeley":{"formattedCitation":"Charles A. Andersonand Michael J. Sleasman Kevin J. Vanhoozer, &lt;i&gt;Everyday Theology (Cultural Exegesis): How to Read Cultural Texts and Interpret Trends &lt;/i&gt; (USA: Baker Academic , 2007), 23–26.","plainTextFormattedCitation":"Charles A. Andersonand Michael J. Sleasman Kevin J. Vanhoozer, Everyday Theology (Cultural Exegesis): How to Read Cultural Texts and Interpret Trends  (USA: Baker Academic , 2007), 23–26.","previouslyFormattedCitation":"Charles A. Andersonand Michael J. Sleasman Kevin J. Vanhoozer, &lt;i&gt;Everyday Theology (Cultural Exegesis): How to Read Cultural Texts and Interpret Trends &lt;/i&gt;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Trends&amp;f=false."},"properties":{"noteIndex":4},"schema":"https://github.com/citation-style-language/schema/raw/master/csl-citation.json"}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Charles A. Andersonand Michael J. Sleasman Kevin J. Vanhoozer, </w:t>
      </w:r>
      <w:r w:rsidRPr="00C71822">
        <w:rPr>
          <w:rFonts w:ascii="Times New Roman" w:hAnsi="Times New Roman" w:cs="Times New Roman"/>
          <w:i/>
          <w:noProof/>
        </w:rPr>
        <w:t xml:space="preserve">Everyday Theology (Cultural Exegesis): How to Read Cultural Texts and Interpret Trends </w:t>
      </w:r>
      <w:r w:rsidRPr="00C71822">
        <w:rPr>
          <w:rFonts w:ascii="Times New Roman" w:hAnsi="Times New Roman" w:cs="Times New Roman"/>
          <w:noProof/>
        </w:rPr>
        <w:t xml:space="preserve"> (USA: Baker Academic , 2007), 23–26.</w:t>
      </w:r>
      <w:r w:rsidRPr="00C71822">
        <w:rPr>
          <w:rFonts w:ascii="Times New Roman" w:hAnsi="Times New Roman" w:cs="Times New Roman"/>
        </w:rPr>
        <w:fldChar w:fldCharType="end"/>
      </w:r>
    </w:p>
  </w:footnote>
  <w:footnote w:id="5">
    <w:p w14:paraId="6B5727C2" w14:textId="7DB718FB"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6">
    <w:p w14:paraId="099D30CB" w14:textId="09F89CC7"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3–7."},"properties":{"noteIndex":6},"schema":"https://github.com/citation-style-language/schema/raw/master/csl-citation.json"}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7">
    <w:p w14:paraId="6E65A433" w14:textId="38D3C2A0"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{"citationItems":[{"id":"ITEM-1","itemData":{"ISBN":"9780300042481","author":[{"dropping-particle":"","family":"Hick","given":"John","non-dropping-particle":"","parse-names":false,"suffix":""}],"id":"ITEM-1","issued":{"date-parts":[["1989"]]},"publisher":"Yale University Press","publisher-place":"New Haven, CT","title":"An Interpretation of Religion: Human Responses to the Transcendent","type":"book"},"locator":"233-236","uris":["http://www.mendeley.com/documents/?uuid=b950391f-507f-4643-bd5e-cf7e4f94fe1c","http://www.mendeley.com/documents/?uuid=1f0fd65e-78f2-46c5-a41d-0ba1964d330f"]}],"mendeley":{"formattedCitation":"John Hick, &lt;i&gt;An Interpretation of Religion: Human Responses to the Transcendent&lt;/i&gt; (New Haven, CT: Yale University Press, 1989), 233–236.","plainTextFormattedCitation":"John Hick, An Interpretation of Religion: Human Responses to the Transcendent (New Haven, CT: Yale University Press, 1989), 233–236.","previouslyFormattedCitation":"John Hick, &lt;i&gt;An Interpretation of Religion: Human Responses to the Transcendent&lt;/i&gt; (New Haven, CT: Yale University Press, 1989), 233–236."},"properties":{"noteIndex":7},"schema":"https://github.com/citation-style-language/schema/raw/master/csl-citation.json"}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Hick, </w:t>
      </w:r>
      <w:r w:rsidRPr="00C71822">
        <w:rPr>
          <w:rFonts w:ascii="Times New Roman" w:hAnsi="Times New Roman" w:cs="Times New Roman"/>
          <w:i/>
          <w:noProof/>
        </w:rPr>
        <w:t>An Interpretation of Religion: Human Responses to the Transcendent</w:t>
      </w:r>
      <w:r w:rsidRPr="00C71822">
        <w:rPr>
          <w:rFonts w:ascii="Times New Roman" w:hAnsi="Times New Roman" w:cs="Times New Roman"/>
          <w:noProof/>
        </w:rPr>
        <w:t xml:space="preserve"> (New Haven, CT: Yale University Press, 1989), 233–236.</w:t>
      </w:r>
      <w:r w:rsidRPr="00C71822">
        <w:rPr>
          <w:rFonts w:ascii="Times New Roman" w:hAnsi="Times New Roman" w:cs="Times New Roman"/>
        </w:rPr>
        <w:fldChar w:fldCharType="end"/>
      </w:r>
    </w:p>
  </w:footnote>
  <w:footnote w:id="8">
    <w:p w14:paraId="4C592B2B" w14:textId="0CD9AF59"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Society","type":"book"},"locator":"1-3","uris":["http://www.mendeley.com/documents/?uuid=eb8ccbd9-0509-4454-8b4f-31f8b5a5a168","http://www.mendeley.com/documents/?uuid=9248b858-9e30-46d9-ae82-354451cb843d"]}],"mendeley":{"formattedCitation":"Lesslie Newbigin, &lt;i&gt;The Gospel in a Pluralist Society&lt;/i&gt; (London: SPCK, 2022), 1–3.","plainTextFormattedCitation":"Lesslie Newbigin, The Gospel in a Pluralist Society (London: SPCK, 2022), 1–3.","previouslyFormattedCitation":"Lesslie Newbigin, &lt;i&gt;The Gospel in a Pluralist Society&lt;/i&gt; (London: SPCK, 2022), 1–3."},"properties":{"noteIndex":8},"schema":"https://github.com/citation-style-language/schema/raw/master/csl-citation.json"}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Lesslie 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 xml:space="preserve"> (London: SPCK, 2022), 1–3.</w:t>
      </w:r>
      <w:r w:rsidRPr="00C71822">
        <w:rPr>
          <w:rFonts w:ascii="Times New Roman" w:hAnsi="Times New Roman" w:cs="Times New Roman"/>
        </w:rPr>
        <w:fldChar w:fldCharType="end"/>
      </w:r>
    </w:p>
  </w:footnote>
  <w:footnote w:id="9">
    <w:p w14:paraId="13D9E72B" w14:textId="71B5909E"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Mission","type":"book"},"uris":["http://www.mendeley.com/documents/?uuid=ec6ed83b-f310-3b0c-b852-78d58fb470f8","http://www.mendeley.com/documents/?uuid=03cf76b1-a883-4d97-886b-faf8345a8b46"]}],"mendeley":{"formattedCitation":"David J. Bosch, &lt;i&gt;Transforming Mission: Paradigm Shifts in Theology of Mission&lt;/i&gt; (Maryknoll: Orbis Books, 2011).","plainTextFormattedCitation":"David J. Bosch, Transforming Mission: Paradigm Shifts in Theology of Mission (Maryknoll: Orbis Books, 2011).","previouslyFormattedCitation":"David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2011)%2C&amp;f=false."},"properties":{"noteIndex":9},"schema":"https://github.com/citation-style-language/schema/raw/master/csl-citation.json"}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 xml:space="preserve"> (Maryknoll: Orbis Books, 2011).</w:t>
      </w:r>
      <w:r w:rsidRPr="00C71822">
        <w:rPr>
          <w:rFonts w:ascii="Times New Roman" w:hAnsi="Times New Roman" w:cs="Times New Roman"/>
        </w:rPr>
        <w:fldChar w:fldCharType="end"/>
      </w:r>
    </w:p>
  </w:footnote>
  <w:footnote w:id="10">
    <w:p w14:paraId="2986083B" w14:textId="3E63A016"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{"citationItems":[{"id":"ITEM-1","itemData":{"author":[{"dropping-particle":"","family":"Hiebert","given":"Paul G.","non-dropping-particle":"","parse-names":false,"suffix":""}],"id":"ITEM-1","issued":{"date-parts":[["1985"]]},"publisher":"Baker Book House","publisher-place":"Grand Rapids, Michigan, USA","title":"Anthropological Insights for Missionaries","type":"book"},"locator":"171-174","uris":["http://www.mendeley.com/documents/?uuid=84c17fa7-99c3-4250-bfbd-4d937a217e36","http://www.mendeley.com/documents/?uuid=2a48be5b-aeb2-40a0-adf6-6f152cd9fdd5"]}],"mendeley":{"formattedCitation":"Paul G. Hiebert, &lt;i&gt;Anthropological Insights for Missionaries&lt;/i&gt; (Grand Rapids, Michigan, USA: Baker Book House, 1985), 171–174.","plainTextFormattedCitation":"Paul G. Hiebert, Anthropological Insights for Missionaries (Grand Rapids, Michigan, USA: Baker Book House, 1985), 171–174.","previouslyFormattedCitation":"Paul G. Hiebert, &lt;i&gt;Anthropological Insights for Missionaries&lt;/i&gt; (Grand Rapids, Michigan, USA: Baker Book House, 1985), 171–174."},"properties":{"noteIndex":10},"schema":"https://github.com/citation-style-language/schema/raw/master/csl-citation.json"}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Paul G. Hiebert, </w:t>
      </w:r>
      <w:r w:rsidRPr="00C71822">
        <w:rPr>
          <w:rFonts w:ascii="Times New Roman" w:hAnsi="Times New Roman" w:cs="Times New Roman"/>
          <w:i/>
          <w:noProof/>
        </w:rPr>
        <w:t>Anthropological Insights for Missionaries</w:t>
      </w:r>
      <w:r w:rsidRPr="00C71822">
        <w:rPr>
          <w:rFonts w:ascii="Times New Roman" w:hAnsi="Times New Roman" w:cs="Times New Roman"/>
          <w:noProof/>
        </w:rPr>
        <w:t xml:space="preserve"> (Grand Rapids, Michigan, USA: Baker Book House, 1985), 171–174.</w:t>
      </w:r>
      <w:r w:rsidRPr="00C71822">
        <w:rPr>
          <w:rFonts w:ascii="Times New Roman" w:hAnsi="Times New Roman" w:cs="Times New Roman"/>
        </w:rPr>
        <w:fldChar w:fldCharType="end"/>
      </w:r>
    </w:p>
  </w:footnote>
  <w:footnote w:id="11">
    <w:p w14:paraId="15F68E56" w14:textId="41105044"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Theology","type":"chapter"},"locator":"5-7","uris":["http://www.mendeley.com/documents/?uuid=afeb8a6d-46b2-4a52-b969-6ea43d5109fd","http://www.mendeley.com/documents/?uuid=056a0c72-dddc-4048-bb52-1ee62d906166"]}],"mendeley":{"formattedCitation":"SVD Stephen B. Bevans, “Models of Contextual Theology” (Maryknoll, New York, USA: Orbis Books, 2002), 5–7.","plainTextFormattedCitation":"SVD Stephen B. Bevans, “Models of Contextual Theology” (Maryknoll, New York, USA: Orbis Books, 2002), 5–7.","previouslyFormattedCitation":"SVD Stephen B. Bevans, “Models of Contextual Theology” (Maryknoll, New York, USA: Orbis Books, 2002), 5–7."},"properties":{"noteIndex":11},"schema":"https://github.com/citation-style-language/schema/raw/master/csl-citation.json"}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SVD Stephen B. Bevans, “Models of Contextual Theology” (Maryknoll, New York, USA: Orbis Books, 2002), 5–7.</w:t>
      </w:r>
      <w:r w:rsidRPr="00C71822">
        <w:rPr>
          <w:rFonts w:ascii="Times New Roman" w:hAnsi="Times New Roman" w:cs="Times New Roman"/>
        </w:rPr>
        <w:fldChar w:fldCharType="end"/>
      </w:r>
    </w:p>
  </w:footnote>
  <w:footnote w:id="12">
    <w:p w14:paraId="51388034" w14:textId="71D7686D"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{"citationItems":[{"id":"ITEM-1","itemData":{"ISBN":"9781412916073","author":[{"dropping-particle":"","family":"John W. Creswell","given":"","non-dropping-particle":"","parse-names":false,"suffix":""}],"container-title":"Sage","id":"ITEM-1","issued":{"date-parts":[["2007"]]},"number-of-pages":"395 hal","publisher":"Sage Publications, Inc.","publisher-place":"California","title":"Second Edition Qualitative Inquiry &amp; Research Design Choosing Among Five Approaches","type":"book"},"locator":"50-52","uris":["http://www.mendeley.com/documents/?uuid=d35a9f6c-2ea6-38b5-8a43-1da85ed4b5d5","http://www.mendeley.com/documents/?uuid=56a6f249-2e54-4fc2-a6b7-23a36da91c95"]}],"mendeley":{"formattedCitation":"John W. Creswell, &lt;i&gt;Second Edition Qualitative Inquiry &amp; Research Design Choosing Among Five Approaches&lt;/i&gt;, &lt;i&gt;Sage&lt;/i&gt; (California: Sage Publications, Inc., 2007), 50–52.","plainTextFormattedCitation":"John W. Creswell, Second Edition Qualitative Inquiry &amp; Research Design Choosing Among Five Approaches, Sage (California: Sage Publications, Inc., 2007), 50–52.","previouslyFormattedCitation":"John W. Creswell, &lt;i&gt;Second Edition Qualitative Inquiry &amp; Research Design Choosing Among Five Approaches&lt;/i&gt;, &lt;i&gt;Sage&lt;/i&gt; (California: Sage Publications, Inc., 2007), 50–52."},"properties":{"noteIndex":12},"schema":"https://github.com/citation-style-language/schema/raw/master/csl-citation.json"}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W. Creswell, </w:t>
      </w:r>
      <w:r w:rsidRPr="00C71822">
        <w:rPr>
          <w:rFonts w:ascii="Times New Roman" w:hAnsi="Times New Roman" w:cs="Times New Roman"/>
          <w:i/>
          <w:noProof/>
        </w:rPr>
        <w:t>Second Edition Qualitative Inquiry &amp; Research Design Choosing Among Five Approaches</w:t>
      </w:r>
      <w:r w:rsidRPr="00C71822">
        <w:rPr>
          <w:rFonts w:ascii="Times New Roman" w:hAnsi="Times New Roman" w:cs="Times New Roman"/>
          <w:noProof/>
        </w:rPr>
        <w:t xml:space="preserve">, </w:t>
      </w:r>
      <w:r w:rsidRPr="00C71822">
        <w:rPr>
          <w:rFonts w:ascii="Times New Roman" w:hAnsi="Times New Roman" w:cs="Times New Roman"/>
          <w:i/>
          <w:noProof/>
        </w:rPr>
        <w:t>Sage</w:t>
      </w:r>
      <w:r w:rsidRPr="00C71822">
        <w:rPr>
          <w:rFonts w:ascii="Times New Roman" w:hAnsi="Times New Roman" w:cs="Times New Roman"/>
          <w:noProof/>
        </w:rPr>
        <w:t xml:space="preserve"> (California: Sage Publications, Inc., 2007), 50–52.</w:t>
      </w:r>
      <w:r w:rsidRPr="00C71822">
        <w:rPr>
          <w:rFonts w:ascii="Times New Roman" w:hAnsi="Times New Roman" w:cs="Times New Roman"/>
        </w:rPr>
        <w:fldChar w:fldCharType="end"/>
      </w:r>
    </w:p>
  </w:footnote>
  <w:footnote w:id="13">
    <w:p w14:paraId="7F9B380F" w14:textId="0CBB691B" w:rsidR="001366A2" w:rsidRPr="00C71822" w:rsidRDefault="001366A2" w:rsidP="00EC38BA">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979-8658-16-7","author":[{"dropping-particle":"","family":"MS","given":"Kaelan","non-dropping-particle":"","parse-names":false,"suffix":""}],"id":"ITEM-1","issued":{"date-parts":[["2005"]]},"publisher":"Paradigma","publisher-place":"Yogyakarta.","title":"Metode Penelitian Kualitatif Bidang Filsafat","type":"book"},"uris":["http://www.mendeley.com/documents/?uuid=e6fc4bf3-6f30-4aad-a8ee-a6f6f59e9908","http://www.mendeley.com/documents/?uuid=7ae6fe93-4b4d-44ba-b0f9-11a5bd8cddef"]}],"mendeley":{"formattedCitation":"Kaelan MS, &lt;i&gt;Metode Penelitian Kualitatif Bidang Filsafat&lt;/i&gt; (Yogyakarta.: Paradigma, 2005).","plainTextFormattedCitation":"Kaelan MS, Metode Penelitian Kualitatif Bidang Filsafat (Yogyakarta.: Paradigma, 2005).","previouslyFormattedCitation":"Kaelan MS, &lt;i&gt;Metode Penelitian Kualitatif Bidang Filsafat&lt;/i&gt; (Yogyakarta.: Paradigma, 2005)."},"properties":{"noteIndex":13},"schema":"https://github.com/citation-style-language/schema/raw/master/csl-citation.json"}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Kaelan MS, </w:t>
      </w:r>
      <w:r w:rsidRPr="00C71822">
        <w:rPr>
          <w:rFonts w:ascii="Times New Roman" w:hAnsi="Times New Roman" w:cs="Times New Roman"/>
          <w:i/>
          <w:noProof/>
          <w:lang w:val="sv-SE"/>
        </w:rPr>
        <w:t>Metode Penelitian Kualitatif Bidang Filsafat</w:t>
      </w:r>
      <w:r w:rsidRPr="00C71822">
        <w:rPr>
          <w:rFonts w:ascii="Times New Roman" w:hAnsi="Times New Roman" w:cs="Times New Roman"/>
          <w:noProof/>
          <w:lang w:val="sv-SE"/>
        </w:rPr>
        <w:t xml:space="preserve"> (Yogyakarta.: Paradigma, 2005).</w:t>
      </w:r>
      <w:r w:rsidRPr="00C71822">
        <w:rPr>
          <w:rFonts w:ascii="Times New Roman" w:hAnsi="Times New Roman" w:cs="Times New Roman"/>
        </w:rPr>
        <w:fldChar w:fldCharType="end"/>
      </w:r>
    </w:p>
  </w:footnote>
  <w:footnote w:id="14">
    <w:p w14:paraId="60CEF06A" w14:textId="690713F6"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Injil","type":"book"},"locator":"15","uris":["http://www.mendeley.com/documents/?uuid=d3a72026-ddab-4d80-9b61-2b98f99eceec","http://www.mendeley.com/documents/?uuid=88d23f1c-cf8f-4250-b81c-6ddf956a91dd"]}],"mendeley":{"formattedCitation":"Stanley J. Grenz, &lt;i&gt;Teologi Postmodernisme: Membaca Budaya Dengan Kacamata Injil&lt;/i&gt; (Jakarta: BPK Gunung Mulia, 2002), 15.","plainTextFormattedCitation":"Stanley J. Grenz, Teologi Postmodernisme: Membaca Budaya Dengan Kacamata Injil (Jakarta: BPK Gunung Mulia, 2002), 15.","previouslyFormattedCitation":"Stanley J. Grenz, &lt;i&gt;Teologi Postmodernisme: Membaca Budaya dengan Kacamata Injil&lt;/i&gt; (Jakarta: BPK Gunung Mulia, 2002), 15."},"properties":{"noteIndex":14},"schema":"https://github.com/citation-style-language/schema/raw/master/csl-citation.json"}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Stanley J. Grenz, </w:t>
      </w:r>
      <w:r w:rsidRPr="00C71822">
        <w:rPr>
          <w:rFonts w:ascii="Times New Roman" w:hAnsi="Times New Roman" w:cs="Times New Roman"/>
          <w:i/>
          <w:noProof/>
          <w:lang w:val="sv-SE"/>
        </w:rPr>
        <w:t>Teologi Postmodernisme: Membaca Budaya Dengan Kacamata Injil</w:t>
      </w:r>
      <w:r w:rsidRPr="00C71822">
        <w:rPr>
          <w:rFonts w:ascii="Times New Roman" w:hAnsi="Times New Roman" w:cs="Times New Roman"/>
          <w:noProof/>
          <w:lang w:val="sv-SE"/>
        </w:rPr>
        <w:t xml:space="preserve"> (Jakarta: BPK Gunung Mulia, 2002), 15.</w:t>
      </w:r>
      <w:r w:rsidRPr="00C71822">
        <w:rPr>
          <w:rFonts w:ascii="Times New Roman" w:hAnsi="Times New Roman" w:cs="Times New Roman"/>
        </w:rPr>
        <w:fldChar w:fldCharType="end"/>
      </w:r>
    </w:p>
  </w:footnote>
  <w:footnote w:id="15">
    <w:p w14:paraId="7DE9F7F5" w14:textId="1660E3A5"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-21-1769-1","author":[{"dropping-particle":"","family":"Lyotard","given":"Jean-François","non-dropping-particle":"","parse-names":false,"suffix":""}],"id":"ITEM-1","issued":{"date-parts":[["2009"]]},"publisher":"Kanisius","publisher-place":"Yogyakarta","title":"Kondisi Postmodern","type":"book"},"locator":"7","uris":["http://www.mendeley.com/documents/?uuid=beadca21-43ed-4c37-87b5-a77aff16d3e7","http://www.mendeley.com/documents/?uuid=78d07cb8-9aaf-4aa0-819a-6c17b2aa9f08"]}],"mendeley":{"formattedCitation":"Jean-François Lyotard, &lt;i&gt;Kondisi Postmodern&lt;/i&gt; (Yogyakarta: Kanisius, 2009), 7.","plainTextFormattedCitation":"Jean-François Lyotard, Kondisi Postmodern (Yogyakarta: Kanisius, 2009), 7.","previouslyFormattedCitation":"Jean-François Lyotard, &lt;i&gt;Kondisi Postmodern&lt;/i&gt; (Yogyakarta: Kanisius, 2009), 7."},"properties":{"noteIndex":15},"schema":"https://github.com/citation-style-language/schema/raw/master/csl-citation.json"}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Jean-François Lyotard, </w:t>
      </w:r>
      <w:r w:rsidRPr="00C71822">
        <w:rPr>
          <w:rFonts w:ascii="Times New Roman" w:hAnsi="Times New Roman" w:cs="Times New Roman"/>
          <w:i/>
          <w:noProof/>
          <w:lang w:val="sv-SE"/>
        </w:rPr>
        <w:t>Kondisi Postmodern</w:t>
      </w:r>
      <w:r w:rsidRPr="00C71822">
        <w:rPr>
          <w:rFonts w:ascii="Times New Roman" w:hAnsi="Times New Roman" w:cs="Times New Roman"/>
          <w:noProof/>
          <w:lang w:val="sv-SE"/>
        </w:rPr>
        <w:t xml:space="preserve"> (Yogyakarta: Kanisius, 2009), 7.</w:t>
      </w:r>
      <w:r w:rsidRPr="00C71822">
        <w:rPr>
          <w:rFonts w:ascii="Times New Roman" w:hAnsi="Times New Roman" w:cs="Times New Roman"/>
        </w:rPr>
        <w:fldChar w:fldCharType="end"/>
      </w:r>
    </w:p>
  </w:footnote>
  <w:footnote w:id="16">
    <w:p w14:paraId="13DA6FF6" w14:textId="59AADDF0"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{"citationItems":[{"id":"ITEM-1","itemData":{"author":[{"dropping-particle":"","family":"J. Richard Middleton","given":"Brian J. Walsh","non-dropping-particle":"","parse-names":false,"suffix":""}],"id":"ITEM-1","issued":{"date-parts":[["2010"]]},"publisher":"BPK Gunung Mulia","publisher-place":"Jakarta","title":"Kebenaran Subversif: Membaca Alkitab dalam Dunia Postmodern","type":"book"},"locator":"22","uris":["http://www.mendeley.com/documents/?uuid=ee27d840-b9a4-4f31-8ac7-cc7817b2c7a6","http://www.mendeley.com/documents/?uuid=90805b7c-be76-4a87-8604-6a2312b98879"]}],"mendeley":{"formattedCitation":"Brian J. Walsh J. Richard Middleton, &lt;i&gt;Kebenaran Subversif: Membaca Alkitab Dalam Dunia Postmodern&lt;/i&gt; (Jakarta: BPK Gunung Mulia, 2010), 22.","plainTextFormattedCitation":"Brian J. Walsh J. Richard Middleton, Kebenaran Subversif: Membaca Alkitab Dalam Dunia Postmodern (Jakarta: BPK Gunung Mulia, 2010), 22.","previouslyFormattedCitation":"Brian J. Walsh J. Richard Middleton, &lt;i&gt;Kebenaran Subversif: Membaca Alkitab dalam Dunia Postmodern&lt;/i&gt; (Jakarta: BPK Gunung Mulia, 2010), 22."},"properties":{"noteIndex":16},"schema":"https://github.com/citation-style-language/schema/raw/master/csl-citation.json"}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Brian J. Walsh J. Richard Middleton, </w:t>
      </w:r>
      <w:r w:rsidRPr="00C71822">
        <w:rPr>
          <w:rFonts w:ascii="Times New Roman" w:hAnsi="Times New Roman" w:cs="Times New Roman"/>
          <w:i/>
          <w:noProof/>
        </w:rPr>
        <w:t>Kebenaran Subversif: Membaca Alkitab Dalam Dunia Postmodern</w:t>
      </w:r>
      <w:r w:rsidRPr="00C71822">
        <w:rPr>
          <w:rFonts w:ascii="Times New Roman" w:hAnsi="Times New Roman" w:cs="Times New Roman"/>
          <w:noProof/>
        </w:rPr>
        <w:t xml:space="preserve"> (Jakarta: BPK Gunung Mulia, 2010), 22.</w:t>
      </w:r>
      <w:r w:rsidRPr="00C71822">
        <w:rPr>
          <w:rFonts w:ascii="Times New Roman" w:hAnsi="Times New Roman" w:cs="Times New Roman"/>
        </w:rPr>
        <w:fldChar w:fldCharType="end"/>
      </w:r>
    </w:p>
  </w:footnote>
  <w:footnote w:id="17">
    <w:p w14:paraId="3E05F0E2" w14:textId="4B6F326E"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{"citationItems":[{"id":"ITEM-1","itemData":{"author":[{"dropping-particle":"","family":"Carson","given":"D. A.","non-dropping-particle":"","parse-names":false,"suffix":""}],"id":"ITEM-1","issued":{"date-parts":[["2003"]]},"publisher":"Momentum","publisher-place":"Surabaya","title":"Kristen di Tengah Era Postmodern","type":"book"},"locator":"40","uris":["http://www.mendeley.com/documents/?uuid=c33cdb55-6690-4c73-98ec-bf656ad5858b","http://www.mendeley.com/documents/?uuid=10c3e228-3a06-4f96-949c-1cc7918fb029"]}],"mendeley":{"formattedCitation":"D. A. Carson, &lt;i&gt;Kristen Di Tengah Era Postmodern&lt;/i&gt; (Surabaya: Momentum, 2003), 40.","plainTextFormattedCitation":"D. A. Carson, Kristen Di Tengah Era Postmodern (Surabaya: Momentum, 2003), 40.","previouslyFormattedCitation":"D. A. Carson, &lt;i&gt;Kristen di Tengah Era Postmodern&lt;/i&gt; (Surabaya: Momentum, 2003), 40."},"properties":{"noteIndex":17},"schema":"https://github.com/citation-style-language/schema/raw/master/csl-citation.json"}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D. A. Carson, </w:t>
      </w:r>
      <w:r w:rsidRPr="00C71822">
        <w:rPr>
          <w:rFonts w:ascii="Times New Roman" w:hAnsi="Times New Roman" w:cs="Times New Roman"/>
          <w:i/>
          <w:noProof/>
          <w:lang w:val="sv-SE"/>
        </w:rPr>
        <w:t>Kristen Di Tengah Era Postmodern</w:t>
      </w:r>
      <w:r w:rsidRPr="00C71822">
        <w:rPr>
          <w:rFonts w:ascii="Times New Roman" w:hAnsi="Times New Roman" w:cs="Times New Roman"/>
          <w:noProof/>
          <w:lang w:val="sv-SE"/>
        </w:rPr>
        <w:t xml:space="preserve"> (Surabaya: Momentum, 2003), 40.</w:t>
      </w:r>
      <w:r w:rsidRPr="00C71822">
        <w:rPr>
          <w:rFonts w:ascii="Times New Roman" w:hAnsi="Times New Roman" w:cs="Times New Roman"/>
        </w:rPr>
        <w:fldChar w:fldCharType="end"/>
      </w:r>
    </w:p>
  </w:footnote>
  <w:footnote w:id="18">
    <w:p w14:paraId="04F6D0A4" w14:textId="01E2A9FD"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Katolik","id":"ITEM-1","issue":"2","issued":{"date-parts":[["2025","4"]]},"page":"16-37","publisher":"Asosiasi Riset Ilmu Manajemen dan Bisnis Indonesia","title":"Otoritas Alkitab dalam Era Postmodern","type":"article-journal","volume":"3"},"uris":["http://www.mendeley.com/documents/?uuid=d1fce5b6-cdac-3423-9f48-b97d8c2b5bea","http://www.mendeley.com/documents/?uuid=cd0a40f0-67e9-4edc-8f19-fdcbf0e75b75"]}],"mendeley":{"formattedCitation":"Budi Priyono and Arnold Tindas, “Otoritas Alkitab Dalam Era Postmodern,” &lt;i&gt;Tri Tunggal: Jurnal Pendidikan Kristen dan Katolik&lt;/i&gt; 3, no. 2 (April 2025): 16–37.","plainTextFormattedCitation":"Budi Priyono and Arnold Tindas, “Otoritas Alkitab Dalam Era Postmodern,” Tri Tunggal: Jurnal Pendidikan Kristen dan Katolik 3, no. 2 (April 2025): 16–37.","previouslyFormattedCitation":"Budi Priyono dan Arnold Tindas, “Otoritas Alkitab dalam Era Postmodern,” &lt;i&gt;Tri Tunggal: Jurnal Pendidikan Kristen dan Katolik&lt;/i&gt; 3, no. 2 (April 25, 2025): 16–37, diakses Agustus 20, 2025, https://journal.aripafi.or.id/index.php/tritunggal/article/view/1112."},"properties":{"noteIndex":18},"schema":"https://github.com/citation-style-language/schema/raw/master/csl-citation.json"}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Budi Priyono and Arnold Tindas, “Otoritas Alkitab Dalam Era Postmodern,” </w:t>
      </w:r>
      <w:r w:rsidRPr="00C71822">
        <w:rPr>
          <w:rFonts w:ascii="Times New Roman" w:hAnsi="Times New Roman" w:cs="Times New Roman"/>
          <w:i/>
          <w:noProof/>
          <w:lang w:val="sv-SE"/>
        </w:rPr>
        <w:t>Tri Tunggal: Jurnal Pendidikan Kristen dan Katolik</w:t>
      </w:r>
      <w:r w:rsidRPr="00C71822">
        <w:rPr>
          <w:rFonts w:ascii="Times New Roman" w:hAnsi="Times New Roman" w:cs="Times New Roman"/>
          <w:noProof/>
          <w:lang w:val="sv-SE"/>
        </w:rPr>
        <w:t xml:space="preserve"> 3, no. 2 (April 2025): 16–37.</w:t>
      </w:r>
      <w:r w:rsidRPr="00C71822">
        <w:rPr>
          <w:rFonts w:ascii="Times New Roman" w:hAnsi="Times New Roman" w:cs="Times New Roman"/>
        </w:rPr>
        <w:fldChar w:fldCharType="end"/>
      </w:r>
    </w:p>
  </w:footnote>
  <w:footnote w:id="19">
    <w:p w14:paraId="0BAEE272" w14:textId="0E2680ED"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{"citationItems":[{"id":"ITEM-1","itemData":{"ISBN":"9781421419954","author":[{"dropping-particle":"","family":"Jacques Derrida","given":"","non-dropping-particle":"","parse-names":false,"suffix":""}],"id":"ITEM-1","issued":{"date-parts":[["1976"]]},"publisher":"Johns Hopkins University Press","publisher-place":"Baltimore","title":"Of Grammatology ","type":"book"},"locator":"158-159","uris":["http://www.mendeley.com/documents/?uuid=bbb2c328-c72b-3bfe-986a-3cf2b4ffbdf1","http://www.mendeley.com/documents/?uuid=7767790c-b9ae-47da-ac9a-3ba4d493a563"]}],"mendeley":{"formattedCitation":"Jacques Derrida, &lt;i&gt;Of Grammatology &lt;/i&gt; (Baltimore: Johns Hopkins University Press, 1976), 158–159.","plainTextFormattedCitation":"Jacques Derrida, Of Grammatology  (Baltimore: Johns Hopkins University Press, 1976), 158–159.","previouslyFormattedCitation":"Jacques Derrida, &lt;i&gt;Of Grammatology &lt;/i&gt;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1976)&amp;f=false."},"properties":{"noteIndex":19},"schema":"https://github.com/citation-style-language/schema/raw/master/csl-citation.json"}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Jacques Derrida, </w:t>
      </w:r>
      <w:r w:rsidRPr="00C71822">
        <w:rPr>
          <w:rFonts w:ascii="Times New Roman" w:hAnsi="Times New Roman" w:cs="Times New Roman"/>
          <w:i/>
          <w:noProof/>
        </w:rPr>
        <w:t xml:space="preserve">Of Grammatology </w:t>
      </w:r>
      <w:r w:rsidRPr="00C71822">
        <w:rPr>
          <w:rFonts w:ascii="Times New Roman" w:hAnsi="Times New Roman" w:cs="Times New Roman"/>
          <w:noProof/>
        </w:rPr>
        <w:t xml:space="preserve"> (Baltimore: Johns Hopkins University Press, 1976), 158–159.</w:t>
      </w:r>
      <w:r w:rsidRPr="00C71822">
        <w:rPr>
          <w:rFonts w:ascii="Times New Roman" w:hAnsi="Times New Roman" w:cs="Times New Roman"/>
        </w:rPr>
        <w:fldChar w:fldCharType="end"/>
      </w:r>
    </w:p>
  </w:footnote>
  <w:footnote w:id="20">
    <w:p w14:paraId="4F31F21A" w14:textId="0F56D1E9"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1972–1977","type":"book"},"locator":"92","uris":["http://www.mendeley.com/documents/?uuid=9d014c1b-dfbb-4dc2-a85e-28aa4e03949d","http://www.mendeley.com/documents/?uuid=dfb91cd9-4742-48c6-9b26-cb2506cd26cd"]}],"mendeley":{"formattedCitation":"Michel Foucault, &lt;i&gt;Power/Knowledge: Selected Interviews and Other Writings 1972–1977&lt;/i&gt; (New York: Pantheon Books, 1980), 92.","plainTextFormattedCitation":"Michel Foucault, Power/Knowledge: Selected Interviews and Other Writings 1972–1977 (New York: Pantheon Books, 1980), 92.","previouslyFormattedCitation":"Michel Foucault, &lt;i&gt;Power/Knowledge: Selected Interviews and Other Writings 1972–1977&lt;/i&gt; (New York: Pantheon Books, 1980), 92."},"properties":{"noteIndex":20},"schema":"https://github.com/citation-style-language/schema/raw/master/csl-citation.json"}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Michel Foucault, </w:t>
      </w:r>
      <w:r w:rsidRPr="00C71822">
        <w:rPr>
          <w:rFonts w:ascii="Times New Roman" w:hAnsi="Times New Roman" w:cs="Times New Roman"/>
          <w:i/>
          <w:noProof/>
        </w:rPr>
        <w:t>Power/Knowledge: Selected Interviews and Other Writings 1972–1977</w:t>
      </w:r>
      <w:r w:rsidRPr="00C71822">
        <w:rPr>
          <w:rFonts w:ascii="Times New Roman" w:hAnsi="Times New Roman" w:cs="Times New Roman"/>
          <w:noProof/>
        </w:rPr>
        <w:t xml:space="preserve"> (New York: Pantheon Books, 1980), 92.</w:t>
      </w:r>
      <w:r w:rsidRPr="00C71822">
        <w:rPr>
          <w:rFonts w:ascii="Times New Roman" w:hAnsi="Times New Roman" w:cs="Times New Roman"/>
        </w:rPr>
        <w:fldChar w:fldCharType="end"/>
      </w:r>
    </w:p>
  </w:footnote>
  <w:footnote w:id="21">
    <w:p w14:paraId="4A219C3F" w14:textId="0CB87C6A"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{"citationItems":[{"id":"ITEM-1","itemData":{"ISBN":"978-979-769-692-4","author":[{"dropping-particle":"","family":"Lubis","given":"Akhyar","non-dropping-particle":"","parse-names":false,"suffix":""}],"id":"ITEM-1","issued":{"date-parts":[["2014"]]},"publisher":"Rajawali Pres","publisher-place":"Jakarta","title":"Postmodernisme","type":"book"},"locator":"45","uris":["http://www.mendeley.com/documents/?uuid=89a6e021-38f2-4601-9479-21f685ae8731","http://www.mendeley.com/documents/?uuid=4dc2959e-5df1-4097-a302-64dd92956898"]}],"mendeley":{"formattedCitation":"Akhyar Lubis, &lt;i&gt;Postmodernisme&lt;/i&gt; (Jakarta: Rajawali Pres, 2014), 45.","plainTextFormattedCitation":"Akhyar Lubis, Postmodernisme (Jakarta: Rajawali Pres, 2014), 45.","previouslyFormattedCitation":"Akhyar Lubis, &lt;i&gt;Postmodernisme&lt;/i&gt; (Jakarta: Rajawali Pres, 2014), 45."},"properties":{"noteIndex":21},"schema":"https://github.com/citation-style-language/schema/raw/master/csl-citation.json"}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Akhyar Lubis, </w:t>
      </w:r>
      <w:r w:rsidRPr="00C71822">
        <w:rPr>
          <w:rFonts w:ascii="Times New Roman" w:hAnsi="Times New Roman" w:cs="Times New Roman"/>
          <w:i/>
          <w:noProof/>
          <w:lang w:val="sv-SE"/>
        </w:rPr>
        <w:t>Postmodernisme</w:t>
      </w:r>
      <w:r w:rsidRPr="00C71822">
        <w:rPr>
          <w:rFonts w:ascii="Times New Roman" w:hAnsi="Times New Roman" w:cs="Times New Roman"/>
          <w:noProof/>
          <w:lang w:val="sv-SE"/>
        </w:rPr>
        <w:t xml:space="preserve"> (Jakarta: Rajawali Pres, 2014), 45.</w:t>
      </w:r>
      <w:r w:rsidRPr="00C71822">
        <w:rPr>
          <w:rFonts w:ascii="Times New Roman" w:hAnsi="Times New Roman" w:cs="Times New Roman"/>
        </w:rPr>
        <w:fldChar w:fldCharType="end"/>
      </w:r>
    </w:p>
  </w:footnote>
  <w:footnote w:id="22">
    <w:p w14:paraId="0673FDB3" w14:textId="16E2CC5E"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{"citationItems":[{"id":"ITEM-1","itemData":{"ISBN":"978-0199881031","author":[{"dropping-particle":"","family":"Alvin Plantinga","given":"","non-dropping-particle":"","parse-names":false,"suffix":""}],"id":"ITEM-1","issued":{"date-parts":[["2000"]]},"publisher":"Oxford University Press","publisher-place":"New York","title":"Warranted Christian Belief ","type":"book"},"locator":"244","uris":["http://www.mendeley.com/documents/?uuid=e220f870-5170-32cb-816e-779c4c574b92","http://www.mendeley.com/documents/?uuid=d7e3a55e-738a-493e-a365-f670f700356d"]}],"mendeley":{"formattedCitation":"Alvin Plantinga, &lt;i&gt;Warranted Christian Belief &lt;/i&gt; (New York: Oxford University Press, 2000), 244.","plainTextFormattedCitation":"Alvin Plantinga, Warranted Christian Belief  (New York: Oxford University Press, 2000), 244.","previouslyFormattedCitation":"Alvin Plantinga, &lt;i&gt;Warranted Christian Belief &lt;/i&gt; (New York: Oxford University Press, 2000), 244, diakses Agustus 20, 2025, https://www.google.co.id/books/edition/Warranted_Christian_Belief/BypSHmoozV0C?hl=id&amp;gbpv=1&amp;dq=Alvin+Plantinga,+Warranted+Christian+Belief&amp;pg=PA136&amp;printsec=frontcover."},"properties":{"noteIndex":22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Alvin Plantinga, </w:t>
      </w:r>
      <w:r w:rsidRPr="00C71822">
        <w:rPr>
          <w:rFonts w:ascii="Times New Roman" w:hAnsi="Times New Roman" w:cs="Times New Roman"/>
          <w:i/>
          <w:noProof/>
        </w:rPr>
        <w:t xml:space="preserve">Warranted Christian Belief </w:t>
      </w:r>
      <w:r w:rsidRPr="00C71822">
        <w:rPr>
          <w:rFonts w:ascii="Times New Roman" w:hAnsi="Times New Roman" w:cs="Times New Roman"/>
          <w:noProof/>
        </w:rPr>
        <w:t xml:space="preserve"> (New York: Oxford University Press, 2000), 244.</w:t>
      </w:r>
      <w:r w:rsidRPr="00C71822">
        <w:rPr>
          <w:rFonts w:ascii="Times New Roman" w:hAnsi="Times New Roman" w:cs="Times New Roman"/>
        </w:rPr>
        <w:fldChar w:fldCharType="end"/>
      </w:r>
    </w:p>
  </w:footnote>
  <w:footnote w:id="23">
    <w:p w14:paraId="2AD86337" w14:textId="47CD206D"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Knowledge","type":"book"},"locator":"37-38","uris":["http://www.mendeley.com/documents/?uuid=6e6eaecf-a921-4ac9-8988-8bc57c996afe","http://www.mendeley.com/documents/?uuid=cd086355-d4ff-46e8-b95c-3b872635db38"]}],"mendeley":{"formattedCitation":"Kevin J. Vanhoozer, &lt;i&gt;Is There a Meaning in This Text? The Bible, the Reader, and the Morality of Literary Knowledge&lt;/i&gt; (Grand Rapids: Zondervan, 1998), 37–38.","plainTextFormattedCitation":"Kevin J. Vanhoozer, Is There a Meaning in This Text? The Bible, the Reader, and the Morality of Literary Knowledge (Grand Rapids: Zondervan, 1998), 37–38.","previouslyFormattedCitation":"Kevin J. Vanhoozer, &lt;i&gt;Is There a Meaning in This Text? The Bible, the Reader, and the Morality of Literary Knowledge&lt;/i&gt; (Grand Rapids: Zondervan, 1998), 37–38."},"properties":{"noteIndex":23},"schema":"https://github.com/citation-style-language/schema/raw/master/csl-citation.json"}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 xml:space="preserve"> (Grand Rapids: Zondervan, 1998), 37–38.</w:t>
      </w:r>
      <w:r w:rsidRPr="00C71822">
        <w:rPr>
          <w:rFonts w:ascii="Times New Roman" w:hAnsi="Times New Roman" w:cs="Times New Roman"/>
        </w:rPr>
        <w:fldChar w:fldCharType="end"/>
      </w:r>
    </w:p>
  </w:footnote>
  <w:footnote w:id="24">
    <w:p w14:paraId="4A630EBF" w14:textId="1C30BDB8"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{"citationItems":[{"id":"ITEM-1","itemData":{"ISBN":"9780801026324","author":[{"dropping-particle":"","family":"Herman Bavinck","given":"","non-dropping-particle":"","parse-names":false,"suffix":""}],"id":"ITEM-1","issued":{"date-parts":[["2003"]]},"publisher":"Baker Academic","publisher-place":"Grand Rapids","title":"Reformed Dogmatics ","type":"book","volume":"1"},"locator":"229-230","uris":["http://www.mendeley.com/documents/?uuid=d4dfe8f7-32ef-3264-a961-968dc2662906","http://www.mendeley.com/documents/?uuid=9068106a-b376-4dd1-afb7-8707cac27b1e"]}],"mendeley":{"formattedCitation":"Herman Bavinck, &lt;i&gt;Reformed Dogmatics &lt;/i&gt;, vol. 1 (Grand Rapids: Baker Academic, 2003), 229–230.","plainTextFormattedCitation":"Herman Bavinck, Reformed Dogmatics , vol. 1 (Grand Rapids: Baker Academic, 2003), 229–230.","previouslyFormattedCitation":"Herman Bavinck, &lt;i&gt;Reformed Dogmatics &lt;/i&gt;,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roperties":{"noteIndex":24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Herman Bavinck, </w:t>
      </w:r>
      <w:r w:rsidRPr="00C71822">
        <w:rPr>
          <w:rFonts w:ascii="Times New Roman" w:hAnsi="Times New Roman" w:cs="Times New Roman"/>
          <w:i/>
          <w:noProof/>
        </w:rPr>
        <w:t xml:space="preserve">Reformed Dogmatics </w:t>
      </w:r>
      <w:r w:rsidRPr="00C71822">
        <w:rPr>
          <w:rFonts w:ascii="Times New Roman" w:hAnsi="Times New Roman" w:cs="Times New Roman"/>
          <w:noProof/>
        </w:rPr>
        <w:t>, vol. 1 (Grand Rapids: Baker Academic, 2003), 229–230.</w:t>
      </w:r>
      <w:r w:rsidRPr="00C71822">
        <w:rPr>
          <w:rFonts w:ascii="Times New Roman" w:hAnsi="Times New Roman" w:cs="Times New Roman"/>
        </w:rPr>
        <w:fldChar w:fldCharType="end"/>
      </w:r>
    </w:p>
  </w:footnote>
  <w:footnote w:id="25">
    <w:p w14:paraId="55398017" w14:textId="04A3AA47"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introduction","type":"book"},"locator":"154","uris":["http://www.mendeley.com/documents/?uuid=4bd58619-4050-3d74-a6fd-f5ef31236b12","http://www.mendeley.com/documents/?uuid=f08d54b8-d02b-469b-b78b-fe1dc6a8cedb"]}],"mendeley":{"formattedCitation":"Alister E. McGrath, &lt;i&gt;Christian Theology : An Introduction&lt;/i&gt; (Chichester: Wiley, Blackwell, 2017), 154.","plainTextFormattedCitation":"Alister E. McGrath, Christian Theology : An Introduction (Chichester: Wiley, Blackwell, 2017), 154.","previouslyFormattedCitation":"Alister E. McGrath, &lt;i&gt;Christian theology : an introduction&lt;/i&gt; (Chichester: Wiley, Blackwell, 2017), 154."},"properties":{"noteIndex":25},"schema":"https://github.com/citation-style-language/schema/raw/master/csl-citation.json"}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Alister E. McGrath, </w:t>
      </w:r>
      <w:r w:rsidRPr="00C71822">
        <w:rPr>
          <w:rFonts w:ascii="Times New Roman" w:hAnsi="Times New Roman" w:cs="Times New Roman"/>
          <w:i/>
          <w:noProof/>
        </w:rPr>
        <w:t>Christian Theology : An Introduction</w:t>
      </w:r>
      <w:r w:rsidRPr="00C71822">
        <w:rPr>
          <w:rFonts w:ascii="Times New Roman" w:hAnsi="Times New Roman" w:cs="Times New Roman"/>
          <w:noProof/>
        </w:rPr>
        <w:t xml:space="preserve"> (Chichester: Wiley, Blackwell, 2017), 154.</w:t>
      </w:r>
      <w:r w:rsidRPr="00C71822">
        <w:rPr>
          <w:rFonts w:ascii="Times New Roman" w:hAnsi="Times New Roman" w:cs="Times New Roman"/>
        </w:rPr>
        <w:fldChar w:fldCharType="end"/>
      </w:r>
    </w:p>
  </w:footnote>
  <w:footnote w:id="26">
    <w:p w14:paraId="19F3CFDE" w14:textId="39B488DF"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{"citationItems":[{"id":"ITEM-1","itemData":{"ISBN":"0567050696","author":[{"dropping-particle":"","family":"Karl Barth","given":"","non-dropping-particle":"","parse-names":false,"suffix":""}],"id":"ITEM-1","issued":{"date-parts":[["1936"]]},"publisher":"T&amp;T Clark Internasional","publisher-place":"Edinburgh","title":"Church Dogmatics The Doctrine of the Word of God, Volume 1, Part 2 ","type":"book","volume":"1"},"locator":"422","uris":["http://www.mendeley.com/documents/?uuid=5db7ac82-2ed1-39f8-8d92-d5f99b34973e","http://www.mendeley.com/documents/?uuid=3f38693e-2df5-4659-baf3-02576f57b9ca"]}],"mendeley":{"formattedCitation":"Karl Barth, &lt;i&gt;Church Dogmatics The Doctrine of the Word of God, Volume 1, Part 2 &lt;/i&gt;, vol. 1 (Edinburgh: T&amp;T Clark Internasional, 1936), 422.","plainTextFormattedCitation":"Karl Barth, Church Dogmatics The Doctrine of the Word of God, Volume 1, Part 2 , vol. 1 (Edinburgh: T&amp;T Clark Internasional, 1936), 422.","previouslyFormattedCitation":"Karl Barth, &lt;i&gt;Church Dogmatics The Doctrine of the Word of God, Volume 1, Part 2 &lt;/i&gt;, vol. 1 (Edinburgh: T&amp;T Clark Internasional, 1936), 422, diakses Agustus 26, 2025, https://www.google.co.id/books/edition/Church_Dogmatics_The_Doctrine_of_the_Wor/B-HeBAAAQBAJ?hl=id&amp;gbpv=1&amp;dq=Karl+Barth,+Church+Dogmatics+The+Doctrine+of+the+Word+of+God&amp;pg=PA815&amp;printsec=frontcover."},"properties":{"noteIndex":26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Karl Barth, </w:t>
      </w:r>
      <w:r w:rsidRPr="00C71822">
        <w:rPr>
          <w:rFonts w:ascii="Times New Roman" w:hAnsi="Times New Roman" w:cs="Times New Roman"/>
          <w:i/>
          <w:noProof/>
        </w:rPr>
        <w:t xml:space="preserve">Church Dogmatics The Doctrine of the Word of God, Volume 1, Part 2 </w:t>
      </w:r>
      <w:r w:rsidRPr="00C71822">
        <w:rPr>
          <w:rFonts w:ascii="Times New Roman" w:hAnsi="Times New Roman" w:cs="Times New Roman"/>
          <w:noProof/>
        </w:rPr>
        <w:t>, vol. 1 (Edinburgh: T&amp;T Clark Internasional, 1936), 422.</w:t>
      </w:r>
      <w:r w:rsidRPr="00C71822">
        <w:rPr>
          <w:rFonts w:ascii="Times New Roman" w:hAnsi="Times New Roman" w:cs="Times New Roman"/>
        </w:rPr>
        <w:fldChar w:fldCharType="end"/>
      </w:r>
    </w:p>
  </w:footnote>
  <w:footnote w:id="27">
    <w:p w14:paraId="397A4580" w14:textId="6181CDC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{"citationItems":[{"id":"ITEM-1","itemData":{"ISBN":"9780802825056","abstract":"Rev. ed. Revised edition of: Commentary on the book of the Acts. First published in 1954, F. F. Bruce's volume on the Book of Acts in the NICNT series has stood for more than forty years as a standard commentary on Acts. In keeping with the effort to be faithful to the description \"new\" in the series title, however, Bruce undertook a thorough revision of this commentary before his death in 1990. Expanded and fully updated, this volume now reflects the best elements of recent notable contribution to the study of Luke-Acts as well as the author's own deepened understanding gained from years of further reflection on the text. Whereas the first edition used the text of the American Standard Version of 1901, this revision is based on Bruce's own fresh translation of the Greek text. The result is a work that makes transparent the walls between the first and twentieth centuries and enables readers to hear not only the voice of Luke but the Word of God. - Jacket flap. Acts in the New Testament -- Origin and purpose of Acts -- Paul in Acts -- Select bibliography -- Text, exposition, and notes -- The birth of the church (1:1-5:42) -- Persecution and expansion (6:1-9:31) -- The acts of Peter and beginnings of gentile Christianity (9:32-12:24) -- Church extension from Antioch and apostolic decree at Jerusalem (12:25-15:35) -- Paul leaves Antioch and moves to the Aegean world (15:36-19:20) -- Paul plans to visit Rome and gets there by an unforeseen route (19:21-28:31).","author":[{"dropping-particle":"","family":"F. F. Bruce","given":"","non-dropping-particle":"","parse-names":false,"suffix":""}],"container-title":"The Book of the Acts","id":"ITEM-1","issued":{"date-parts":[["1988"]]},"publisher":"Eerdmans","publisher-place":"Grand Rapids","title":"The Book of the Acts","type":"book"},"uris":["http://www.mendeley.com/documents/?uuid=a1baa636-0218-345e-a7b8-b71367381b53","http://www.mendeley.com/documents/?uuid=83f5c930-bb5b-4550-b359-48167a8bc850"]}],"mendeley":{"formattedCitation":"F. F. Bruce, &lt;i&gt;The Book of the Acts&lt;/i&gt;, &lt;i&gt;The Book of the Acts&lt;/i&gt; (Grand Rapids: Eerdmans, 1988).","plainTextFormattedCitation":"F. F. Bruce, The Book of the Acts, The Book of the Acts (Grand Rapids: Eerdmans, 1988).","previouslyFormattedCitation":"F. F. Bruce, &lt;i&gt;The Book of the Acts&lt;/i&gt;, &lt;i&gt;The Book of the Acts&lt;/i&gt; (Grand Rapids: Eerdmans, 1988)."},"properties":{"noteIndex":27},"schema":"https://github.com/citation-style-language/schema/raw/master/csl-citation.json"}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F. F. Bruce, </w:t>
      </w:r>
      <w:r w:rsidRPr="00C71822">
        <w:rPr>
          <w:rFonts w:ascii="Times New Roman" w:hAnsi="Times New Roman" w:cs="Times New Roman"/>
          <w:i/>
          <w:noProof/>
        </w:rPr>
        <w:t>The Book of the Acts</w:t>
      </w:r>
      <w:r w:rsidRPr="00C71822">
        <w:rPr>
          <w:rFonts w:ascii="Times New Roman" w:hAnsi="Times New Roman" w:cs="Times New Roman"/>
          <w:noProof/>
        </w:rPr>
        <w:t xml:space="preserve">, </w:t>
      </w:r>
      <w:r w:rsidRPr="00C71822">
        <w:rPr>
          <w:rFonts w:ascii="Times New Roman" w:hAnsi="Times New Roman" w:cs="Times New Roman"/>
          <w:i/>
          <w:noProof/>
        </w:rPr>
        <w:t>The Book of the Acts</w:t>
      </w:r>
      <w:r w:rsidRPr="00C71822">
        <w:rPr>
          <w:rFonts w:ascii="Times New Roman" w:hAnsi="Times New Roman" w:cs="Times New Roman"/>
          <w:noProof/>
        </w:rPr>
        <w:t xml:space="preserve"> (Grand Rapids: Eerdmans, 1988).</w:t>
      </w:r>
      <w:r w:rsidRPr="00C71822">
        <w:rPr>
          <w:rFonts w:ascii="Times New Roman" w:hAnsi="Times New Roman" w:cs="Times New Roman"/>
        </w:rPr>
        <w:fldChar w:fldCharType="end"/>
      </w:r>
    </w:p>
  </w:footnote>
  <w:footnote w:id="28">
    <w:p w14:paraId="22C90EC7" w14:textId="199ECB91"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{"citationItems":[{"id":"ITEM-1","itemData":{"ISBN":"9780830824885","abstract":"Revised edition. Description based upon print version of record. The experiences of the early church have much to say about issues that concern Christians today. What can Acts tell us about tongues and other manifestations of the Spirit? How should the church reach out into the world with the message of salvation? This revised BST volume from John Stott opens to us the early days of the church as recorded by Luke in the book of Acts. Introduction to Luke (Luke 1:1-4) -- Introduction to the Acts (Acts 1:1-5) -- A. In Jerusalem (1:6-6:7) -- Waiting for Pentecost (1:6-26) -- The Day of Pentecost (2:1-47) -- The outbreak of persecution (3:1-4:31) -- Satanic counter-attack -- B. Foundations for world mission (6:8-12:24) -- Stephen the martyr (6:8-7:60) -- Philip the evangelist (8:1-40) -- The conversion of Saul (9:1-31) -- The conversion of Cornelius (9:32-11:18) -- Expansion and opposition (11:19-12:24) -- C. The apostle to the Gentles (12:25-21:17) -- The first missionary journey (12:25-14:28) -- The Council of Jerusalem (15:1-16:5) -- Mission in Macedonia (16:6-17:15) -- Paul in Athens (17:16-34) -- Corinth and Ephesus (18:1-19:41) -- More about Ephesus (20:1-21:17) -- D. On the way to Rome (21:18-28:31) -- Paul's arrest and self-defense (21:18-23:35) -- Paul on trial (24:1-26:32) -- Rome at last! (27:1-28:31) -- Study guide.","author":[{"dropping-particle":"","family":"John R. W. Stott","given":"","non-dropping-particle":"","parse-names":false,"suffix":""}],"id":"ITEM-1","issued":{"date-parts":[["2020"]]},"publisher":"Inter-Varsity Press","publisher-place":"Leicester","title":"The message of Acts ","type":"book"},"locator":"108-109","uris":["http://www.mendeley.com/documents/?uuid=797966c8-4269-3be7-9299-d59e368b7aee","http://www.mendeley.com/documents/?uuid=e1d256be-5e76-46d4-9c31-ea1b5b1f3457"]}],"mendeley":{"formattedCitation":"John R. W. Stott, &lt;i&gt;The Message of Acts &lt;/i&gt; (Leicester: Inter-Varsity Press, 2020), 108–109.","plainTextFormattedCitation":"John R. W. Stott, The Message of Acts  (Leicester: Inter-Varsity Press, 2020), 108–109.","previouslyFormattedCitation":"John R. W. Stott, &lt;i&gt;The message of Acts &lt;/i&gt; (Leicester: Inter-Varsity Press, 2020), 108–109."},"properties":{"noteIndex":28},"schema":"https://github.com/citation-style-language/schema/raw/master/csl-citation.json"}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R. W. Stott, </w:t>
      </w:r>
      <w:r w:rsidRPr="00C71822">
        <w:rPr>
          <w:rFonts w:ascii="Times New Roman" w:hAnsi="Times New Roman" w:cs="Times New Roman"/>
          <w:i/>
          <w:noProof/>
        </w:rPr>
        <w:t xml:space="preserve">The Message of Acts </w:t>
      </w:r>
      <w:r w:rsidRPr="00C71822">
        <w:rPr>
          <w:rFonts w:ascii="Times New Roman" w:hAnsi="Times New Roman" w:cs="Times New Roman"/>
          <w:noProof/>
        </w:rPr>
        <w:t xml:space="preserve"> (Leicester: Inter-Varsity Press, 2020), 108–109.</w:t>
      </w:r>
      <w:r w:rsidRPr="00C71822">
        <w:rPr>
          <w:rFonts w:ascii="Times New Roman" w:hAnsi="Times New Roman" w:cs="Times New Roman"/>
        </w:rPr>
        <w:fldChar w:fldCharType="end"/>
      </w:r>
    </w:p>
  </w:footnote>
  <w:footnote w:id="29">
    <w:p w14:paraId="1648A284" w14:textId="2A82D33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{"citationItems":[{"id":"ITEM-1","itemData":{"ISBN":"9781449749255","abstract":"This book explores the only sure solution to the ongoing problems of our world-the biblical gospel of Jesus Christ. A variety of viewpoints are presented from our religious, political, and economic spectrums, but only the absolute truth of the gospel of Christ has the message that ultimately answers the most pressing questions and serious concerns of the human soul. The book is concerned with encouraging and helping church leaders bring spiritual renewal to their people through the biblical gospel. Chapter one explains what the gospel is and the importance of the Bible and shows how a limited number of biblical figures were used by the Lord to bring spiritual renewal to their people. Chapter two describes the profound transformation that the proclamation of the gospel had upon sixteenth-century England. The pernicious dangers of our current postmodern culture are examined in chapter three, along with the only effective solution-the proclamation and reception of the biblical gospel. Chapter four proposes a model for growth and transformation in Christ through the renewal of the clergy and laity. The book concludes that mankind's only hope for eternal security and truth is found in the gospel of Jesus Christ, as presented through the pages of the Bible. The book illustrates that regardless of time, place, or nationality, the gospel declaration alone has the power to change human beings from lives of sin and rebellion against God and one another to lives filled with love and devotion to Jesus Christ and others. This book is designed to draw significant attention and interest to the churches' obligation and critical calling by God to present the Holy Scriptures in a loving and truthful way to congregations that will bring lasting change to the body of Christ. Only the gospel has the ability to renew and transform people from a life of sin and rebellion against God to a life of love, devotion, and service to Christ. Lives start to change and people begin to think, live, and act more like Christ. The promises and truths of the gospel bring to the believer eternal security, lasting peace, and unspeakable joy. What an extraordinary additive to everyday living! The faithful pastor is entrusted with God's Word to preach and teach absolute truth, which upon reception by the people brings repentance, forgiveness, salvation, and freedom. Ministers who are obedient to the gospel bring tremendous blessing and hope to their flocks. God's people are transformed and rene…","author":[{"dropping-particle":"","family":"Reid Hensarling","given":"","non-dropping-particle":"","parse-names":false,"suffix":""}],"id":"ITEM-1","issued":{"date-parts":[["2012"]]},"publisher":"Westbow Press","publisher-place":"Bloomington","title":"Biblical Gospel : Its Significance And Impact In Spiritual Renewal","type":"book"},"locator":"60","uris":["http://www.mendeley.com/documents/?uuid=33be9ace-ad9c-3256-8723-ccb314d82d3a","http://www.mendeley.com/documents/?uuid=8a7df1e0-b643-49f5-8027-e7521111a41e"]}],"mendeley":{"formattedCitation":"Reid Hensarling, &lt;i&gt;Biblical Gospel : Its Significance And Impact In Spiritual Renewal&lt;/i&gt; (Bloomington: Westbow Press, 2012), 60.","plainTextFormattedCitation":"Reid Hensarling, Biblical Gospel : Its Significance And Impact In Spiritual Renewal (Bloomington: Westbow Press, 2012), 60.","previouslyFormattedCitation":"Reid Hensarling, &lt;i&gt;Biblical Gospel : Its Significance And Impact In Spiritual Renewal&lt;/i&gt; (Bloomington: Westbow Press, 2012), 60."},"properties":{"noteIndex":29},"schema":"https://github.com/citation-style-language/schema/raw/master/csl-citation.json"}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Reid Hensarling, </w:t>
      </w:r>
      <w:r w:rsidRPr="00C71822">
        <w:rPr>
          <w:rFonts w:ascii="Times New Roman" w:hAnsi="Times New Roman" w:cs="Times New Roman"/>
          <w:i/>
          <w:noProof/>
        </w:rPr>
        <w:t>Biblical Gospel : Its Significance And Impact In Spiritual Renewal</w:t>
      </w:r>
      <w:r w:rsidRPr="00C71822">
        <w:rPr>
          <w:rFonts w:ascii="Times New Roman" w:hAnsi="Times New Roman" w:cs="Times New Roman"/>
          <w:noProof/>
        </w:rPr>
        <w:t xml:space="preserve"> (Bloomington: Westbow Press, 2012), 60.</w:t>
      </w:r>
      <w:r w:rsidRPr="00C71822">
        <w:rPr>
          <w:rFonts w:ascii="Times New Roman" w:hAnsi="Times New Roman" w:cs="Times New Roman"/>
        </w:rPr>
        <w:fldChar w:fldCharType="end"/>
      </w:r>
    </w:p>
  </w:footnote>
  <w:footnote w:id="30">
    <w:p w14:paraId="7B8F5A98" w14:textId="1769B6D1"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{"citationItems":[{"id":"ITEM-1","itemData":{"ISBN":"9780791416372","abstract":"These readings are organized into four sections. The first explores the wellsprings of the debates in the relationship between the postmodern and the enterprise it both continues and contravenes: modernism. Here philosophers, social and political commentators, as well as cultural and literary analysts present controversial background essays on the complex history of postmodernism. The readings in the second section debate the possibility - or desirability - of trying to define the postmodern, given its cultural agenda of decentering, challenging, even undermining the guiding \"master\" narratives of postmodernism's Western culture. The readings in the third section explore postmodernism's complicated complicity with these very narratives, while the fourth section moves from theory to practice in order to investigate, in a variety of fields, the common denominators of the postmodern condition in action. Introduction: Reading A Postmodern Reader -- \"Postmodernity, or Living with Ambivalence.\" / Zygmunt Bauman -- \"The Postmodern Weltanschauung and its Relation to Modernism: an Introductory Survey.\" / Hans Bertens -- Excerpts from The Postmodern Condition: A Report on Knowledge. / Jean-Francois Lyotard -- \"Modernity versus Postmodernity.\" / Jurgen Habermas -- \"Mapping the Postmodern.\" / Andreas Huyssen -- \"Modernism versus Postmodernism: Towards an Analytic Distinction.\" / David J. Herman -- Excerpts from Postmodernism and its Critics. / John McGowan -- \"Structure, Sign, and Play in the Discourse of the Human Sciences.\" / Jacques Derrida -- \"Beginning to Theorize Postmodernism.\" / Linda Hutcheon -- \"Toward a Concept of Postmodernism.\" / Ihab Hassan -- \"The Context of the Concept.\" / Charles Russell -- Excerpts from Postmodernism, Or the Cultural Logic of Late Capitalism. / Fredric Jameson -- Excerpts from The History of Sexuality: Volume I: An Introduction. / Michel Foucault -- \"The Precession of Simulacra.\" / Jean Baudrillard -- \"The Resolution of Revolutions.\" / Thomas Kuhn -- \"Black Culture and Postmodernism.\" / Cornel West -- \"From Here to Modernity: Feminism and Postmodernism.\" / Barbara Creed -- Excerpts from Thinking Fragments. / Jane Flax -- \"Modernism's Last Post.\" / Stephen Slemon -- \"Postmodernism as Border Pedagogy: Redefining the Boundaries of Race and Ethnicity.\" / Henry Giroux -- \"Existentialism, Alienation, Postmodernism: Cultural Movements as Vehicles of Change in the Patterns of Everyday Life.\" / Agnes Heller -- \"Postmodern Blackness.\" / bel…","author":[{"dropping-particle":"","family":"Joseph P. Natoli","given":"","non-dropping-particle":"","parse-names":false,"suffix":""},{"dropping-particle":"","family":"Linda Hutcheon","given":"","non-dropping-particle":"","parse-names":false,"suffix":""}],"id":"ITEM-1","issued":{"date-parts":[["1993"]]},"number-of-pages":"584","publisher":"State University of New York Press","title":"A Postmodern reader","type":"book"},"locator":"70","uris":["http://www.mendeley.com/documents/?uuid=b46b56e8-b9cc-356c-89e7-7185748ae9d8","http://www.mendeley.com/documents/?uuid=6335334f-b452-43c9-812e-d6ef0eb1515c"]}],"mendeley":{"formattedCitation":"Joseph P. Natoli and Linda Hutcheon, &lt;i&gt;A Postmodern Reader&lt;/i&gt; (State University of New York Press, 1993), 70.","plainTextFormattedCitation":"Joseph P. Natoli and Linda Hutcheon, A Postmodern Reader (State University of New York Press, 1993), 70.","previouslyFormattedCitation":"Joseph P. Natoli dan Linda Hutcheon, &lt;i&gt;A Postmodern reader&lt;/i&gt; (State University of New York Press, 1993), 70."},"properties":{"noteIndex":30},"schema":"https://github.com/citation-style-language/schema/raw/master/csl-citation.json"}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Joseph P. Natoli and Linda Hutcheon, </w:t>
      </w:r>
      <w:r w:rsidRPr="00C71822">
        <w:rPr>
          <w:rFonts w:ascii="Times New Roman" w:hAnsi="Times New Roman" w:cs="Times New Roman"/>
          <w:i/>
          <w:noProof/>
        </w:rPr>
        <w:t>A Postmodern Reader</w:t>
      </w:r>
      <w:r w:rsidRPr="00C71822">
        <w:rPr>
          <w:rFonts w:ascii="Times New Roman" w:hAnsi="Times New Roman" w:cs="Times New Roman"/>
          <w:noProof/>
        </w:rPr>
        <w:t xml:space="preserve"> (State University of New York Press, 1993), 70.</w:t>
      </w:r>
      <w:r w:rsidRPr="00C71822">
        <w:rPr>
          <w:rFonts w:ascii="Times New Roman" w:hAnsi="Times New Roman" w:cs="Times New Roman"/>
        </w:rPr>
        <w:fldChar w:fldCharType="end"/>
      </w:r>
    </w:p>
  </w:footnote>
  <w:footnote w:id="31">
    <w:p w14:paraId="459385B6" w14:textId="3ABE5175"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matters","type":"book"},"locator":"147-149","uris":["http://www.mendeley.com/documents/?uuid=d35b3814-a7a7-3aaf-90aa-ec7dc91e0b19","http://www.mendeley.com/documents/?uuid=93346915-f514-4cd7-9ec4-8fad30fd8363"]}],"mendeley":{"formattedCitation":"N. T. Wright, &lt;i&gt;Simply Jesus : A New Vision of Who He Was, What He Did, and Why He Matters&lt;/i&gt; (HarperOne, 2011), 147–149.","plainTextFormattedCitation":"N. T. Wright, Simply Jesus : A New Vision of Who He Was, What He Did, and Why He Matters (HarperOne, 2011), 147–149.","previouslyFormattedCitation":"N. T. Wright, &lt;i&gt;Simply Jesus : a new vision of who he was, what he did, and why he matters&lt;/i&gt; (HarperOne, 2011), 147–149."},"properties":{"noteIndex":31},"schema":"https://github.com/citation-style-language/schema/raw/master/csl-citation.json"}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 T. Wright, </w:t>
      </w:r>
      <w:r w:rsidRPr="00C71822">
        <w:rPr>
          <w:rFonts w:ascii="Times New Roman" w:hAnsi="Times New Roman" w:cs="Times New Roman"/>
          <w:i/>
          <w:noProof/>
        </w:rPr>
        <w:t>Simply Jesus : A New Vision of Who He Was, What He Did, and Why He Matters</w:t>
      </w:r>
      <w:r w:rsidRPr="00C71822">
        <w:rPr>
          <w:rFonts w:ascii="Times New Roman" w:hAnsi="Times New Roman" w:cs="Times New Roman"/>
          <w:noProof/>
        </w:rPr>
        <w:t xml:space="preserve"> (HarperOne, 2011), 147–149.</w:t>
      </w:r>
      <w:r w:rsidRPr="00C71822">
        <w:rPr>
          <w:rFonts w:ascii="Times New Roman" w:hAnsi="Times New Roman" w:cs="Times New Roman"/>
        </w:rPr>
        <w:fldChar w:fldCharType="end"/>
      </w:r>
    </w:p>
  </w:footnote>
  <w:footnote w:id="32">
    <w:p w14:paraId="477D60C6" w14:textId="1ED8C764"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 89–90."},"properties":{"noteIndex":32},"schema":"https://github.com/citation-style-language/schema/raw/master/csl-citation.json"}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3">
    <w:p w14:paraId="2FF6549D" w14:textId="51CF743C"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{"citationItems":[{"id":"ITEM-1","itemData":{"ISBN":"085110973X","author":[{"dropping-particle":"","family":"Stott","given":"John R. W. 1921-2011","non-dropping-particle":"","parse-names":false,"suffix":""}],"id":"ITEM-1","issued":{"date-parts":[["1993"]]},"publisher":"Inter-Varsity Press","publisher-place":"[Leicester]","title":"The contemporary christian  an urgent plea for double listening","type":"book"},"locator":"29-30","uris":["http://www.mendeley.com/documents/?uuid=525ff971-98a9-3e3f-a200-9e200a81c116","http://www.mendeley.com/documents/?uuid=009b2907-3060-446d-93dc-c5392f281656"]}],"mendeley":{"formattedCitation":"John R. W. 1921-2011 Stott, &lt;i&gt;The Contemporary Christian  an Urgent Plea for Double Listening&lt;/i&gt; ([Leicester]: Inter-Varsity Press, 1993), 29–30.","plainTextFormattedCitation":"John R. W. 1921-2011 Stott, The Contemporary Christian  an Urgent Plea for Double Listening ([Leicester]: Inter-Varsity Press, 1993), 29–30.","previouslyFormattedCitation":"John R. W. 1921-2011 Stott, &lt;i&gt;The contemporary christian  an urgent plea for double listening&lt;/i&gt; ([Leicester]: Inter-Varsity Press, 1993), 29–30."},"properties":{"noteIndex":33},"schema":"https://github.com/citation-style-language/schema/raw/master/csl-citation.json"}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R. W. 1921-2011 Stott, </w:t>
      </w:r>
      <w:r w:rsidRPr="00C71822">
        <w:rPr>
          <w:rFonts w:ascii="Times New Roman" w:hAnsi="Times New Roman" w:cs="Times New Roman"/>
          <w:i/>
          <w:noProof/>
        </w:rPr>
        <w:t>The Contemporary Christian  an Urgent Plea for Double Listening</w:t>
      </w:r>
      <w:r w:rsidRPr="00C71822">
        <w:rPr>
          <w:rFonts w:ascii="Times New Roman" w:hAnsi="Times New Roman" w:cs="Times New Roman"/>
          <w:noProof/>
        </w:rPr>
        <w:t xml:space="preserve"> ([Leicester]: Inter-Varsity Press, 1993), 29–30.</w:t>
      </w:r>
      <w:r w:rsidRPr="00C71822">
        <w:rPr>
          <w:rFonts w:ascii="Times New Roman" w:hAnsi="Times New Roman" w:cs="Times New Roman"/>
        </w:rPr>
        <w:fldChar w:fldCharType="end"/>
      </w:r>
    </w:p>
  </w:footnote>
  <w:footnote w:id="34">
    <w:p w14:paraId="1818C5DB" w14:textId="35D113C6"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{"citationItems":[{"id":"ITEM-1","itemData":{"author":[{"dropping-particle":"","family":"Darmaputera","given":"Eka","non-dropping-particle":"","parse-names":false,"suffix":""}],"id":"ITEM-1","issued":{"date-parts":[["2005"]]},"publisher":"BPK Gunung Mulia","publisher-place":"Jakarta","title":"Pergulatan Kehadiran Kristen di Indonesia","type":"chapter"},"locator":"45-46","uris":["http://www.mendeley.com/documents/?uuid=5b1541de-e2ba-45ef-bed7-5a7bd8a8ea2b","http://www.mendeley.com/documents/?uuid=db17ad71-89b4-42f2-992b-0ff416cc1739"]}],"mendeley":{"formattedCitation":"Eka Darmaputera, “Pergulatan Kehadiran Kristen Di Indonesia” (Jakarta: BPK Gunung Mulia, 2005), 45–46.","plainTextFormattedCitation":"Eka Darmaputera, “Pergulatan Kehadiran Kristen Di Indonesia” (Jakarta: BPK Gunung Mulia, 2005), 45–46.","previouslyFormattedCitation":"Eka Darmaputera, “Pergulatan Kehadiran Kristen di Indonesia” (Jakarta: BPK Gunung Mulia, 2005), 45–46."},"properties":{"noteIndex":34},"schema":"https://github.com/citation-style-language/schema/raw/master/csl-citation.json"}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Eka Darmaputera, “Pergulatan Kehadiran Kristen Di Indonesia” (Jakarta: BPK Gunung Mulia, 2005), 45–46.</w:t>
      </w:r>
      <w:r w:rsidRPr="00C71822">
        <w:rPr>
          <w:rFonts w:ascii="Times New Roman" w:hAnsi="Times New Roman" w:cs="Times New Roman"/>
        </w:rPr>
        <w:fldChar w:fldCharType="end"/>
      </w:r>
    </w:p>
  </w:footnote>
  <w:footnote w:id="35">
    <w:p w14:paraId="096B2C97" w14:textId="6D2BD89B"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 27–29."},"properties":{"noteIndex":35},"schema":"https://github.com/citation-style-language/schema/raw/master/csl-citation.json"}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6">
    <w:p w14:paraId="6F9A6203" w14:textId="64044969"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{"citationItems":[{"id":"ITEM-1","itemData":{"ISBN":"9781444397703","abstract":"Alister McGrath's \"Christian Theology: An Introduction\" is one of the most internationally-acclaimed and popular Christian theology textbooks in use today. This 5th edition has been completely revised, and now features new and extended material, numerous additional illustrations, and companion resources, ensuring it retains its reputation as the ideal introduction to Christian theology. Fully updated 5th edition of the bestselling textbook, incorporating expanded material, numerous student features and new illustrations Features new sections on Copernicanism and Darwinism Includes extended discussions of Augustine's doctrine of creation, Trinitarian theologies of religion, and the relation of Christianity to other faiths May be used as a stand-alone volume, or alongside the \"Christian Theology Reader, 4th edition\" for a complete overview of the subject Retains the chapter structure of the 4th edition, ensuring comparability with earlier editions and courses based on these Accompanied by a revised instructor's website featuring expanded resources including study questions and answers; visit www.wiley.com/go/mcgrath for more details and to register for access","author":[{"dropping-particle":"","family":"McGrath","given":"Alister E.","non-dropping-particle":"","parse-names":false,"suffix":""}],"edition":"5th Ed.","id":"ITEM-1","issued":{"date-parts":[["2011"]]},"page":"539","publisher":"John Wiley &amp; Sons","publisher-place":"United Kingdom","title":"Christian Theology: An Introduction, 5th Edition: An Introduction","type":"article-journal"},"locator":"121-123","uris":["http://www.mendeley.com/documents/?uuid=0951d793-4391-3e42-8f0c-c0ee9ce8d07b","http://www.mendeley.com/documents/?uuid=460fee0f-ab33-4c6f-b0e4-3e491d8ba174"]}],"mendeley":{"formattedCitation":"Alister E. McGrath, “Christian Theology: An Introduction, 5th Edition: An Introduction” (2011): 121–123.","plainTextFormattedCitation":"Alister E. McGrath, “Christian Theology: An Introduction, 5th Edition: An Introduction” (2011): 121–123.","previouslyFormattedCitation":"Alister E. McGrath, “Christian Theology: An Introduction, 5th Edition: An Introduction” (2011): 121–123, diakses April 28, 2025, https://play.google.com/books?id=bus5TyjTfxYC."},"properties":{"noteIndex":36},"schema":"https://github.com/citation-style-language/schema/raw/master/csl-citation.json"}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Alister E. McGrath, “Christian Theology: An Introduction, 5th Edition: An Introduction” (2011): 121–123.</w:t>
      </w:r>
      <w:r w:rsidRPr="00C71822">
        <w:rPr>
          <w:rFonts w:ascii="Times New Roman" w:hAnsi="Times New Roman" w:cs="Times New Roman"/>
        </w:rPr>
        <w:fldChar w:fldCharType="end"/>
      </w:r>
    </w:p>
  </w:footnote>
  <w:footnote w:id="37">
    <w:p w14:paraId="10AF0008" w14:textId="54E66EA4"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{"citationItems":[{"id":"ITEM-1","itemData":{"id":"ITEM-1","issued":{"date-parts":[["2006"]]},"publisher":"Reformed Institute","publisher-place":"Jakarta","title":"Theologia Crucis: Salib Kristus","type":"book"},"locator":"88-90","uris":["http://www.mendeley.com/documents/?uuid=ccd2e600-0d70-44e2-a1bd-aed7c3a64990","http://www.mendeley.com/documents/?uuid=f4a76bd3-a4dd-4838-a802-58b5e04febd6"]}],"mendeley":{"formattedCitation":"&lt;i&gt;Theologia Crucis: Salib Kristus&lt;/i&gt; (Jakarta: Reformed Institute, 2006), 88–90.","plainTextFormattedCitation":"Theologia Crucis: Salib Kristus (Jakarta: Reformed Institute, 2006), 88–90.","previouslyFormattedCitation":"&lt;i&gt;Theologia Crucis: Salib Kristus&lt;/i&gt; (Jakarta: Reformed Institute, 2006), 88–90."},"properties":{"noteIndex":37},"schema":"https://github.com/citation-style-language/schema/raw/master/csl-citation.json"}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i/>
          <w:noProof/>
          <w:lang w:val="sv-SE"/>
        </w:rPr>
        <w:t>Theologia Crucis: Salib Kristus</w:t>
      </w:r>
      <w:r w:rsidRPr="00C71822">
        <w:rPr>
          <w:rFonts w:ascii="Times New Roman" w:hAnsi="Times New Roman" w:cs="Times New Roman"/>
          <w:noProof/>
          <w:lang w:val="sv-SE"/>
        </w:rPr>
        <w:t xml:space="preserve"> (Jakarta: Reformed Institute, 2006), 88–90.</w:t>
      </w:r>
      <w:r w:rsidRPr="00C71822">
        <w:rPr>
          <w:rFonts w:ascii="Times New Roman" w:hAnsi="Times New Roman" w:cs="Times New Roman"/>
        </w:rPr>
        <w:fldChar w:fldCharType="end"/>
      </w:r>
    </w:p>
  </w:footnote>
  <w:footnote w:id="38">
    <w:p w14:paraId="24A0FEF6" w14:textId="4754E649"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 6–7."},"properties":{"noteIndex":38},"schema":"https://github.com/citation-style-language/schema/raw/master/csl-citation.json"}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9">
    <w:p w14:paraId="4F61E4DB" w14:textId="60A7AEA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 201–203."},"properties":{"noteIndex":39},"schema":"https://github.com/citation-style-language/schema/raw/master/csl-citation.json"}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40">
    <w:p w14:paraId="799575F4" w14:textId="3E300FD4"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{"citationItems":[{"id":"ITEM-1","itemData":{"ISBN":"9781592441648","abstract":"Originally published: Philadelphia : Westminster Press, ©1982. With new foreword. The bounds of Christian theology -- Theological questions to biblical scholars -- A realist interpretation of God's self-revelation -- Truth and justification in doctrinal formulation.","author":[{"dropping-particle":"","family":"Thomas F Torrance","given":"","non-dropping-particle":"","parse-names":false,"suffix":""}],"id":"ITEM-1","issued":{"date-parts":[["2003"]]},"number-of-pages":"174","publisher":"Wipf and Stock Publishers","title":"Reality &amp; evangelical theology : the realism of Christian revelation","type":"book"},"locator":"34-36","uris":["http://www.mendeley.com/documents/?uuid=ecc1fdf8-5697-37b3-ab29-49d29279ea4f","http://www.mendeley.com/documents/?uuid=84b8d053-18d7-48ec-ab80-b92c226cd871"]}],"mendeley":{"formattedCitation":"Thomas F Torrance, &lt;i&gt;Reality &amp; Evangelical Theology : The Realism of Christian Revelation&lt;/i&gt; (Wipf and Stock Publishers, 2003), 34–36.","plainTextFormattedCitation":"Thomas F Torrance, Reality &amp; Evangelical Theology : The Realism of Christian Revelation (Wipf and Stock Publishers, 2003), 34–36.","previouslyFormattedCitation":"Thomas F Torrance, &lt;i&gt;Reality &amp; evangelical theology : the realism of Christian revelation&lt;/i&gt; (Wipf and Stock Publishers, 2003), 34–36."},"properties":{"noteIndex":40},"schema":"https://github.com/citation-style-language/schema/raw/master/csl-citation.json"}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Thomas F Torrance, </w:t>
      </w:r>
      <w:r w:rsidRPr="00C71822">
        <w:rPr>
          <w:rFonts w:ascii="Times New Roman" w:hAnsi="Times New Roman" w:cs="Times New Roman"/>
          <w:i/>
          <w:noProof/>
        </w:rPr>
        <w:t>Reality &amp; Evangelical Theology : The Realism of Christian Revelation</w:t>
      </w:r>
      <w:r w:rsidRPr="00C71822">
        <w:rPr>
          <w:rFonts w:ascii="Times New Roman" w:hAnsi="Times New Roman" w:cs="Times New Roman"/>
          <w:noProof/>
        </w:rPr>
        <w:t xml:space="preserve"> (Wipf and Stock Publishers, 2003), 34–36.</w:t>
      </w:r>
      <w:r w:rsidRPr="00C71822">
        <w:rPr>
          <w:rFonts w:ascii="Times New Roman" w:hAnsi="Times New Roman" w:cs="Times New Roman"/>
        </w:rPr>
        <w:fldChar w:fldCharType="end"/>
      </w:r>
    </w:p>
  </w:footnote>
  <w:footnote w:id="41">
    <w:p w14:paraId="75DB0E05" w14:textId="43FAFFB2" w:rsidR="001366A2" w:rsidRPr="00C71822" w:rsidRDefault="001366A2" w:rsidP="00813C21">
      <w:pPr>
        <w:pStyle w:val="FootnoteText"/>
        <w:ind w:left="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16–18."},"properties":{"noteIndex":41},"schema":"https://github.com/citation-style-language/schema/raw/master/csl-citation.json"}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2">
    <w:p w14:paraId="6FB5C3BC" w14:textId="3D8C2A6B"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introduction","type":"book"},"uris":["http://www.mendeley.com/documents/?uuid=f08d54b8-d02b-469b-b78b-fe1dc6a8cedb","http://www.mendeley.com/documents/?uuid=4bd58619-4050-3d74-a6fd-f5ef31236b12"]}],"mendeley":{"formattedCitation":"Alister E. McGrath, &lt;i&gt;Christian Theology : An Introduction&lt;/i&gt;.","plainTextFormattedCitation":"Alister E. McGrath, Christian Theology : An Introduction.","previouslyFormattedCitation":"Alister E. McGrath, &lt;i&gt;Christian theology : an introduction&lt;/i&gt;, 109–110."},"properties":{"noteIndex":42},"schema":"https://github.com/citation-style-language/schema/raw/master/csl-citation.json"}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Alister E. McGrath, </w:t>
      </w:r>
      <w:r w:rsidRPr="00C71822">
        <w:rPr>
          <w:rFonts w:ascii="Times New Roman" w:hAnsi="Times New Roman" w:cs="Times New Roman"/>
          <w:i/>
          <w:noProof/>
        </w:rPr>
        <w:t>Christian Theology : An Introduction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3">
    <w:p w14:paraId="2B22EF1F" w14:textId="76932D06"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{"citationItems":[{"id":"ITEM-1","itemData":{"ISBN":"9780521866316","ISSN":"00438871","PMID":"18850620","abstract":"During the last few decades, there have been many attempts within science and policy to simultaneously alleviate poverty and conserve the environment. The endeavor of combining conservation and development has resulted in a range","author":[{"dropping-particle":"","family":"R. W. L. Moberly","given":"","non-dropping-particle":"","parse-names":false,"suffix":""}],"container-title":"Ecology and Society","id":"ITEM-1","issue":"2","issued":{"date-parts":[["2000"]]},"publisher":"Cambridge University Press","publisher-place":"Cambridge","title":"The Science of Sustainable Development. Local Livelihoods and the Global Environment (Sayer, Campbell 2004)","type":"book"},"locator":"12-14","uris":["http://www.mendeley.com/documents/?uuid=0e2686d1-38c7-37e6-97e5-8fc3119b79ca","http://www.mendeley.com/documents/?uuid=3f22d3f3-0e59-4960-8bd4-5c0b837577f1"]}],"mendeley":{"formattedCitation":"R. W. L. Moberly, &lt;i&gt;The Science of Sustainable Development. Local Livelihoods and the Global Environment (Sayer, Campbell 2004)&lt;/i&gt;, &lt;i&gt;Ecology and Society&lt;/i&gt; (Cambridge: Cambridge University Press, 2000), 12–14.","plainTextFormattedCitation":"R. W. L. Moberly, The Science of Sustainable Development. Local Livelihoods and the Global Environment (Sayer, Campbell 2004), Ecology and Society (Cambridge: Cambridge University Press, 2000), 12–14.","previouslyFormattedCitation":"R. W. L. Moberly, &lt;i&gt;The Science of Sustainable Development. Local Livelihoods and the Global Environment (Sayer, Campbell 2004)&lt;/i&gt;, &lt;i&gt;Ecology and Society&lt;/i&gt; (Cambridge: Cambridge University Press, 2000), 12–14, diakses Agustus 27, 2025, http://www.scopus.com/inward/record.url?eid=2-s2.0-58049195454&amp;partnerID=40&amp;md5=701ac9f44e4d10e2628305996265c744."},"properties":{"noteIndex":43},"schema":"https://github.com/citation-style-language/schema/raw/master/csl-citation.json"}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 W. L. Moberly, </w:t>
      </w:r>
      <w:r w:rsidRPr="00C71822">
        <w:rPr>
          <w:rFonts w:ascii="Times New Roman" w:hAnsi="Times New Roman" w:cs="Times New Roman"/>
          <w:i/>
          <w:noProof/>
        </w:rPr>
        <w:t>The Science of Sustainable Development. Local Livelihoods and the Global Environment (Sayer, Campbell 2004)</w:t>
      </w:r>
      <w:r w:rsidRPr="00C71822">
        <w:rPr>
          <w:rFonts w:ascii="Times New Roman" w:hAnsi="Times New Roman" w:cs="Times New Roman"/>
          <w:noProof/>
        </w:rPr>
        <w:t xml:space="preserve">, </w:t>
      </w:r>
      <w:r w:rsidRPr="00C71822">
        <w:rPr>
          <w:rFonts w:ascii="Times New Roman" w:hAnsi="Times New Roman" w:cs="Times New Roman"/>
          <w:i/>
          <w:noProof/>
        </w:rPr>
        <w:t>Ecology and Society</w:t>
      </w:r>
      <w:r w:rsidRPr="00C71822">
        <w:rPr>
          <w:rFonts w:ascii="Times New Roman" w:hAnsi="Times New Roman" w:cs="Times New Roman"/>
          <w:noProof/>
        </w:rPr>
        <w:t xml:space="preserve"> (Cambridge: Cambridge University Press, 2000), 12–14.</w:t>
      </w:r>
      <w:r w:rsidRPr="00C71822">
        <w:rPr>
          <w:rFonts w:ascii="Times New Roman" w:hAnsi="Times New Roman" w:cs="Times New Roman"/>
        </w:rPr>
        <w:fldChar w:fldCharType="end"/>
      </w:r>
    </w:p>
  </w:footnote>
  <w:footnote w:id="44">
    <w:p w14:paraId="763C3A6C" w14:textId="3E56ABF9"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Darmaputera","type":"book"},"locator":"57-60","uris":["http://www.mendeley.com/documents/?uuid=0e5a359d-566f-3a47-aa20-098db52d3ff4","http://www.mendeley.com/documents/?uuid=60892591-1c32-4877-bd67-28912b3a22c3"]}],"mendeley":{"formattedCitation":"Eka Darmaputera, &lt;i&gt;Pergulatan Kehadiran Kristen Di Indonesia: Teks-Teks Terpilih Eka Darmaputera&lt;/i&gt; (Jakarta: BPK Gunung Mulia , 2005), 57–60.","plainTextFormattedCitation":"Eka Darmaputera, Pergulatan Kehadiran Kristen Di Indonesia: Teks-Teks Terpilih Eka Darmaputera (Jakarta: BPK Gunung Mulia , 2005), 57–60.","previouslyFormattedCitation":"Eka Darmaputera, &lt;i&gt;Pergulatan kehadiran Kristen di Indonesia: teks-teks terpilih Eka Darmaputera&lt;/i&gt;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1988)&amp;f=false."},"properties":{"noteIndex":44},"schema":"https://github.com/citation-style-language/schema/raw/master/csl-citation.json"}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Eka Darmaputera, </w:t>
      </w:r>
      <w:r w:rsidRPr="00C71822">
        <w:rPr>
          <w:rFonts w:ascii="Times New Roman" w:hAnsi="Times New Roman" w:cs="Times New Roman"/>
          <w:i/>
          <w:noProof/>
        </w:rPr>
        <w:t>Pergulatan Kehadiran Kristen Di Indonesia: Teks-Teks Terpilih Eka Darmaputera</w:t>
      </w:r>
      <w:r w:rsidRPr="00C71822">
        <w:rPr>
          <w:rFonts w:ascii="Times New Roman" w:hAnsi="Times New Roman" w:cs="Times New Roman"/>
          <w:noProof/>
        </w:rPr>
        <w:t xml:space="preserve"> (Jakarta: BPK Gunung Mulia , 2005), 57–60.</w:t>
      </w:r>
      <w:r w:rsidRPr="00C71822">
        <w:rPr>
          <w:rFonts w:ascii="Times New Roman" w:hAnsi="Times New Roman" w:cs="Times New Roman"/>
        </w:rPr>
        <w:fldChar w:fldCharType="end"/>
      </w:r>
    </w:p>
  </w:footnote>
  <w:footnote w:id="45">
    <w:p w14:paraId="7F9A29FB" w14:textId="6F34EBA6"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162–165."},"properties":{"noteIndex":45},"schema":"https://github.com/citation-style-language/schema/raw/master/csl-citation.json"}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6">
    <w:p w14:paraId="58497FFD" w14:textId="6F87EA7B"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{"citationItems":[{"id":"ITEM-1","itemData":{"ISBN":"9780281067367","author":[{"dropping-particle":"","family":"N. T. Wright","given":"","non-dropping-particle":"","parse-names":false,"suffix":""}],"id":"ITEM-1","issued":{"date-parts":[["1995"]]},"publisher":"Eerdmans","publisher-place":"Grand Rapids","title":"Following Jesus: Biblical Reflections on Discipleship ","type":"book"},"locator":"37-40","uris":["http://www.mendeley.com/documents/?uuid=d2c84002-1aaf-353b-aa43-15ae35b2c6ba","http://www.mendeley.com/documents/?uuid=b144f4f6-fd6c-404e-836c-6a81043b439a"]}],"mendeley":{"formattedCitation":"N. T. Wright, &lt;i&gt;Following Jesus: Biblical Reflections on Discipleship &lt;/i&gt; (Grand Rapids: Eerdmans, 1995), 37–40.","plainTextFormattedCitation":"N. T. Wright, Following Jesus: Biblical Reflections on Discipleship  (Grand Rapids: Eerdmans, 1995), 37–40.","previouslyFormattedCitation":"N. T. Wright, &lt;i&gt;Following Jesus: Biblical Reflections on Discipleship &lt;/i&gt;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Discipleship&amp;f=false."},"properties":{"noteIndex":46},"schema":"https://github.com/citation-style-language/schema/raw/master/csl-citation.json"}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 T. Wright, </w:t>
      </w:r>
      <w:r w:rsidRPr="00C71822">
        <w:rPr>
          <w:rFonts w:ascii="Times New Roman" w:hAnsi="Times New Roman" w:cs="Times New Roman"/>
          <w:i/>
          <w:noProof/>
        </w:rPr>
        <w:t xml:space="preserve">Following Jesus: Biblical Reflections on Discipleship </w:t>
      </w:r>
      <w:r w:rsidRPr="00C71822">
        <w:rPr>
          <w:rFonts w:ascii="Times New Roman" w:hAnsi="Times New Roman" w:cs="Times New Roman"/>
          <w:noProof/>
        </w:rPr>
        <w:t xml:space="preserve"> (Grand Rapids: Eerdmans, 1995), 37–40.</w:t>
      </w:r>
      <w:r w:rsidRPr="00C71822">
        <w:rPr>
          <w:rFonts w:ascii="Times New Roman" w:hAnsi="Times New Roman" w:cs="Times New Roman"/>
        </w:rPr>
        <w:fldChar w:fldCharType="end"/>
      </w:r>
    </w:p>
  </w:footnote>
  <w:footnote w:id="47">
    <w:p w14:paraId="16BFE5DA" w14:textId="61300E7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 349–351."},"properties":{"noteIndex":47},"schema":"https://github.com/citation-style-language/schema/raw/master/csl-citation.json"}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8">
    <w:p w14:paraId="5AE1A6F9" w14:textId="2AFB55BC"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{"citationItems":[{"id":"ITEM-1","itemData":{"author":[{"dropping-particle":"","family":"Susabda","given":"Yakub B.","non-dropping-particle":"","parse-names":false,"suffix":""}],"id":"ITEM-1","issued":{"date-parts":[["1997"]]},"publisher":"Gandum Mas","publisher-place":"Malang","title":"Konseling Pastoral: Sebuah Pengantar","type":"book"},"locator":"56-59","uris":["http://www.mendeley.com/documents/?uuid=b742a1a8-02e7-432b-a851-32a3fdcefd06","http://www.mendeley.com/documents/?uuid=34a0b141-aa66-45d3-92c4-47afa0254f11"]}],"mendeley":{"formattedCitation":"Yakub B. Susabda, &lt;i&gt;Konseling Pastoral: Sebuah Pengantar&lt;/i&gt; (Malang: Gandum Mas, 1997), 56–59.","plainTextFormattedCitation":"Yakub B. Susabda, Konseling Pastoral: Sebuah Pengantar (Malang: Gandum Mas, 1997), 56–59.","previouslyFormattedCitation":"Yakub B. Susabda, &lt;i&gt;Konseling Pastoral: Sebuah Pengantar&lt;/i&gt; (Malang: Gandum Mas, 1997), 56–59."},"properties":{"noteIndex":48},"schema":"https://github.com/citation-style-language/schema/raw/master/csl-citation.json"}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Yakub B. Susabda, </w:t>
      </w:r>
      <w:r w:rsidRPr="00C71822">
        <w:rPr>
          <w:rFonts w:ascii="Times New Roman" w:hAnsi="Times New Roman" w:cs="Times New Roman"/>
          <w:i/>
          <w:noProof/>
          <w:lang w:val="sv-SE"/>
        </w:rPr>
        <w:t>Konseling Pastoral: Sebuah Pengantar</w:t>
      </w:r>
      <w:r w:rsidRPr="00C71822">
        <w:rPr>
          <w:rFonts w:ascii="Times New Roman" w:hAnsi="Times New Roman" w:cs="Times New Roman"/>
          <w:noProof/>
          <w:lang w:val="sv-SE"/>
        </w:rPr>
        <w:t xml:space="preserve"> (Malang: Gandum Mas, 1997), 56–59.</w:t>
      </w:r>
      <w:r w:rsidRPr="00C71822">
        <w:rPr>
          <w:rFonts w:ascii="Times New Roman" w:hAnsi="Times New Roman" w:cs="Times New Roman"/>
        </w:rPr>
        <w:fldChar w:fldCharType="end"/>
      </w:r>
    </w:p>
  </w:footnote>
  <w:footnote w:id="49">
    <w:p w14:paraId="1DCF82F0" w14:textId="63AC21C1"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Darmaputera","type":"book"},"uris":["http://www.mendeley.com/documents/?uuid=60892591-1c32-4877-bd67-28912b3a22c3","http://www.mendeley.com/documents/?uuid=0e5a359d-566f-3a47-aa20-098db52d3ff4"]}],"mendeley":{"formattedCitation":"Eka Darmaputera, &lt;i&gt;Pergulatan Kehadiran Kristen Di Indonesia: Teks-Teks Terpilih Eka Darmaputera&lt;/i&gt;.","plainTextFormattedCitation":"Eka Darmaputera, Pergulatan Kehadiran Kristen Di Indonesia: Teks-Teks Terpilih Eka Darmaputera.","previouslyFormattedCitation":"Eka Darmaputera, &lt;i&gt;Pergulatan kehadiran Kristen di Indonesia: teks-teks terpilih Eka Darmaputera&lt;/i&gt;, 121."},"properties":{"noteIndex":49},"schema":"https://github.com/citation-style-language/schema/raw/master/csl-citation.json"}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Eka Darmaputera, </w:t>
      </w:r>
      <w:r w:rsidRPr="00C71822">
        <w:rPr>
          <w:rFonts w:ascii="Times New Roman" w:hAnsi="Times New Roman" w:cs="Times New Roman"/>
          <w:i/>
          <w:noProof/>
          <w:lang w:val="sv-SE"/>
        </w:rPr>
        <w:t>Pergulatan Kehadiran Kristen Di Indonesia: Teks-Teks Terpilih Eka Darmaputera</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0">
    <w:p w14:paraId="3CDEFAEB" w14:textId="79C401F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 368."},"properties":{"noteIndex":50},"schema":"https://github.com/citation-style-language/schema/raw/master/csl-citation.json"}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1">
    <w:p w14:paraId="514CD905" w14:textId="45DDEE98"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 89."},"properties":{"noteIndex":51},"schema":"https://github.com/citation-style-language/schema/raw/master/csl-citation.json"}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52">
    <w:p w14:paraId="0C2E71E1" w14:textId="1421EF47"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{"citationItems":[{"id":"ITEM-1","itemData":{"ISBN":"9789794153529","abstract":"Sudah kita bahas pada artikel sebelumnya, bahwa pertobatan dan iman tidak dapat dipisahkan. Keduanya ibarat koin dengan kedua sisinya. Keduanya berjalan seiring. Kita tidak bisa bertobat tanpa percaya kepada Yesus Kristus, dan percaya tanpa bertobat dari dosa-dosa kita. Hal itu tidak membawa kepada keselamatan, baca artikel Pertobatan(Konversi).","author":[{"dropping-particle":"","family":"Harun Hadiwijono","given":"","non-dropping-particle":"","parse-names":false,"suffix":""}],"id":"ITEM-1","issued":{"date-parts":[["2007"]]},"number-of-pages":"509","publisher":"BPK Gunung Mulia","publisher-place":"Jakarta","title":"Iman kristen","type":"book"},"locator":"215","uris":["http://www.mendeley.com/documents/?uuid=21a2d060-446d-3688-9ef8-63911354f3c5","http://www.mendeley.com/documents/?uuid=a38dba46-bcf0-4f33-933c-37cb71849771"]}],"mendeley":{"formattedCitation":"Harun Hadiwijono, &lt;i&gt;Iman Kristen&lt;/i&gt; (Jakarta: BPK Gunung Mulia, 2007), 215.","plainTextFormattedCitation":"Harun Hadiwijono, Iman Kristen (Jakarta: BPK Gunung Mulia, 2007), 215.","previouslyFormattedCitation":"Harun Hadiwijono, &lt;i&gt;Iman kristen&lt;/i&gt; (Jakarta: BPK Gunung Mulia, 2007), 215."},"properties":{"noteIndex":52},"schema":"https://github.com/citation-style-language/schema/raw/master/csl-citation.json"}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Harun Hadiwijono, </w:t>
      </w:r>
      <w:r w:rsidRPr="00C71822">
        <w:rPr>
          <w:rFonts w:ascii="Times New Roman" w:hAnsi="Times New Roman" w:cs="Times New Roman"/>
          <w:i/>
          <w:noProof/>
          <w:lang w:val="sv-SE"/>
        </w:rPr>
        <w:t>Iman Kristen</w:t>
      </w:r>
      <w:r w:rsidRPr="00C71822">
        <w:rPr>
          <w:rFonts w:ascii="Times New Roman" w:hAnsi="Times New Roman" w:cs="Times New Roman"/>
          <w:noProof/>
          <w:lang w:val="sv-SE"/>
        </w:rPr>
        <w:t xml:space="preserve"> (Jakarta: BPK Gunung Mulia, 2007), 215.</w:t>
      </w:r>
      <w:r w:rsidRPr="00C71822">
        <w:rPr>
          <w:rFonts w:ascii="Times New Roman" w:hAnsi="Times New Roman" w:cs="Times New Roman"/>
        </w:rPr>
        <w:fldChar w:fldCharType="end"/>
      </w:r>
    </w:p>
  </w:footnote>
  <w:footnote w:id="53">
    <w:p w14:paraId="6CD38F24" w14:textId="6D7D2AD1"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matters","type":"book"},"uris":["http://www.mendeley.com/documents/?uuid=93346915-f514-4cd7-9ec4-8fad30fd8363","http://www.mendeley.com/documents/?uuid=d35b3814-a7a7-3aaf-90aa-ec7dc91e0b19"]}],"mendeley":{"formattedCitation":"N. T. Wright, &lt;i&gt;Simply Jesus : A New Vision of Who He Was, What He Did, and Why He Matters&lt;/i&gt;.","plainTextFormattedCitation":"N. T. Wright, Simply Jesus : A New Vision of Who He Was, What He Did, and Why He Matters.","previouslyFormattedCitation":"N. T. Wright, &lt;i&gt;Simply Jesus : a new vision of who he was, what he did, and why he matters&lt;/i&gt;, 146."},"properties":{"noteIndex":53},"schema":"https://github.com/citation-style-language/schema/raw/master/csl-citation.json"}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N. T. Wright, </w:t>
      </w:r>
      <w:r w:rsidRPr="00C71822">
        <w:rPr>
          <w:rFonts w:ascii="Times New Roman" w:hAnsi="Times New Roman" w:cs="Times New Roman"/>
          <w:i/>
          <w:noProof/>
          <w:lang w:val="sv-SE"/>
        </w:rPr>
        <w:t>Simply Jesus : A New Vision of Who He Was, What He Did, and Why He Matters</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4">
    <w:p w14:paraId="0B274015" w14:textId="62DDA0B8"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Injil","type":"book"},"uris":["http://www.mendeley.com/documents/?uuid=88d23f1c-cf8f-4250-b81c-6ddf956a91dd","http://www.mendeley.com/documents/?uuid=d3a72026-ddab-4d80-9b61-2b98f99eceec"]}],"mendeley":{"formattedCitation":"Grenz, &lt;i&gt;Teologi Postmodernisme: Membaca Budaya Dengan Kacamata Injil&lt;/i&gt;.","plainTextFormattedCitation":"Grenz, Teologi Postmodernisme: Membaca Budaya Dengan Kacamata Injil.","previouslyFormattedCitation":"Grenz, &lt;i&gt;Teologi Postmodernisme: Membaca Budaya dengan Kacamata Injil&lt;/i&gt;, 42."},"properties":{"noteIndex":54},"schema":"https://github.com/citation-style-language/schema/raw/master/csl-citation.json"}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Grenz, </w:t>
      </w:r>
      <w:r w:rsidRPr="00C71822">
        <w:rPr>
          <w:rFonts w:ascii="Times New Roman" w:hAnsi="Times New Roman" w:cs="Times New Roman"/>
          <w:i/>
          <w:noProof/>
          <w:lang w:val="sv-SE"/>
        </w:rPr>
        <w:t>Teologi Postmodernisme: Membaca Budaya Dengan Kacamata Injil</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5">
    <w:p w14:paraId="7BD21D99" w14:textId="3CD8EF3F"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 32–34."},"properties":{"noteIndex":55},"schema":"https://github.com/citation-style-language/schema/raw/master/csl-citation.json"}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6">
    <w:p w14:paraId="46C66AB9" w14:textId="08D8C905"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Kleden","given":"Budi","non-dropping-particle":"","parse-names":false,"suffix":""}],"id":"ITEM-1","issued":{"date-parts":[["2015"]]},"publisher":"Kanisius","publisher-place":"Yogyakarta","title":"Kristologi dalam Konteks Papua","type":"book"},"locator":"61","uris":["http://www.mendeley.com/documents/?uuid=9b05fa66-b019-40f6-b76c-4f509f4b894e","http://www.mendeley.com/documents/?uuid=494ab2e2-c5f4-43df-9f87-49d8537bddbe"]}],"mendeley":{"formattedCitation":"Budi Kleden, &lt;i&gt;Kristologi Dalam Konteks Papua&lt;/i&gt; (Yogyakarta: Kanisius, 2015), 61.","plainTextFormattedCitation":"Budi Kleden, Kristologi Dalam Konteks Papua (Yogyakarta: Kanisius, 2015), 61.","previouslyFormattedCitation":"Budi Kleden, &lt;i&gt;Kristologi dalam Konteks Papua&lt;/i&gt; (Yogyakarta: Kanisius, 2015), 61."},"properties":{"noteIndex":56},"schema":"https://github.com/citation-style-language/schema/raw/master/csl-citation.json"}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Budi Kleden, </w:t>
      </w:r>
      <w:r w:rsidRPr="00C71822">
        <w:rPr>
          <w:rFonts w:ascii="Times New Roman" w:hAnsi="Times New Roman" w:cs="Times New Roman"/>
          <w:i/>
          <w:noProof/>
          <w:lang w:val="sv-SE"/>
        </w:rPr>
        <w:t>Kristologi Dalam Konteks Papua</w:t>
      </w:r>
      <w:r w:rsidRPr="00C71822">
        <w:rPr>
          <w:rFonts w:ascii="Times New Roman" w:hAnsi="Times New Roman" w:cs="Times New Roman"/>
          <w:noProof/>
          <w:lang w:val="sv-SE"/>
        </w:rPr>
        <w:t xml:space="preserve"> (Yogyakarta: Kanisius, 2015), 61.</w:t>
      </w:r>
      <w:r w:rsidRPr="00C71822">
        <w:rPr>
          <w:rFonts w:ascii="Times New Roman" w:hAnsi="Times New Roman" w:cs="Times New Roman"/>
        </w:rPr>
        <w:fldChar w:fldCharType="end"/>
      </w:r>
    </w:p>
  </w:footnote>
  <w:footnote w:id="57">
    <w:p w14:paraId="44F903AA" w14:textId="3626DA7F"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{"citationItems":[{"id":"ITEM-1","itemData":{"author":[{"dropping-particle":"","family":"Carson","given":"D. A.","non-dropping-particle":"","parse-names":false,"suffix":""}],"id":"ITEM-1","issued":{"date-parts":[["2020"]]},"publisher":"Zondervan","publisher-place":"Grand Rapids","title":"The Gagging of God: Christianity Confronts Pluralism","type":"book"},"uris":["http://www.mendeley.com/documents/?uuid=db999623-d4bf-446c-a25e-4009f83bd5e2","http://www.mendeley.com/documents/?uuid=e94ef148-d7b6-45a6-b795-4ec6e3969af6"]}],"mendeley":{"formattedCitation":"D. A. Carson, &lt;i&gt;The Gagging of God: Christianity Confronts Pluralism&lt;/i&gt; (Grand Rapids: Zondervan, 2020).","plainTextFormattedCitation":"D. A. Carson, The Gagging of God: Christianity Confronts Pluralism (Grand Rapids: Zondervan, 2020).","previouslyFormattedCitation":"D. A. Carson, &lt;i&gt;The Gagging of God: Christianity Confronts Pluralism&lt;/i&gt; (Grand Rapids: Zondervan, 2020)."},"properties":{"noteIndex":57},"schema":"https://github.com/citation-style-language/schema/raw/master/csl-citation.json"}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 A. Carson, </w:t>
      </w:r>
      <w:r w:rsidRPr="00C71822">
        <w:rPr>
          <w:rFonts w:ascii="Times New Roman" w:hAnsi="Times New Roman" w:cs="Times New Roman"/>
          <w:i/>
          <w:noProof/>
        </w:rPr>
        <w:t>The Gagging of God: Christianity Confronts Pluralism</w:t>
      </w:r>
      <w:r w:rsidRPr="00C71822">
        <w:rPr>
          <w:rFonts w:ascii="Times New Roman" w:hAnsi="Times New Roman" w:cs="Times New Roman"/>
          <w:noProof/>
        </w:rPr>
        <w:t xml:space="preserve"> (Grand Rapids: Zondervan, 2020).</w:t>
      </w:r>
      <w:r w:rsidRPr="00C71822">
        <w:rPr>
          <w:rFonts w:ascii="Times New Roman" w:hAnsi="Times New Roman" w:cs="Times New Roman"/>
        </w:rPr>
        <w:fldChar w:fldCharType="end"/>
      </w:r>
    </w:p>
  </w:footnote>
  <w:footnote w:id="58">
    <w:p w14:paraId="200E5D09" w14:textId="23A0E491"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163–166."},"properties":{"noteIndex":58},"schema":"https://github.com/citation-style-language/schema/raw/master/csl-citation.json"}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9">
    <w:p w14:paraId="6213F8A9" w14:textId="6EAB7568"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Society&lt;/i&gt;."},"properties":{"noteIndex":59},"schema":"https://github.com/citation-style-language/schema/raw/master/csl-citation.json"}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0">
    <w:p w14:paraId="333755CB" w14:textId="34CCA63B"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{"citationItems":[{"id":"ITEM-1","itemData":{"author":[{"dropping-particle":"","family":"LAI 1974","given":"","non-dropping-particle":"","parse-names":false,"suffix":""}],"id":"ITEM-1","issued":{"date-parts":[["2018"]]},"publisher":"LEMBAGA ALKITAB INDONESIA","publisher-place":"Jakarta","title":"Alkitab Terjemahan Baru","type":"book"},"uris":["http://www.mendeley.com/documents/?uuid=5ecfd748-2138-4575-a9e8-1328071f59f8","http://www.mendeley.com/documents/?uuid=77dd9e37-b22d-4b2b-a40a-3f03cfb7765c"]}],"mendeley":{"formattedCitation":"LAI 1974, &lt;i&gt;Alkitab Terjemahan Baru&lt;/i&gt; (Jakarta: LEMBAGA ALKITAB INDONESIA, 2018).","plainTextFormattedCitation":"LAI 1974, Alkitab Terjemahan Baru (Jakarta: LEMBAGA ALKITAB INDONESIA, 2018).","previouslyFormattedCitation":"LAI 1974, &lt;i&gt;Alkitab Terjemahan Baru&lt;/i&gt; (Jakarta: LEMBAGA ALKITAB INDONESIA, 2018)."},"properties":{"noteIndex":60},"schema":"https://github.com/citation-style-language/schema/raw/master/csl-citation.json"}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LAI 1974, </w:t>
      </w:r>
      <w:r w:rsidRPr="00C71822">
        <w:rPr>
          <w:rFonts w:ascii="Times New Roman" w:hAnsi="Times New Roman" w:cs="Times New Roman"/>
          <w:i/>
          <w:noProof/>
        </w:rPr>
        <w:t>Alkitab Terjemahan Baru</w:t>
      </w:r>
      <w:r w:rsidRPr="00C71822">
        <w:rPr>
          <w:rFonts w:ascii="Times New Roman" w:hAnsi="Times New Roman" w:cs="Times New Roman"/>
          <w:noProof/>
        </w:rPr>
        <w:t xml:space="preserve"> (Jakarta: LEMBAGA ALKITAB INDONESIA, 2018).</w:t>
      </w:r>
      <w:r w:rsidRPr="00C71822">
        <w:rPr>
          <w:rFonts w:ascii="Times New Roman" w:hAnsi="Times New Roman" w:cs="Times New Roman"/>
        </w:rPr>
        <w:fldChar w:fldCharType="end"/>
      </w:r>
    </w:p>
  </w:footnote>
  <w:footnote w:id="61">
    <w:p w14:paraId="6CE323E3" w14:textId="63AD8DA8"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{"citationItems":[{"id":"ITEM-1","itemData":{"DOI":"10.47154/SCRIPTA.V6I2.49","ISSN":"2685-2144","abstract":"Kristologi adalah merupakan pokok terpenting dalam ajaran iman Kristen. Kristologi juga bisa disebut sebagai pusat kekristenan itu sendiri, dengan itu kristologi adalah pusat dari ilmu theologia. Karenanya mempelajari Pribadi dan karya Kristus, berarti sedang berada pada pusat theologi Kristen. Yesus Kristuslah yang memberikan identitas kepada kekristenan, yang sekaligus membedakannya dari agama atau kepercayaan yang lain. Keistimewaan doktrin ini terletak dalam pribadi dan karya Yesus Kristus sebagai Tuhan yang menjadi finalitas jalan menuju kepada keselamatan yang kekal. Pemahaman yang benar terhadap doktrin kristologi tidak lepas dari pengetahuan yang sehat terhadap Alkitab, sebab Alkitablah satu-satunya sumber utama yang dengan jujur dan terbuka memberikan kesaksian mengenai pribadi Yesus sebagai juruselamat dunia. Memang realita historis tulisan-tulisan di dalam Alkitab itu ditulis oleh manusia, akan tetapi proses penulisannya diilhami oleh Allah melalui pimpinan Roh Kudus sehingga apa yang diucapkan atau ditulis sesuai dengan kehendak Tuhan (bnd. 2Tim 3:16). Alkitab secara keseluruhan dipercaya dengan akurat dalam mengambarkan Yesus Kristus. Akan tetapi dalam prosesnya banyak ditemukan bahwa kristologi yang dihasilkan bertentangan dengan Alkitab. Sejarah membuktikan bahwa gereja selalu berhadapan dengan pengajaran-pengajaran sesat yang menyerang gereja dari dalam. Dalam hal ini berbentuk ajaran-ajaran (doktrin) yang menyesatkan atau bidat-bidat yang menyelewengkan ajaran murni Alkitab. Bahaya ajaran-ajaran sesat ini tidak saja timbul pada abad-abad belakangan ini, melainkan sudah ada sejak gereja didirikan. Karenanya penulis hendak menguraikan kristologi yang akan menjadi dasar apologetika di era postmodern sekarang ini.\n&amp;amp;nbsp;\nChristology is the most important point in the teachings of the Christian faith. Christology can also be called the center of Christianity itself, so that Christology is the center of theological science. Therefore studying the Person and work of Christ, means being at the center of Christian theology. It is Jesus Christ who gives identity to Christianity, which also distinguishes it from other religions or beliefs. The specialty of this doctrine lies in the person and work of Jesus Christ as Lord who becomes the finality of the path to eternal salvation. A correct understanding of the doctrine of Christology is inseparable from a healthy knowledge of the Bible, because the Bible is the only major source that honestly a…","author":[{"dropping-particle":"","family":"Marlon Butarbutar","given":"","non-dropping-particle":"","parse-names":false,"suffix":""}],"container-title":"Scripta","id":"ITEM-1","issue":"2","issued":{"date-parts":[["2018","6"]]},"page":"116-128","publisher":"Sekolah Tinggi Theologia Ebenhaezer","title":"Kristologi Biblika Menurut Kaum Reformed sebagai Salah Satu Dasar Apologetika dalam Menghadapi Pengajaran Gnostik di Era Postmodern","type":"article-journal","volume":"6"},"uris":["http://www.mendeley.com/documents/?uuid=8f3e1cd0-3cf4-34f5-8623-66c7abad0742","http://www.mendeley.com/documents/?uuid=58b5d8f5-e30b-411f-aa1b-0bb169bfefdc"]}],"mendeley":{"formattedCitation":"Marlon Butarbutar, “Kristologi Biblika Menurut Kaum Reformed Sebagai Salah Satu Dasar Apologetika Dalam Menghadapi Pengajaran Gnostik Di Era Postmodern,” &lt;i&gt;Scripta&lt;/i&gt; 6, no. 2 (June 2018): 116–128.","plainTextFormattedCitation":"Marlon Butarbutar, “Kristologi Biblika Menurut Kaum Reformed Sebagai Salah Satu Dasar Apologetika Dalam Menghadapi Pengajaran Gnostik Di Era Postmodern,” Scripta 6, no. 2 (June 2018): 116–128.","previouslyFormattedCitation":"Marlon Butarbutar, “Kristologi Biblika Menurut Kaum Reformed sebagai Salah Satu Dasar Apologetika dalam Menghadapi Pengajaran Gnostik di Era Postmodern,” &lt;i&gt;Scripta&lt;/i&gt; 6, no. 2 (Juni 18, 2018): 116–128, diakses September 5, 2025, https://www.neliti.com/publications/529614/."},"properties":{"noteIndex":61},"schema":"https://github.com/citation-style-language/schema/raw/master/csl-citation.json"}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en-US"/>
        </w:rPr>
        <w:t xml:space="preserve">Marlon Butarbutar, “Kristologi Biblika Menurut Kaum Reformed Sebagai Salah Satu Dasar Apologetika Dalam Menghadapi Pengajaran Gnostik Di Era Postmodern,” </w:t>
      </w:r>
      <w:r w:rsidRPr="00C71822">
        <w:rPr>
          <w:rFonts w:ascii="Times New Roman" w:hAnsi="Times New Roman" w:cs="Times New Roman"/>
          <w:i/>
          <w:noProof/>
          <w:lang w:val="en-US"/>
        </w:rPr>
        <w:t>Scripta</w:t>
      </w:r>
      <w:r w:rsidRPr="00C71822">
        <w:rPr>
          <w:rFonts w:ascii="Times New Roman" w:hAnsi="Times New Roman" w:cs="Times New Roman"/>
          <w:noProof/>
          <w:lang w:val="en-US"/>
        </w:rPr>
        <w:t xml:space="preserve"> 6, no. 2 (June 2018): 116–128.</w:t>
      </w:r>
      <w:r w:rsidRPr="00C71822">
        <w:rPr>
          <w:rFonts w:ascii="Times New Roman" w:hAnsi="Times New Roman" w:cs="Times New Roman"/>
        </w:rPr>
        <w:fldChar w:fldCharType="end"/>
      </w:r>
    </w:p>
  </w:footnote>
  <w:footnote w:id="62">
    <w:p w14:paraId="60E49ED1" w14:textId="789AE1D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{"citationItems":[{"id":"ITEM-1","itemData":{"author":[{"dropping-particle":"","family":"Oakes","given":"Edward T","non-dropping-particle":"","parse-names":false,"suffix":""}],"container-title":"A Monthly Journal of Religion and Public Life","id":"ITEM-1","issue":"169","issued":{"date-parts":[["2007","1"]]},"page":"56-57","title":"SIMPLY CHRISTIAN: WHY CHRISTIANITY MAKES SENSE ","type":"article-journal"},"uris":["http://www.mendeley.com/documents/?uuid=596a6e56-baf7-3579-a016-a7c54dee6c29","http://www.mendeley.com/documents/?uuid=18fad50f-6b18-4534-bfe6-315698d95bf8"]}],"mendeley":{"formattedCitation":"Edward T Oakes, “SIMPLY CHRISTIAN: WHY CHRISTIANITY MAKES SENSE ,” &lt;i&gt;A Monthly Journal of Religion and Public Life&lt;/i&gt;, no. 169 (January 2007): 56–57.","plainTextFormattedCitation":"Edward T Oakes, “SIMPLY CHRISTIAN: WHY CHRISTIANITY MAKES SENSE ,” A Monthly Journal of Religion and Public Life, no. 169 (January 2007): 56–57.","previouslyFormattedCitation":"Edward T Oakes, “SIMPLY CHRISTIAN: WHY CHRISTIANITY MAKES SENSE ,” &lt;i&gt;A Monthly Journal of Religion and Public Life&lt;/i&gt;, no. 169 (Januari 2007): 56–57, diakses September 5, 2025, https://www.proquest.com/openview/5200d57deed299d3e85bdd46f7e67450/1?pq-origsite=gscholar&amp;cbl=45949."},"properties":{"noteIndex":62},"schema":"https://github.com/citation-style-language/schema/raw/master/csl-citation.json"}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Edward T Oakes, “SIMPLY CHRISTIAN: WHY CHRISTIANITY MAKES SENSE ,” </w:t>
      </w:r>
      <w:r w:rsidRPr="00C71822">
        <w:rPr>
          <w:rFonts w:ascii="Times New Roman" w:hAnsi="Times New Roman" w:cs="Times New Roman"/>
          <w:i/>
          <w:noProof/>
        </w:rPr>
        <w:t>A Monthly Journal of Religion and Public Life</w:t>
      </w:r>
      <w:r w:rsidRPr="00C71822">
        <w:rPr>
          <w:rFonts w:ascii="Times New Roman" w:hAnsi="Times New Roman" w:cs="Times New Roman"/>
          <w:noProof/>
        </w:rPr>
        <w:t>, no. 169 (January 2007): 56–57.</w:t>
      </w:r>
      <w:r w:rsidRPr="00C71822">
        <w:rPr>
          <w:rFonts w:ascii="Times New Roman" w:hAnsi="Times New Roman" w:cs="Times New Roman"/>
        </w:rPr>
        <w:fldChar w:fldCharType="end"/>
      </w:r>
    </w:p>
  </w:footnote>
  <w:footnote w:id="63">
    <w:p w14:paraId="3DADB2BC" w14:textId="69DB287A"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 37–39."},"properties":{"noteIndex":63},"schema":"https://github.com/citation-style-language/schema/raw/master/csl-citation.json"}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64">
    <w:p w14:paraId="4BAEA4F9" w14:textId="309545A6"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{"citationItems":[{"id":"ITEM-1","itemData":{"ISBN":"0310453216","abstract":"Includes indexes. In this book, addressed to the \"Western, white evangelical community,\" Professor Conn drives home the need for a radical reevaluation of our Western models for theology and missions. The rise of non-Western and nonwhite theologies and the changes in our understanding of language, culture, and religions force upon us the realization of the inadequacy of our ethnocentric, abstracting approach to theology and missions. We are experiencing the birthpangs of a new mode of understanding, shaped by (and shaping) the current trialogue between theology, anthropology, and mission. After tracing the earlier history of the interaction, Conn explores the currents and crosscurrents in this trialogue as it struggles with the reexamination of our Western paradigms for theology and mission. Conn concludes with an agenda of key issues on which we must focus if this new understanding is to take a truly Christian shape. What is needed is the evangelical's active participation in the trialogue between theology, anthropology, and mission. --from back cover. ","author":[{"dropping-particle":"","family":"Conn","given":"Harvie M..","non-dropping-particle":"","parse-names":false,"suffix":""}],"id":"ITEM-1","issued":{"date-parts":[["1984"]]},"number-of-pages":"372","publisher":"Zondervan","publisher-place":"Grand Rapids, Mich.","title":"Eternal word and changing worlds: theology, anthropology, and mission in trialogue","type":"book"},"locator":"67-70","uris":["http://www.mendeley.com/documents/?uuid=8aca58dd-bf6b-3c91-b763-b1add203bf5d","http://www.mendeley.com/documents/?uuid=e4cc2b38-b4af-4370-ab1e-838227e09496"]}],"mendeley":{"formattedCitation":"Harvie M.. Conn, &lt;i&gt;Eternal Word and Changing Worlds: Theology, Anthropology, and Mission in Trialogue&lt;/i&gt; (Grand Rapids, Mich.: Zondervan, 1984), 67–70.","plainTextFormattedCitation":"Harvie M.. Conn, Eternal Word and Changing Worlds: Theology, Anthropology, and Mission in Trialogue (Grand Rapids, Mich.: Zondervan, 1984), 67–70.","previouslyFormattedCitation":"Harvie M.. Conn, &lt;i&gt;Eternal word and changing worlds: theology, anthropology, and mission in trialogue&lt;/i&gt; (Grand Rapids, Mich.: Zondervan, 1984), 67–70."},"properties":{"noteIndex":64},"schema":"https://github.com/citation-style-language/schema/raw/master/csl-citation.json"}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Harvie M.. Conn, </w:t>
      </w:r>
      <w:r w:rsidRPr="00C71822">
        <w:rPr>
          <w:rFonts w:ascii="Times New Roman" w:hAnsi="Times New Roman" w:cs="Times New Roman"/>
          <w:i/>
          <w:noProof/>
        </w:rPr>
        <w:t>Eternal Word and Changing Worlds: Theology, Anthropology, and Mission in Trialogue</w:t>
      </w:r>
      <w:r w:rsidRPr="00C71822">
        <w:rPr>
          <w:rFonts w:ascii="Times New Roman" w:hAnsi="Times New Roman" w:cs="Times New Roman"/>
          <w:noProof/>
        </w:rPr>
        <w:t xml:space="preserve"> (Grand Rapids, Mich.: Zondervan, 1984), 67–70.</w:t>
      </w:r>
      <w:r w:rsidRPr="00C71822">
        <w:rPr>
          <w:rFonts w:ascii="Times New Roman" w:hAnsi="Times New Roman" w:cs="Times New Roman"/>
        </w:rPr>
        <w:fldChar w:fldCharType="end"/>
      </w:r>
    </w:p>
  </w:footnote>
  <w:footnote w:id="65">
    <w:p w14:paraId="05FBB3A9" w14:textId="1A3E675F" w:rsidR="001366A2" w:rsidRPr="00185040" w:rsidRDefault="001366A2" w:rsidP="00813C21">
      <w:pPr>
        <w:pStyle w:val="FootnoteText"/>
        <w:ind w:firstLine="720"/>
        <w:rPr>
          <w:rFonts w:ascii="Calibri Light" w:hAnsi="Calibri Light" w:cs="Calibri Light"/>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{"citationItems":[{"id":"ITEM-1","itemData":{"DOI":"10.1177/009182969402200301","ISSN":"0091-8296","abstract":"Conscience is God-given and functions as an internal witness which ratifies the biblical message that we are sinners in need of salvation. Conscience contributes to repentance and faith, and plays ...","author":[{"dropping-particle":"","family":"Priest","given":"Robert J.","non-dropping-particle":"","parse-names":false,"suffix":""}],"container-title":"Missiology","id":"ITEM-1","issue":"3","issued":{"date-parts":[["1994","7"]]},"page":"291-315","publisher":"SAGE PublicationsSage UK: London, England","title":"Missionary Elenctics: Conscience and Culture","type":"article-journal","volume":"22"},"locator":"55-73","uris":["http://www.mendeley.com/documents/?uuid=f30d423c-6f77-3e8a-b8b1-ba53f269baef","http://www.mendeley.com/documents/?uuid=76540709-ed2b-4a48-882d-740a40c7f1c0"]}],"mendeley":{"formattedCitation":"Robert J. Priest, “Missionary Elenctics: Conscience and Culture,” &lt;i&gt;Missiology&lt;/i&gt; 22, no. 3 (July 1994): 55–73.","plainTextFormattedCitation":"Robert J. Priest, “Missionary Elenctics: Conscience and Culture,” Missiology 22, no. 3 (July 1994): 55–73.","previouslyFormattedCitation":"Robert J. Priest, “Missionary Elenctics: Conscience and Culture,” &lt;i&gt;Missiology&lt;/i&gt; 22, no. 3 (Juli 1994): 55–73, diakses September 5, 2025, /doi/pdf/10.1177/009182969402200301?download=true."},"properties":{"noteIndex":65},"schema":"https://github.com/citation-style-language/schema/raw/master/csl-citation.json"}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Robert J. Priest, “Missionary Elenctics: Conscience and Culture,” </w:t>
      </w:r>
      <w:r w:rsidRPr="00C71822">
        <w:rPr>
          <w:rFonts w:ascii="Times New Roman" w:hAnsi="Times New Roman" w:cs="Times New Roman"/>
          <w:i/>
          <w:noProof/>
        </w:rPr>
        <w:t>Missiology</w:t>
      </w:r>
      <w:r w:rsidRPr="00C71822">
        <w:rPr>
          <w:rFonts w:ascii="Times New Roman" w:hAnsi="Times New Roman" w:cs="Times New Roman"/>
          <w:noProof/>
        </w:rPr>
        <w:t xml:space="preserve"> 22, no. 3 (July 1994): 55–73.</w:t>
      </w:r>
      <w:r w:rsidRPr="00C7182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7FAD" w14:textId="578E4452" w:rsidR="001366A2" w:rsidRDefault="001366A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ED8A0" w14:textId="77777777" w:rsidR="001366A2" w:rsidRDefault="001366A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B68F0"/>
    <w:multiLevelType w:val="multilevel"/>
    <w:tmpl w:val="49DC0E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TrueTypeFont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366A2"/>
    <w:rsid w:val="00230647"/>
    <w:rsid w:val="00273E5A"/>
    <w:rsid w:val="002E779E"/>
    <w:rsid w:val="00353E95"/>
    <w:rsid w:val="003929F5"/>
    <w:rsid w:val="003A4350"/>
    <w:rsid w:val="007058EC"/>
    <w:rsid w:val="00813C21"/>
    <w:rsid w:val="009820E0"/>
    <w:rsid w:val="009F4195"/>
    <w:rsid w:val="00AE35FD"/>
    <w:rsid w:val="00B66877"/>
    <w:rsid w:val="00BA74A8"/>
    <w:rsid w:val="00C30472"/>
    <w:rsid w:val="00C71822"/>
    <w:rsid w:val="00DF3D85"/>
    <w:rsid w:val="00E01239"/>
    <w:rsid w:val="00EC38BA"/>
    <w:rsid w:val="00F4082F"/>
    <w:rsid w:val="00F55765"/>
    <w:rsid w:val="00F903B5"/>
    <w:rsid w:val="00FE2A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EC38BA"/>
    <w:rPr>
      <w:rFonts w:asciiTheme="minorHAnsi" w:eastAsiaTheme="minorHAnsi" w:hAnsiTheme="minorHAnsi" w:cstheme="minorBidi"/>
      <w:kern w:val="2"/>
      <w:sz w:val="20"/>
      <w:szCs w:val="20"/>
      <w:lang w:val="en-ID" w:eastAsia="en-US"/>
      <w14:ligatures w14:val="standardContextual"/>
    </w:rPr>
  </w:style>
  <w:style w:type="character" w:customStyle="1" w:styleId="FootnoteTextChar">
    <w:name w:val="Footnote Text Char"/>
    <w:basedOn w:val="DefaultParagraphFont"/>
    <w:link w:val="FootnoteText"/>
    <w:uiPriority w:val="99"/>
    <w:semiHidden/>
    <w:rsid w:val="00EC38BA"/>
    <w:rPr>
      <w:rFonts w:asciiTheme="minorHAnsi" w:eastAsiaTheme="minorHAnsi" w:hAnsiTheme="minorHAnsi" w:cstheme="minorBidi"/>
      <w:kern w:val="2"/>
      <w:sz w:val="20"/>
      <w:szCs w:val="20"/>
      <w:lang w:val="en-ID" w:eastAsia="en-US"/>
      <w14:ligatures w14:val="standardContextual"/>
    </w:rPr>
  </w:style>
  <w:style w:type="character" w:styleId="FootnoteReference">
    <w:name w:val="footnote reference"/>
    <w:basedOn w:val="DefaultParagraphFont"/>
    <w:uiPriority w:val="99"/>
    <w:semiHidden/>
    <w:unhideWhenUsed/>
    <w:rsid w:val="00EC38BA"/>
    <w:rPr>
      <w:vertAlign w:val="superscript"/>
    </w:rPr>
  </w:style>
  <w:style w:type="character" w:styleId="CommentReference">
    <w:name w:val="annotation reference"/>
    <w:basedOn w:val="DefaultParagraphFont"/>
    <w:uiPriority w:val="99"/>
    <w:semiHidden/>
    <w:unhideWhenUsed/>
    <w:rsid w:val="00EC38B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221C2F-8D8C-486D-B10F-C601E83B3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16</Pages>
  <Words>7223</Words>
  <Characters>41175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Saya</cp:lastModifiedBy>
  <cp:revision>27</cp:revision>
  <dcterms:created xsi:type="dcterms:W3CDTF">2023-02-22T06:25:00Z</dcterms:created>
  <dcterms:modified xsi:type="dcterms:W3CDTF">2025-11-08T07:29:00Z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6796c386-64e0-3e42-8000-77f477ac4328</vt:lpwstr>
  </property>
  <property fmtid="{D5CDD505-2E9C-101B-9397-08002B2CF9AE}" pid="25" name="Mendeley Citation Style_1">
    <vt:lpwstr>http://www.zotero.org/styles/turabian-fullnote-bibliography</vt:lpwstr>
  </property>
</Properties>
</file>