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1366A2">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9DC99D6" w:rsidR="00C30472" w:rsidRPr="00BA74A8"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13A1ABAE" w14:textId="77777777" w:rsidR="00BA74A8" w:rsidRPr="00BA74A8" w:rsidRDefault="00BA74A8" w:rsidP="00BA74A8">
            <w:pPr>
              <w:jc w:val="center"/>
              <w:rPr>
                <w:rFonts w:ascii="Calibri Light" w:hAnsi="Calibri Light" w:cs="Calibri Light"/>
                <w:b/>
                <w:bCs/>
                <w:lang w:val="sv-SE"/>
              </w:rPr>
            </w:pPr>
          </w:p>
          <w:p w14:paraId="6E0D6691" w14:textId="77777777" w:rsidR="00C30472" w:rsidRDefault="00C30472" w:rsidP="00276A63">
            <w:pPr>
              <w:jc w:val="center"/>
              <w:rPr>
                <w:rFonts w:ascii="Lustria" w:eastAsia="Lustria" w:hAnsi="Lustria" w:cs="Lustria"/>
                <w:color w:val="000000"/>
                <w:sz w:val="18"/>
                <w:szCs w:val="18"/>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1366A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1366A2">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Lustria"/>
                <w:b/>
                <w:color w:val="000000"/>
                <w:sz w:val="22"/>
                <w:szCs w:val="22"/>
                <w:vertAlign w:val="subscript"/>
              </w:rPr>
              <w:t>ABSTRAK</w:t>
            </w:r>
          </w:p>
          <w:p w14:paraId="6A5A1759" w14:textId="0ED8B404" w:rsidR="00C30472" w:rsidRDefault="001366A2">
            <w:pPr>
              <w:pBdr>
                <w:top w:val="nil"/>
                <w:left w:val="nil"/>
                <w:bottom w:val="nil"/>
                <w:right w:val="nil"/>
                <w:between w:val="nil"/>
              </w:pBdr>
              <w:jc w:val="both"/>
              <w:rPr>
                <w:rFonts w:eastAsia="Lustria"/>
                <w:color w:val="000000"/>
                <w:sz w:val="22"/>
                <w:szCs w:val="22"/>
              </w:rPr>
            </w:pPr>
            <w:r w:rsidRPr="00F4082F">
              <w:rPr>
                <w:rFonts w:eastAsia="Lustria"/>
                <w:color w:val="000000"/>
                <w:sz w:val="22"/>
                <w:szCs w:val="22"/>
              </w:rPr>
              <w:t>____________________________________________________________</w:t>
            </w:r>
          </w:p>
          <w:p w14:paraId="0C0D7EC5" w14:textId="77777777" w:rsidR="00F4082F" w:rsidRPr="00F4082F" w:rsidRDefault="00F4082F" w:rsidP="00F4082F">
            <w:pPr>
              <w:ind w:firstLine="720"/>
              <w:jc w:val="both"/>
              <w:rPr>
                <w:sz w:val="22"/>
                <w:szCs w:val="22"/>
                <w:lang w:val="sv-SE"/>
              </w:rPr>
            </w:pPr>
            <w:commentRangeStart w:id="0"/>
            <w:r w:rsidRPr="00F4082F">
              <w:rPr>
                <w:sz w:val="22"/>
                <w:szCs w:val="22"/>
                <w:lang w:val="sv-SE"/>
              </w:rPr>
              <w:t xml:space="preserve">Penelitian </w:t>
            </w:r>
            <w:commentRangeEnd w:id="0"/>
            <w:r w:rsidR="008B6EB9" w:rsidRPr="00F4082F">
              <w:rPr>
                <w:rStyle w:val="ReferensiKomentar"/>
                <w:sz w:val="22"/>
                <w:szCs w:val="22"/>
                <w:lang w:val="sv-SE"/>
              </w:rPr>
              <w:commentReference w:id="0"/>
            </w:r>
            <w:r w:rsidRPr="00F4082F">
              <w:rPr>
                <w:sz w:val="22"/>
                <w:szCs w:val="22"/>
                <w:lang w:val="sv-SE"/>
              </w:rPr>
              <w:t xml:space="preserve">ini diarahkan untuk mengkaji hubungan antara pemikiran posmodern dan iman Kristen, khususnya dalam menghadapi tantangan relativisme epistemologis terhadap klaim Injil sebagai kebenaran absolut. Penelitian ini menggunakan pendekatan kualitatif dengan metode studi pustaka. </w:t>
            </w:r>
            <w:commentRangeStart w:id="1"/>
            <w:r w:rsidRPr="008B6EB9">
              <w:rPr>
                <w:color w:val="EE0000"/>
                <w:sz w:val="22"/>
                <w:szCs w:val="22"/>
                <w:lang w:val="sv-SE"/>
              </w:rPr>
              <w:t>Sebagaimana ditegaskan oleh Creswell, penelitian kualitatif menitikberatkan pada penggalian makna di balik ide serta konsep abstrak, sementara Kaelan menyoroti peran sentral studi pustaka dalam penelitian konseptual di bidang filsafat. Literatur utama penelitian ini mencakup karya para filsuf posmodern seperti Jean-François Lyotard, Jacques Derrida, dan Michel Foucault yang mengekspresikan kritik tajam terhadap klaim universalitas kebenaran. Sebaliknya, penelitian ini juga mendialogkan pemikiran tersebut dengan karya-karya teologis, khususnya dari David J. Bosch dan Yakub B. Susabda, yang menegaskan keunikan sekaligus absolutisme Injil dalam perspektif misiologis dan teologis</w:t>
            </w:r>
            <w:commentRangeEnd w:id="1"/>
            <w:r w:rsidR="008B6EB9" w:rsidRPr="00F4082F">
              <w:rPr>
                <w:rStyle w:val="ReferensiKomentar"/>
                <w:sz w:val="22"/>
                <w:szCs w:val="22"/>
                <w:lang w:val="sv-SE"/>
              </w:rPr>
              <w:commentReference w:id="1"/>
            </w:r>
            <w:r w:rsidRPr="00F4082F">
              <w:rPr>
                <w:sz w:val="22"/>
                <w:szCs w:val="22"/>
                <w:lang w:val="sv-SE"/>
              </w:rPr>
              <w:t>.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2A7EADA2" w14:textId="77777777" w:rsidR="00F4082F" w:rsidRPr="00F4082F" w:rsidRDefault="00F4082F">
            <w:pPr>
              <w:pBdr>
                <w:top w:val="nil"/>
                <w:left w:val="nil"/>
                <w:bottom w:val="nil"/>
                <w:right w:val="nil"/>
                <w:between w:val="nil"/>
              </w:pBdr>
              <w:jc w:val="both"/>
              <w:rPr>
                <w:rFonts w:eastAsia="Times New Roman"/>
                <w:color w:val="000000"/>
                <w:sz w:val="22"/>
                <w:szCs w:val="22"/>
              </w:rPr>
            </w:pPr>
          </w:p>
          <w:p w14:paraId="3A146C76" w14:textId="77777777" w:rsidR="003A4350" w:rsidRPr="00F4082F"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F4082F" w:rsidRDefault="001366A2">
            <w:pPr>
              <w:pBdr>
                <w:top w:val="nil"/>
                <w:left w:val="nil"/>
                <w:bottom w:val="nil"/>
                <w:right w:val="nil"/>
                <w:between w:val="nil"/>
              </w:pBdr>
              <w:spacing w:line="276" w:lineRule="auto"/>
              <w:jc w:val="both"/>
              <w:rPr>
                <w:rFonts w:eastAsia="Times New Roman"/>
                <w:color w:val="000000"/>
                <w:sz w:val="22"/>
                <w:szCs w:val="22"/>
              </w:rPr>
            </w:pPr>
            <w:r w:rsidRPr="00F4082F">
              <w:rPr>
                <w:rFonts w:eastAsia="Times New Roman"/>
                <w:color w:val="000000"/>
                <w:sz w:val="22"/>
                <w:szCs w:val="22"/>
              </w:rPr>
              <w:t>___________________________________________________________</w:t>
            </w:r>
          </w:p>
          <w:p w14:paraId="04A73A90"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Kata Kunci:</w:t>
            </w:r>
          </w:p>
          <w:p w14:paraId="1E7E6481" w14:textId="212163A4" w:rsidR="00C30472" w:rsidRPr="00F4082F" w:rsidRDefault="00F4082F">
            <w:pPr>
              <w:pBdr>
                <w:top w:val="nil"/>
                <w:left w:val="nil"/>
                <w:bottom w:val="nil"/>
                <w:right w:val="nil"/>
                <w:between w:val="nil"/>
              </w:pBdr>
              <w:rPr>
                <w:rFonts w:eastAsia="Times New Roman"/>
                <w:i/>
                <w:color w:val="000000"/>
                <w:sz w:val="22"/>
                <w:szCs w:val="22"/>
              </w:rPr>
            </w:pPr>
            <w:r>
              <w:rPr>
                <w:rFonts w:eastAsia="Times New Roman"/>
                <w:color w:val="000000"/>
                <w:sz w:val="22"/>
                <w:szCs w:val="22"/>
              </w:rPr>
              <w:t>Postmodern, relativisme, kebenaran absolut, filsafat kristen</w:t>
            </w:r>
            <w:r w:rsidR="001366A2" w:rsidRPr="00F4082F">
              <w:rPr>
                <w:rFonts w:eastAsia="Times New Roman"/>
                <w:i/>
                <w:color w:val="000000"/>
                <w:sz w:val="22"/>
                <w:szCs w:val="22"/>
              </w:rPr>
              <w:t>.</w:t>
            </w:r>
          </w:p>
          <w:p w14:paraId="71E2798F" w14:textId="77777777" w:rsidR="00C30472" w:rsidRPr="00F4082F" w:rsidRDefault="001366A2">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185E54D8" w14:textId="77777777" w:rsidR="00C30472" w:rsidRPr="00F4082F" w:rsidRDefault="00C30472">
            <w:pPr>
              <w:pBdr>
                <w:top w:val="nil"/>
                <w:left w:val="nil"/>
                <w:bottom w:val="nil"/>
                <w:right w:val="nil"/>
                <w:between w:val="nil"/>
              </w:pBdr>
              <w:spacing w:line="276" w:lineRule="auto"/>
              <w:jc w:val="both"/>
              <w:rPr>
                <w:rFonts w:eastAsia="Times New Roman"/>
                <w:color w:val="000000"/>
                <w:sz w:val="22"/>
                <w:szCs w:val="22"/>
              </w:rPr>
            </w:pPr>
          </w:p>
          <w:p w14:paraId="088258F7"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6FE5072E"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75E9998A" w14:textId="0B9BB7C0"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b/>
                <w:i/>
                <w:color w:val="000000"/>
                <w:sz w:val="22"/>
                <w:szCs w:val="22"/>
                <w:vertAlign w:val="subscript"/>
              </w:rPr>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61BF4E1A" w14:textId="77777777" w:rsidR="00BA74A8" w:rsidRPr="00F4082F" w:rsidRDefault="00BA74A8" w:rsidP="00BA74A8">
            <w:pPr>
              <w:ind w:firstLine="720"/>
              <w:jc w:val="both"/>
              <w:rPr>
                <w:i/>
                <w:iCs/>
                <w:sz w:val="22"/>
                <w:szCs w:val="22"/>
              </w:rPr>
            </w:pPr>
            <w:r w:rsidRPr="00F4082F">
              <w:rPr>
                <w:i/>
                <w:iCs/>
                <w:sz w:val="22"/>
                <w:szCs w:val="22"/>
              </w:rPr>
              <w:t xml:space="preserve">This study aims to examine the relationship between postmodern thought and Christian faith, particularly in facing the challenges of epistemological relativism to the Gospel's claim as absolute truth. This </w:t>
            </w:r>
            <w:r w:rsidRPr="00F4082F">
              <w:rPr>
                <w:i/>
                <w:iCs/>
                <w:sz w:val="22"/>
                <w:szCs w:val="22"/>
              </w:rPr>
              <w:lastRenderedPageBreak/>
              <w:t>study uses a qualitative approach with a literature review method. As Creswell asserts, qualitative research focuses on exploring the meaning behind ideas and abstract concepts, while Kaelan highlights the central role of literature study in conceptual research in the field of philosophy. The main literature of this study includes the works of postmodern philosophers such as Jean-François Lyotard, Jacques Derrida, and Michel Foucault, who express sharp criticism of the claim of the universality of truth. Conversely, this study also dialogues these ideas with theological works, particularly those of David J. Bosch and Yakub B. Susabda, who affirm the uniqueness and absolutism of the Gospel from a missiological and theological perspective. The analysis is descriptive-analytical and critical, elaborating on the main ideas of postmodernism and evaluating them in the light of the Christian faith. The results of the study show that even though postmodernism challenges claim of absolute truth, it also opens up opportunities for constructive dialogue for the church to reaffirm the relevance of the Gospel in the contemporary world. Thus, this study contributes to enriching critical and reflective theological understanding of the Christian faith's response to postmodernism discourse.</w:t>
            </w:r>
          </w:p>
          <w:p w14:paraId="44D1E0EB" w14:textId="77777777" w:rsidR="003A4350" w:rsidRPr="00F4082F" w:rsidRDefault="003A4350">
            <w:pPr>
              <w:pBdr>
                <w:top w:val="nil"/>
                <w:left w:val="nil"/>
                <w:bottom w:val="nil"/>
                <w:right w:val="nil"/>
                <w:between w:val="nil"/>
              </w:pBdr>
              <w:rPr>
                <w:rFonts w:eastAsia="Times New Roman"/>
                <w:i/>
                <w:color w:val="000000"/>
                <w:sz w:val="22"/>
                <w:szCs w:val="22"/>
              </w:rPr>
            </w:pP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6743270A"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r w:rsidR="00F4082F" w:rsidRPr="00F4082F">
              <w:rPr>
                <w:rFonts w:eastAsia="Times New Roman"/>
                <w:i/>
                <w:iCs/>
                <w:color w:val="000000"/>
                <w:sz w:val="22"/>
                <w:szCs w:val="22"/>
              </w:rPr>
              <w:t>absolut truth,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276DCA46"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p w14:paraId="596F4EB6" w14:textId="77777777" w:rsidR="00230647" w:rsidRPr="00230647" w:rsidRDefault="00230647" w:rsidP="00230647">
      <w:pPr>
        <w:rPr>
          <w:rFonts w:ascii="Lustria" w:eastAsia="Lustria" w:hAnsi="Lustria" w:cs="Lustria"/>
          <w:sz w:val="16"/>
          <w:szCs w:val="16"/>
        </w:rPr>
      </w:pPr>
    </w:p>
    <w:p w14:paraId="05A67AAE" w14:textId="77777777" w:rsidR="00230647" w:rsidRPr="00230647" w:rsidRDefault="00230647" w:rsidP="00230647">
      <w:pPr>
        <w:rPr>
          <w:rFonts w:ascii="Lustria" w:eastAsia="Lustria" w:hAnsi="Lustria" w:cs="Lustria"/>
          <w:sz w:val="16"/>
          <w:szCs w:val="16"/>
        </w:rPr>
      </w:pPr>
    </w:p>
    <w:p w14:paraId="14B148E9" w14:textId="77777777" w:rsidR="00230647" w:rsidRPr="00230647" w:rsidRDefault="00230647" w:rsidP="00230647">
      <w:pPr>
        <w:rPr>
          <w:rFonts w:ascii="Lustria" w:eastAsia="Lustria" w:hAnsi="Lustria" w:cs="Lustria"/>
          <w:sz w:val="16"/>
          <w:szCs w:val="16"/>
        </w:rPr>
      </w:pPr>
    </w:p>
    <w:p w14:paraId="661465F7" w14:textId="77777777" w:rsidR="00230647" w:rsidRPr="00230647" w:rsidRDefault="00230647" w:rsidP="00230647">
      <w:pPr>
        <w:rPr>
          <w:rFonts w:ascii="Lustria" w:eastAsia="Lustria" w:hAnsi="Lustria" w:cs="Lustria"/>
          <w:sz w:val="16"/>
          <w:szCs w:val="16"/>
        </w:rPr>
      </w:pPr>
    </w:p>
    <w:p w14:paraId="77879052" w14:textId="77777777" w:rsidR="00230647" w:rsidRPr="00230647" w:rsidRDefault="00230647" w:rsidP="00230647">
      <w:pPr>
        <w:rPr>
          <w:rFonts w:ascii="Lustria" w:eastAsia="Lustria" w:hAnsi="Lustria" w:cs="Lustria"/>
          <w:sz w:val="16"/>
          <w:szCs w:val="16"/>
        </w:rPr>
      </w:pPr>
    </w:p>
    <w:p w14:paraId="13D8ACF0" w14:textId="77777777" w:rsidR="00230647" w:rsidRPr="00230647" w:rsidRDefault="00230647" w:rsidP="00230647">
      <w:pPr>
        <w:rPr>
          <w:rFonts w:ascii="Lustria" w:eastAsia="Lustria" w:hAnsi="Lustria" w:cs="Lustria"/>
          <w:sz w:val="16"/>
          <w:szCs w:val="16"/>
        </w:rPr>
      </w:pPr>
    </w:p>
    <w:p w14:paraId="13F78745" w14:textId="77777777" w:rsidR="00230647" w:rsidRPr="00230647" w:rsidRDefault="00230647" w:rsidP="00230647">
      <w:pPr>
        <w:rPr>
          <w:rFonts w:ascii="Lustria" w:eastAsia="Lustria" w:hAnsi="Lustria" w:cs="Lustria"/>
          <w:sz w:val="16"/>
          <w:szCs w:val="16"/>
        </w:rPr>
      </w:pPr>
    </w:p>
    <w:p w14:paraId="05C92719" w14:textId="77777777" w:rsidR="00230647" w:rsidRPr="00230647" w:rsidRDefault="00230647" w:rsidP="00230647">
      <w:pPr>
        <w:rPr>
          <w:rFonts w:ascii="Lustria" w:eastAsia="Lustria" w:hAnsi="Lustria" w:cs="Lustria"/>
          <w:sz w:val="16"/>
          <w:szCs w:val="16"/>
        </w:rPr>
      </w:pPr>
    </w:p>
    <w:p w14:paraId="08C1F19B" w14:textId="77777777" w:rsidR="00230647" w:rsidRPr="00230647" w:rsidRDefault="00230647" w:rsidP="00230647">
      <w:pPr>
        <w:rPr>
          <w:rFonts w:ascii="Lustria" w:eastAsia="Lustria" w:hAnsi="Lustria" w:cs="Lustria"/>
          <w:sz w:val="16"/>
          <w:szCs w:val="16"/>
        </w:rPr>
      </w:pPr>
    </w:p>
    <w:p w14:paraId="29D5CB7D" w14:textId="77777777" w:rsidR="00230647" w:rsidRPr="00230647" w:rsidRDefault="00230647" w:rsidP="00230647">
      <w:pPr>
        <w:rPr>
          <w:rFonts w:ascii="Lustria" w:eastAsia="Lustria" w:hAnsi="Lustria" w:cs="Lustria"/>
          <w:sz w:val="16"/>
          <w:szCs w:val="16"/>
        </w:rPr>
      </w:pPr>
    </w:p>
    <w:p w14:paraId="46585BBD" w14:textId="77777777" w:rsidR="00230647" w:rsidRPr="00230647" w:rsidRDefault="00230647" w:rsidP="00230647">
      <w:pPr>
        <w:rPr>
          <w:rFonts w:ascii="Lustria" w:eastAsia="Lustria" w:hAnsi="Lustria" w:cs="Lustria"/>
          <w:sz w:val="16"/>
          <w:szCs w:val="16"/>
        </w:rPr>
      </w:pPr>
    </w:p>
    <w:p w14:paraId="70737772" w14:textId="77777777" w:rsidR="00230647" w:rsidRPr="00230647" w:rsidRDefault="00230647" w:rsidP="00230647">
      <w:pPr>
        <w:rPr>
          <w:rFonts w:ascii="Lustria" w:eastAsia="Lustria" w:hAnsi="Lustria" w:cs="Lustria"/>
          <w:sz w:val="16"/>
          <w:szCs w:val="16"/>
        </w:rPr>
      </w:pPr>
    </w:p>
    <w:p w14:paraId="3DEA5833" w14:textId="77777777" w:rsidR="00230647" w:rsidRPr="00230647" w:rsidRDefault="00230647" w:rsidP="00230647">
      <w:pPr>
        <w:rPr>
          <w:rFonts w:ascii="Lustria" w:eastAsia="Lustria" w:hAnsi="Lustria" w:cs="Lustria"/>
          <w:sz w:val="16"/>
          <w:szCs w:val="16"/>
        </w:rPr>
      </w:pPr>
    </w:p>
    <w:p w14:paraId="426EBA62" w14:textId="77777777" w:rsidR="00230647" w:rsidRPr="00230647" w:rsidRDefault="00230647" w:rsidP="00230647">
      <w:pPr>
        <w:rPr>
          <w:rFonts w:ascii="Lustria" w:eastAsia="Lustria" w:hAnsi="Lustria" w:cs="Lustria"/>
          <w:sz w:val="16"/>
          <w:szCs w:val="16"/>
        </w:rPr>
      </w:pPr>
    </w:p>
    <w:p w14:paraId="57E565F8" w14:textId="77777777" w:rsidR="00230647" w:rsidRDefault="00230647" w:rsidP="00230647">
      <w:pPr>
        <w:rPr>
          <w:rFonts w:ascii="Lustria" w:eastAsia="Lustria" w:hAnsi="Lustria" w:cs="Lustria"/>
          <w:color w:val="000000"/>
          <w:sz w:val="16"/>
          <w:szCs w:val="16"/>
        </w:rPr>
      </w:pPr>
    </w:p>
    <w:p w14:paraId="21DFCD7B" w14:textId="77777777" w:rsidR="00230647" w:rsidRDefault="00230647" w:rsidP="00230647">
      <w:pPr>
        <w:rPr>
          <w:rFonts w:ascii="Lustria" w:eastAsia="Lustria" w:hAnsi="Lustria" w:cs="Lustria"/>
          <w:color w:val="000000"/>
          <w:sz w:val="16"/>
          <w:szCs w:val="16"/>
        </w:rPr>
      </w:pPr>
    </w:p>
    <w:p w14:paraId="02D3DCDC" w14:textId="1685B0E4" w:rsidR="00230647" w:rsidRPr="00230647" w:rsidRDefault="00230647" w:rsidP="00230647">
      <w:pPr>
        <w:rPr>
          <w:rFonts w:ascii="Lustria" w:eastAsia="Lustria" w:hAnsi="Lustria" w:cs="Lustria"/>
          <w:sz w:val="16"/>
          <w:szCs w:val="16"/>
        </w:rPr>
        <w:sectPr w:rsidR="00230647" w:rsidRPr="00230647">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1366A2">
      <w:pPr>
        <w:jc w:val="both"/>
        <w:rPr>
          <w:b/>
        </w:rPr>
      </w:pPr>
      <w:r>
        <w:rPr>
          <w:b/>
        </w:rPr>
        <w:t>PENDAHULUAN</w:t>
      </w:r>
    </w:p>
    <w:p w14:paraId="33DEDEDE" w14:textId="77777777" w:rsidR="00EC38BA" w:rsidRPr="00EC38BA" w:rsidRDefault="00EC38BA" w:rsidP="00EC38BA">
      <w:pPr>
        <w:ind w:firstLine="720"/>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ReferensiCatatanKaki"/>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RPr="00EC38BA">
        <w:rPr>
          <w:rStyle w:val="ReferensiCatatanKaki"/>
          <w:lang w:val="sv-SE"/>
        </w:rPr>
        <w:footnoteReference w:id="2"/>
      </w:r>
      <w:r w:rsidRPr="00EC38BA">
        <w:rPr>
          <w:lang w:val="sv-SE"/>
        </w:rPr>
        <w:t xml:space="preserve"> Pemahaman ini menggeser konsep kebenaran dari sifatnya yang tetap dan mutlak yang selama berabad-abad menjadi pilar dalam filsafat klasik dan tradisi keagamaan menjadi sesuatu</w:t>
      </w:r>
      <w:r w:rsidRPr="00EC38BA">
        <w:rPr>
          <w:rStyle w:val="ReferensiKomentar"/>
          <w:sz w:val="24"/>
          <w:szCs w:val="24"/>
        </w:rPr>
        <w:t xml:space="preserve"> y</w:t>
      </w:r>
      <w:r w:rsidRPr="00EC38BA">
        <w:rPr>
          <w:lang w:val="sv-SE"/>
        </w:rPr>
        <w:t>ang lentur, cair, dan dapat dinegosiasikan.</w:t>
      </w:r>
    </w:p>
    <w:p w14:paraId="0818C251" w14:textId="77777777" w:rsidR="00EC38BA" w:rsidRPr="00EC38BA" w:rsidRDefault="00EC38BA" w:rsidP="00EC38BA">
      <w:pPr>
        <w:ind w:firstLine="720"/>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ReferensiCatatanKaki"/>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14:paraId="38E364D5" w14:textId="77777777" w:rsidR="00EC38BA" w:rsidRPr="00EC38BA" w:rsidRDefault="00EC38BA" w:rsidP="00EC38BA">
      <w:pPr>
        <w:ind w:firstLine="720"/>
        <w:jc w:val="both"/>
        <w:rPr>
          <w:lang w:val="sv-SE"/>
        </w:rPr>
      </w:pPr>
      <w:r w:rsidRPr="00EC38BA">
        <w:rPr>
          <w:lang w:val="sv-SE"/>
        </w:rPr>
        <w:t>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posmodernisme.</w:t>
      </w:r>
      <w:r w:rsidRPr="00EC38BA">
        <w:rPr>
          <w:rStyle w:val="ReferensiCatatanKaki"/>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w:t>
      </w:r>
      <w:r w:rsidRPr="00EC38BA">
        <w:rPr>
          <w:lang w:val="sv-SE"/>
        </w:rPr>
        <w:lastRenderedPageBreak/>
        <w:t>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ReferensiCatatanKaki"/>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51B0F77D" w14:textId="1E1D7D68" w:rsidR="00C30472" w:rsidRDefault="00EC38BA" w:rsidP="00EC38BA">
      <w:pPr>
        <w:ind w:firstLine="720"/>
        <w:jc w:val="both"/>
      </w:pPr>
      <w:r w:rsidRPr="00EC38BA">
        <w:rPr>
          <w:lang w:val="sv-SE"/>
        </w:rPr>
        <w:t>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RPr="00EC38BA">
        <w:rPr>
          <w:rStyle w:val="ReferensiCatatanKaki"/>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ReferensiCatatanKaki"/>
          <w:lang w:val="sv-SE"/>
        </w:rPr>
        <w:footnoteReference w:id="7"/>
      </w:r>
      <w:r w:rsidRPr="00EC38BA">
        <w:rPr>
          <w:lang w:val="sv-SE"/>
        </w:rPr>
        <w:t xml:space="preserve"> ataukah Injil tetap memiliki otoritas ilahi yang unik, transenden, dan tidak tunduk pada konstruksi budaya manusia?</w:t>
      </w:r>
      <w:r w:rsidRPr="00EC38BA">
        <w:rPr>
          <w:rStyle w:val="ReferensiCatatanKaki"/>
          <w:lang w:val="sv-SE"/>
        </w:rPr>
        <w:footnoteReference w:id="8"/>
      </w:r>
      <w:r w:rsidRPr="00EC38BA">
        <w:rPr>
          <w:lang w:val="sv-SE"/>
        </w:rPr>
        <w:t xml:space="preserve"> Pada akhirnya, tantangan terbesar yang perlu dijawab adalah bagaimana gereja dapat mengkomunikasikan kebenaran yang kekal dan tak berubah ini secara efektif, sembari menyesuaikan pendekatan dengan dinamika sosial dan paradigma pemikiran dunia yang terus mengalami perubahan.</w:t>
      </w:r>
      <w:r w:rsidRPr="00EC38BA">
        <w:rPr>
          <w:rStyle w:val="ReferensiCatatanKaki"/>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w:t>
      </w:r>
      <w:commentRangeStart w:id="2"/>
      <w:r w:rsidRPr="00EC38BA">
        <w:rPr>
          <w:lang w:val="sv-SE"/>
        </w:rPr>
        <w:t>Kebaruan</w:t>
      </w:r>
      <w:commentRangeEnd w:id="2"/>
      <w:r w:rsidR="00EB4986" w:rsidRPr="00EC38BA">
        <w:rPr>
          <w:rStyle w:val="ReferensiKomentar"/>
          <w:sz w:val="24"/>
          <w:szCs w:val="24"/>
          <w:lang w:val="sv-SE"/>
        </w:rPr>
        <w:commentReference w:id="2"/>
      </w:r>
      <w:r w:rsidRPr="00EC38BA">
        <w:rPr>
          <w:lang w:val="sv-SE"/>
        </w:rPr>
        <w:t xml:space="preserve"> dari penelitian ini terletak pada upaya mengintegrasikan analisis teologis dengan pendekatan kontekstual, sehingga Injil tidak dipandang semata sebagai salah satu narasi religius, melainkan sebagai kebenaran ilahi yang transenden, namun dikomunikasikan dengan cara yang relevan bagi dunia </w:t>
      </w:r>
      <w:r w:rsidRPr="00EC38BA">
        <w:rPr>
          <w:lang w:val="sv-SE"/>
        </w:rPr>
        <w:lastRenderedPageBreak/>
        <w:t>posmodern.</w:t>
      </w:r>
      <w:r w:rsidRPr="00EC38BA">
        <w:rPr>
          <w:rStyle w:val="ReferensiCatatanKaki"/>
          <w:lang w:val="sv-SE"/>
        </w:rPr>
        <w:footnoteReference w:id="10"/>
      </w:r>
      <w:r w:rsidRPr="00EC38BA">
        <w:rPr>
          <w:lang w:val="sv-SE"/>
        </w:rPr>
        <w:t xml:space="preserve"> Gereja dapat mengartikulasikan kembali kemutlakan kebenaran Injil secara efektif tanpa jatuh pada eksklusivisme sempit, dengan mengadopsi pendekatan komunikatif yang peka terhadap budaya dan paradigma pemikiran kontemporer.</w:t>
      </w:r>
      <w:r w:rsidRPr="00EC38BA">
        <w:rPr>
          <w:rStyle w:val="ReferensiCatatanKaki"/>
          <w:lang w:val="sv-SE"/>
        </w:rPr>
        <w:footnoteReference w:id="11"/>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1366A2">
      <w:pPr>
        <w:tabs>
          <w:tab w:val="left" w:pos="284"/>
        </w:tabs>
        <w:jc w:val="both"/>
        <w:rPr>
          <w:b/>
        </w:rPr>
      </w:pPr>
      <w:r>
        <w:rPr>
          <w:b/>
        </w:rPr>
        <w:t>METODE PENELITIAN</w:t>
      </w:r>
    </w:p>
    <w:p w14:paraId="0CC68792" w14:textId="77777777" w:rsidR="001366A2" w:rsidRDefault="00EC38BA">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menjelaskan bahwa penelitian kualitatif merupakan sarana yang tepat untuk memahami ide-ide abstrak maupun konsep-konsep yang berkembang dalam ruang lingkup filsafat dan teologi: </w:t>
      </w:r>
      <w:r w:rsidRPr="00EC38BA">
        <w:rPr>
          <w:i/>
          <w:iCs/>
        </w:rPr>
        <w:t>“Qualitative research is an approach for exploring and understanding the meaning individuals or groups ascribe to a social or human problem. It often relies on text and image data, has unique steps in data analysis, and draws on diverse theoretical lenses.”</w:t>
      </w:r>
      <w:r w:rsidRPr="00EC38BA">
        <w:rPr>
          <w:rStyle w:val="ReferensiCatatanKaki"/>
          <w:i/>
          <w:iCs/>
        </w:rPr>
        <w:footnoteReference w:id="12"/>
      </w:r>
      <w:r w:rsidRPr="00EC38BA">
        <w:t xml:space="preserve"> </w:t>
      </w:r>
      <w:r w:rsidRPr="00EC38BA">
        <w:rPr>
          <w:lang w:val="sv-SE"/>
        </w:rPr>
        <w:t>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RPr="00EC38BA">
        <w:rPr>
          <w:rStyle w:val="ReferensiCatatanKaki"/>
          <w:lang w:val="sv-SE"/>
        </w:rPr>
        <w:footnoteReference w:id="13"/>
      </w:r>
      <w:r w:rsidRPr="00EC38BA">
        <w:rPr>
          <w:lang w:val="sv-SE"/>
        </w:rPr>
        <w:t xml:space="preserve"> Pernyataan ini menegaskan relevansi studi pustaka bagi penelitian yang berorientasi konseptual-teologis. </w:t>
      </w:r>
    </w:p>
    <w:p w14:paraId="50551D0B" w14:textId="1D8DDA8D" w:rsidR="00C30472" w:rsidRDefault="00EC38BA" w:rsidP="001366A2">
      <w:pPr>
        <w:ind w:firstLine="720"/>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w:t>
      </w:r>
      <w:r w:rsidR="00EB4986">
        <w:rPr>
          <w:lang w:val="sv-SE"/>
        </w:rPr>
        <w:t>t</w:t>
      </w:r>
      <w:r w:rsidRPr="00EC38BA">
        <w:rPr>
          <w:lang w:val="sv-SE"/>
        </w:rPr>
        <w:t>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D97A113" w14:textId="77777777" w:rsidR="001366A2" w:rsidRPr="00EC38BA" w:rsidRDefault="001366A2" w:rsidP="001366A2">
      <w:pPr>
        <w:ind w:firstLine="720"/>
        <w:jc w:val="both"/>
        <w:rPr>
          <w:lang w:val="sv-SE"/>
        </w:rPr>
      </w:pPr>
    </w:p>
    <w:p w14:paraId="6C4811C0" w14:textId="77777777" w:rsidR="00C30472" w:rsidRDefault="00C30472">
      <w:pPr>
        <w:jc w:val="both"/>
        <w:rPr>
          <w:b/>
        </w:rPr>
      </w:pPr>
    </w:p>
    <w:p w14:paraId="23DDDC07" w14:textId="77777777" w:rsidR="00C30472" w:rsidRDefault="001366A2">
      <w:pPr>
        <w:jc w:val="both"/>
        <w:rPr>
          <w:b/>
        </w:rPr>
      </w:pPr>
      <w:r>
        <w:rPr>
          <w:b/>
        </w:rPr>
        <w:lastRenderedPageBreak/>
        <w:t>HASIL DAN PEMBAHASAN</w:t>
      </w:r>
    </w:p>
    <w:p w14:paraId="7C0E611F" w14:textId="77777777" w:rsidR="00813C21" w:rsidRPr="00813C21" w:rsidRDefault="00813C21" w:rsidP="00813C21">
      <w:pPr>
        <w:ind w:firstLine="720"/>
        <w:jc w:val="both"/>
        <w:rPr>
          <w:lang w:val="sv-SE"/>
        </w:rPr>
      </w:pPr>
      <w:r w:rsidRPr="00813C21">
        <w:rPr>
          <w:lang w:val="sv-SE"/>
        </w:rPr>
        <w:t>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813C21">
      <w:pPr>
        <w:ind w:firstLine="720"/>
        <w:jc w:val="both"/>
        <w:rPr>
          <w:lang w:val="sv-SE"/>
        </w:rPr>
      </w:pPr>
      <w:r w:rsidRPr="00813C21">
        <w:rPr>
          <w:lang w:val="sv-SE"/>
        </w:rPr>
        <w:t>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77777777" w:rsidR="00813C21" w:rsidRPr="00813C21" w:rsidRDefault="00813C21" w:rsidP="00813C21">
      <w:pPr>
        <w:jc w:val="both"/>
        <w:rPr>
          <w:b/>
          <w:bCs/>
          <w:lang w:val="sv-SE"/>
        </w:rPr>
      </w:pPr>
      <w:r w:rsidRPr="00813C21">
        <w:rPr>
          <w:b/>
          <w:bCs/>
          <w:lang w:val="sv-SE"/>
        </w:rPr>
        <w:t>Posmodernisme dan relativisme: sebuah anaslisis filosofis</w:t>
      </w:r>
    </w:p>
    <w:p w14:paraId="41B24DC1" w14:textId="77777777" w:rsidR="00813C21" w:rsidRPr="00813C21" w:rsidRDefault="00813C21" w:rsidP="00813C21">
      <w:pPr>
        <w:ind w:firstLine="360"/>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ReferensiCatatanKaki"/>
          <w:lang w:val="sv-SE"/>
        </w:rPr>
        <w:footnoteReference w:id="14"/>
      </w:r>
    </w:p>
    <w:p w14:paraId="705DBFC6" w14:textId="287E4590" w:rsidR="00813C21" w:rsidRPr="00813C21" w:rsidRDefault="00813C21" w:rsidP="00813C21">
      <w:pPr>
        <w:ind w:firstLine="360"/>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ReferensiCatatanKaki"/>
          <w:lang w:val="sv-SE"/>
        </w:rPr>
        <w:footnoteReference w:id="15"/>
      </w:r>
      <w:r w:rsidRPr="00813C21">
        <w:rPr>
          <w:lang w:val="sv-SE"/>
        </w:rPr>
        <w:t xml:space="preserve"> Dalam terang teologi, penolakan terhadap metanarasi ini menantang kekristenan untuk menegaskan kembali Injil bukan sekadar sebagai wacana rasional atau narasi historis, melainkan sebagai kebenaran ilahi yang melampaui relativisme.</w:t>
      </w:r>
      <w:r w:rsidRPr="00813C21">
        <w:rPr>
          <w:rStyle w:val="ReferensiCatatanKaki"/>
          <w:lang w:val="sv-SE"/>
        </w:rPr>
        <w:footnoteReference w:id="16"/>
      </w:r>
      <w:r w:rsidRPr="00813C21">
        <w:rPr>
          <w:lang w:val="sv-SE"/>
        </w:rPr>
        <w:t xml:space="preserve"> Dengan demikian, pos</w:t>
      </w:r>
      <w:r w:rsidR="00DB3C6F">
        <w:rPr>
          <w:lang w:val="sv-SE"/>
        </w:rPr>
        <w:t>t</w:t>
      </w:r>
      <w:r w:rsidRPr="00813C21">
        <w:rPr>
          <w:lang w:val="sv-SE"/>
        </w:rPr>
        <w:t>modernisme menjadi medan pergumulan bagi iman Kristen untuk menghadirkan Injil secara kontekstual, namun tetap setia pada klaim kebenaran absolut yang bersumber dari wahyu Allah.</w:t>
      </w:r>
      <w:r w:rsidRPr="00813C21">
        <w:rPr>
          <w:rStyle w:val="ReferensiCatatanKaki"/>
          <w:lang w:val="sv-SE"/>
        </w:rPr>
        <w:footnoteReference w:id="17"/>
      </w:r>
    </w:p>
    <w:p w14:paraId="579306E4" w14:textId="77777777" w:rsidR="00813C21" w:rsidRPr="00813C21" w:rsidRDefault="00813C21" w:rsidP="00813C21">
      <w:pPr>
        <w:ind w:firstLine="360"/>
        <w:jc w:val="both"/>
        <w:rPr>
          <w:lang w:val="sv-SE"/>
        </w:rPr>
      </w:pPr>
      <w:r w:rsidRPr="00813C21">
        <w:rPr>
          <w:lang w:val="sv-SE"/>
        </w:rPr>
        <w:t xml:space="preserve">Dalam konteks era postmodern, hermeneutika ditandai oleh penolakan terhadap klaim kebenaran universal dan dominasi relativisme. Teks, termasuk Kitab Suci, kerap dipandang </w:t>
      </w:r>
      <w:r w:rsidRPr="00813C21">
        <w:rPr>
          <w:lang w:val="sv-SE"/>
        </w:rPr>
        <w:lastRenderedPageBreak/>
        <w:t>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ReferensiCatatanKaki"/>
          <w:lang w:val="sv-SE"/>
        </w:rPr>
        <w:footnoteReference w:id="18"/>
      </w:r>
      <w:r w:rsidRPr="00813C21">
        <w:rPr>
          <w:lang w:val="sv-SE"/>
        </w:rPr>
        <w:t xml:space="preserve"> Namun, di tengah arus tersebut, gereja dipanggil untuk menegaskan kembali fondasi teologisnya bahwa Alkitab adalah pewahyuan ilahi yang 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3E7C2B53" w14:textId="77777777" w:rsidR="00813C21" w:rsidRPr="00813C21" w:rsidRDefault="00813C21" w:rsidP="00813C21">
      <w:pPr>
        <w:ind w:firstLine="360"/>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ReferensiCatatanKaki"/>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RPr="00813C21">
        <w:rPr>
          <w:rStyle w:val="ReferensiCatatanKaki"/>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3C96E878" w14:textId="77777777" w:rsidR="00813C21" w:rsidRPr="00813C21" w:rsidRDefault="00813C21" w:rsidP="00813C21">
      <w:pPr>
        <w:ind w:firstLine="360"/>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ReferensiCatatanKaki"/>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RPr="00813C21">
        <w:rPr>
          <w:rStyle w:val="ReferensiCatatanKaki"/>
          <w:lang w:val="sv-SE"/>
        </w:rPr>
        <w:footnoteReference w:id="22"/>
      </w:r>
      <w:r w:rsidRPr="00813C21">
        <w:rPr>
          <w:lang w:val="sv-SE"/>
        </w:rPr>
        <w:t xml:space="preserve"> Injil sebagai kabar keselamatan unik kehilangan posisinya yang transenden dan direduksi menjadi sekadar salah satu narasi di antara sekian banyak narasi religius lainnya.</w:t>
      </w:r>
    </w:p>
    <w:p w14:paraId="04610ADB" w14:textId="77777777" w:rsidR="00813C21" w:rsidRPr="00813C21" w:rsidRDefault="00813C21" w:rsidP="00813C21">
      <w:pPr>
        <w:ind w:firstLine="360"/>
        <w:jc w:val="both"/>
        <w:rPr>
          <w:lang w:val="sv-SE"/>
        </w:rPr>
      </w:pPr>
      <w:r w:rsidRPr="00813C21">
        <w:rPr>
          <w:lang w:val="sv-SE"/>
        </w:rPr>
        <w:t>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RPr="00813C21">
        <w:rPr>
          <w:rStyle w:val="ReferensiCatatanKaki"/>
          <w:lang w:val="sv-SE"/>
        </w:rPr>
        <w:footnoteReference w:id="23"/>
      </w:r>
    </w:p>
    <w:p w14:paraId="19EA1D12" w14:textId="77777777" w:rsidR="00813C21" w:rsidRPr="00813C21" w:rsidRDefault="00813C21" w:rsidP="00813C21">
      <w:pPr>
        <w:ind w:firstLine="360"/>
        <w:jc w:val="both"/>
        <w:rPr>
          <w:lang w:val="sv-SE"/>
        </w:rPr>
      </w:pPr>
    </w:p>
    <w:p w14:paraId="456A0724" w14:textId="77777777" w:rsidR="00813C21" w:rsidRPr="00813C21" w:rsidRDefault="00813C21" w:rsidP="00813C21">
      <w:pPr>
        <w:jc w:val="both"/>
        <w:rPr>
          <w:b/>
          <w:bCs/>
          <w:lang w:val="sv-SE"/>
        </w:rPr>
      </w:pPr>
      <w:r w:rsidRPr="00813C21">
        <w:rPr>
          <w:b/>
          <w:bCs/>
          <w:lang w:val="sv-SE"/>
        </w:rPr>
        <w:t xml:space="preserve">Konfrontasi Dengan Kebenaran Injil </w:t>
      </w:r>
    </w:p>
    <w:p w14:paraId="0FA0D47C" w14:textId="77777777" w:rsidR="00813C21" w:rsidRPr="00813C21" w:rsidRDefault="00813C21" w:rsidP="00813C21">
      <w:pPr>
        <w:ind w:firstLine="360"/>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ReferensiCatatanKaki"/>
          <w:lang w:val="sv-SE"/>
        </w:rPr>
        <w:footnoteReference w:id="24"/>
      </w:r>
      <w:r w:rsidRPr="009F1A38">
        <w:rPr>
          <w:b/>
          <w:bCs/>
          <w:strike/>
          <w:color w:val="EE0000"/>
          <w:lang w:val="sv-SE"/>
        </w:rPr>
        <w:t>her</w:t>
      </w:r>
    </w:p>
    <w:p w14:paraId="28045BCF" w14:textId="77777777" w:rsidR="00813C21" w:rsidRPr="00813C21" w:rsidRDefault="00813C21" w:rsidP="00813C21">
      <w:pPr>
        <w:ind w:firstLine="360"/>
        <w:jc w:val="both"/>
        <w:rPr>
          <w:lang w:val="sv-SE"/>
        </w:rPr>
      </w:pPr>
      <w:r w:rsidRPr="00813C21">
        <w:rPr>
          <w:lang w:val="sv-SE"/>
        </w:rPr>
        <w:t>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RPr="00813C21">
        <w:rPr>
          <w:rStyle w:val="ReferensiCatatanKaki"/>
          <w:lang w:val="sv-SE"/>
        </w:rPr>
        <w:footnoteReference w:id="25"/>
      </w:r>
    </w:p>
    <w:p w14:paraId="4A42E7F8" w14:textId="77777777" w:rsidR="00813C21" w:rsidRPr="00813C21" w:rsidRDefault="00813C21" w:rsidP="00813C21">
      <w:pPr>
        <w:ind w:firstLine="360"/>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ReferensiCatatanKaki"/>
          <w:lang w:val="sv-SE"/>
        </w:rPr>
        <w:footnoteReference w:id="26"/>
      </w:r>
    </w:p>
    <w:p w14:paraId="03C9F1C9" w14:textId="77777777" w:rsidR="00813C21" w:rsidRPr="00813C21" w:rsidRDefault="00813C21" w:rsidP="00813C21">
      <w:pPr>
        <w:ind w:firstLine="360"/>
        <w:jc w:val="both"/>
        <w:rPr>
          <w:lang w:val="sv-SE"/>
        </w:rPr>
      </w:pPr>
      <w:r w:rsidRPr="00813C21">
        <w:rPr>
          <w:lang w:val="sv-SE"/>
        </w:rPr>
        <w:t>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ReferensiCatatanKaki"/>
          <w:lang w:val="sv-SE"/>
        </w:rPr>
        <w:footnoteReference w:id="27"/>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ReferensiCatatanKaki"/>
          <w:lang w:val="sv-SE"/>
        </w:rPr>
        <w:footnoteReference w:id="28"/>
      </w:r>
    </w:p>
    <w:p w14:paraId="754D5394" w14:textId="77777777" w:rsidR="00813C21" w:rsidRPr="00813C21" w:rsidRDefault="00813C21" w:rsidP="00813C21">
      <w:pPr>
        <w:ind w:firstLine="360"/>
        <w:jc w:val="both"/>
        <w:rPr>
          <w:lang w:val="sv-SE"/>
        </w:rPr>
      </w:pPr>
      <w:r w:rsidRPr="00813C21">
        <w:rPr>
          <w:lang w:val="sv-SE"/>
        </w:rPr>
        <w:t>Dengan demikian, pernyataan Petrus sekaligus menjadi penolakan terhadap pluralisme religius yang beranggapan bahwa semua agama pada dasarnya sama dan dapat membawa kepada keselamatan. Pandangan seperti itu mereduksi karya Kristus menjadi relatif di antara banyak jalan, padahal Injil menegaskan bahwa Kristus adalah satu-satunya jalan keselamatan yang sah dan ditetapkan Allah.</w:t>
      </w:r>
      <w:r w:rsidRPr="00813C21">
        <w:rPr>
          <w:rStyle w:val="ReferensiCatatanKaki"/>
          <w:lang w:val="sv-SE"/>
        </w:rPr>
        <w:footnoteReference w:id="29"/>
      </w:r>
    </w:p>
    <w:p w14:paraId="328C515F" w14:textId="77777777" w:rsidR="00813C21" w:rsidRPr="00813C21" w:rsidRDefault="00813C21" w:rsidP="00813C21">
      <w:pPr>
        <w:ind w:firstLine="360"/>
        <w:jc w:val="both"/>
        <w:rPr>
          <w:lang w:val="sv-SE"/>
        </w:rPr>
      </w:pPr>
      <w:r w:rsidRPr="00813C21">
        <w:rPr>
          <w:lang w:val="sv-SE"/>
        </w:rPr>
        <w:t xml:space="preserve">Posmodernisme dengan prinsip relativismenya menolak klaim-klaim kebenaran universal dan cenderung menyingkirkan keberadaan metanarasi. Dalam kerangka ini, </w:t>
      </w:r>
      <w:r w:rsidRPr="00813C21">
        <w:rPr>
          <w:lang w:val="sv-SE"/>
        </w:rPr>
        <w:lastRenderedPageBreak/>
        <w:t>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ReferensiCatatanKaki"/>
          <w:lang w:val="sv-SE"/>
        </w:rPr>
        <w:footnoteReference w:id="30"/>
      </w:r>
      <w:r w:rsidRPr="00813C21">
        <w:rPr>
          <w:lang w:val="sv-SE"/>
        </w:rPr>
        <w:t xml:space="preserve"> Sebaliknya, iman Kristen berakar pada sebuah metanarasi yang bersumber dari pewahyuan Allah sendiri yakni karya penyelamatan yang berpuncak dalam inkarnasi, kematian, dan kebangkitan Kristus.</w:t>
      </w:r>
      <w:r w:rsidRPr="00813C21">
        <w:rPr>
          <w:rStyle w:val="ReferensiCatatanKaki"/>
          <w:lang w:val="sv-SE"/>
        </w:rPr>
        <w:footnoteReference w:id="31"/>
      </w:r>
      <w:r w:rsidRPr="00813C21">
        <w:rPr>
          <w:lang w:val="sv-SE"/>
        </w:rPr>
        <w:t xml:space="preserve"> Metanarasi ini tidak lahir dari spekulasi manusia, melainkan memiliki dasar ilahi dan otoritas mutlak yang melampaui relativisme posmodern.</w:t>
      </w:r>
      <w:r w:rsidRPr="00813C21">
        <w:rPr>
          <w:rStyle w:val="ReferensiCatatanKaki"/>
          <w:lang w:val="sv-SE"/>
        </w:rPr>
        <w:footnoteReference w:id="32"/>
      </w:r>
      <w:r w:rsidRPr="00813C21">
        <w:rPr>
          <w:lang w:val="sv-SE"/>
        </w:rPr>
        <w:t xml:space="preserve"> Oleh sebab itu, kebenaran Injil tetap berdiri teguh sebagai realitas objektif dan universal, yang menantang setiap pandangan dunia yang meniadakan kepastian kebenaran mutlak.</w:t>
      </w:r>
      <w:r w:rsidRPr="00813C21">
        <w:rPr>
          <w:rStyle w:val="ReferensiCatatanKaki"/>
          <w:lang w:val="sv-SE"/>
        </w:rPr>
        <w:footnoteReference w:id="33"/>
      </w:r>
    </w:p>
    <w:p w14:paraId="4C1A860C" w14:textId="77777777" w:rsidR="00813C21" w:rsidRPr="00813C21" w:rsidRDefault="00813C21" w:rsidP="00813C21">
      <w:pPr>
        <w:ind w:firstLine="360"/>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ReferensiCatatanKaki"/>
          <w:lang w:val="sv-SE"/>
        </w:rPr>
        <w:footnoteReference w:id="34"/>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ReferensiCatatanKaki"/>
          <w:lang w:val="sv-SE"/>
        </w:rPr>
        <w:footnoteReference w:id="35"/>
      </w:r>
    </w:p>
    <w:p w14:paraId="309560B6" w14:textId="77777777" w:rsidR="00813C21" w:rsidRPr="00813C21" w:rsidRDefault="00813C21" w:rsidP="00813C21">
      <w:pPr>
        <w:ind w:firstLine="360"/>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ReferensiCatatanKaki"/>
          <w:lang w:val="sv-SE"/>
        </w:rPr>
        <w:footnoteReference w:id="36"/>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ReferensiCatatanKaki"/>
          <w:lang w:val="sv-SE"/>
        </w:rPr>
        <w:footnoteReference w:id="37"/>
      </w:r>
      <w:r w:rsidRPr="00813C21">
        <w:rPr>
          <w:lang w:val="sv-SE"/>
        </w:rPr>
        <w:t xml:space="preserve"> Hal ini menegaskan dimensi publik Injil yang harus dihadirkan di tengah dunia.</w:t>
      </w:r>
    </w:p>
    <w:p w14:paraId="6DAC0499" w14:textId="77777777" w:rsidR="00813C21" w:rsidRPr="00813C21" w:rsidRDefault="00813C21" w:rsidP="00813C21">
      <w:pPr>
        <w:ind w:firstLine="360"/>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ReferensiCatatanKaki"/>
          <w:lang w:val="sv-SE"/>
        </w:rPr>
        <w:footnoteReference w:id="38"/>
      </w:r>
      <w:r w:rsidRPr="00813C21">
        <w:rPr>
          <w:lang w:val="sv-SE"/>
        </w:rPr>
        <w:t xml:space="preserve"> Hanya di dalam Kristus manusia memperoleh keselamatan, sehingga pemberitaan Injil harus dilakukan dengan keyakinan penuh akan otoritas dan kuasanya.</w:t>
      </w:r>
      <w:r w:rsidRPr="00813C21">
        <w:rPr>
          <w:rStyle w:val="ReferensiCatatanKaki"/>
          <w:lang w:val="sv-SE"/>
        </w:rPr>
        <w:footnoteReference w:id="39"/>
      </w:r>
      <w:r w:rsidRPr="00813C21">
        <w:rPr>
          <w:lang w:val="sv-SE"/>
        </w:rPr>
        <w:t xml:space="preserve"> Dengan sikap tersebut, gereja bukan saja mampu bertahan dalam arus relativisme, tetapi juga memberi kesaksian nyata tentang Allah yang hidup dan bekerja dalam sejarah manusia.</w:t>
      </w:r>
      <w:r w:rsidRPr="00813C21">
        <w:rPr>
          <w:rStyle w:val="ReferensiCatatanKaki"/>
          <w:lang w:val="sv-SE"/>
        </w:rPr>
        <w:footnoteReference w:id="40"/>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813C21">
      <w:pPr>
        <w:ind w:firstLine="360"/>
        <w:jc w:val="both"/>
        <w:rPr>
          <w:lang w:val="sv-SE"/>
        </w:rPr>
      </w:pPr>
      <w:r w:rsidRPr="00813C21">
        <w:rPr>
          <w:lang w:val="sv-SE"/>
        </w:rPr>
        <w:t xml:space="preserve">Dalam dinamika pemikiran kontemporer, posmodernisme kerap dipandang sebagai tantangan serius bagi iman Kristen, terutama karena sikapnya yang menolak klaim </w:t>
      </w:r>
      <w:r w:rsidRPr="00813C21">
        <w:rPr>
          <w:lang w:val="sv-SE"/>
        </w:rPr>
        <w:lastRenderedPageBreak/>
        <w:t>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ReferensiCatatanKaki"/>
          <w:lang w:val="sv-SE"/>
        </w:rPr>
        <w:footnoteReference w:id="41"/>
      </w:r>
    </w:p>
    <w:p w14:paraId="69D2E177" w14:textId="77777777" w:rsidR="00813C21" w:rsidRPr="00813C21" w:rsidRDefault="00813C21" w:rsidP="00813C21">
      <w:pPr>
        <w:ind w:firstLine="360"/>
        <w:jc w:val="both"/>
        <w:rPr>
          <w:lang w:val="sv-SE"/>
        </w:rPr>
      </w:pPr>
      <w:r w:rsidRPr="00813C21">
        <w:rPr>
          <w:lang w:val="sv-SE"/>
        </w:rPr>
        <w:t>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RPr="00813C21">
        <w:rPr>
          <w:rStyle w:val="ReferensiCatatanKaki"/>
          <w:lang w:val="sv-SE"/>
        </w:rPr>
        <w:footnoteReference w:id="42"/>
      </w:r>
    </w:p>
    <w:p w14:paraId="5A2074E9" w14:textId="77777777" w:rsidR="00813C21" w:rsidRPr="00813C21" w:rsidRDefault="00813C21" w:rsidP="00813C21">
      <w:pPr>
        <w:ind w:firstLine="360"/>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ReferensiCatatanKaki"/>
          <w:lang w:val="sv-SE"/>
        </w:rPr>
        <w:footnoteReference w:id="43"/>
      </w:r>
    </w:p>
    <w:p w14:paraId="2A31F0F4" w14:textId="77777777" w:rsidR="00813C21" w:rsidRPr="00813C21" w:rsidRDefault="00813C21" w:rsidP="00813C21">
      <w:pPr>
        <w:ind w:firstLine="360"/>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ReferensiCatatanKaki"/>
          <w:lang w:val="sv-SE"/>
        </w:rPr>
        <w:footnoteReference w:id="44"/>
      </w:r>
    </w:p>
    <w:p w14:paraId="58F5801B" w14:textId="77777777" w:rsidR="00813C21" w:rsidRPr="00813C21" w:rsidRDefault="00813C21" w:rsidP="00813C21">
      <w:pPr>
        <w:ind w:firstLine="360"/>
        <w:jc w:val="both"/>
        <w:rPr>
          <w:lang w:val="sv-SE"/>
        </w:rPr>
      </w:pPr>
      <w:r w:rsidRPr="00813C21">
        <w:rPr>
          <w:lang w:val="sv-SE"/>
        </w:rPr>
        <w:t>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Kristen menempatkan perjumpaan eksistensial dengan Allah Tritunggal sebagai pusat kehidupan iman, bukan sekadar pengakuan dogmatis formal semata.</w:t>
      </w:r>
      <w:r w:rsidRPr="00813C21">
        <w:rPr>
          <w:rStyle w:val="ReferensiCatatanKaki"/>
          <w:lang w:val="sv-SE"/>
        </w:rPr>
        <w:footnoteReference w:id="45"/>
      </w:r>
    </w:p>
    <w:p w14:paraId="5D405FE0" w14:textId="77777777" w:rsidR="00813C21" w:rsidRPr="00813C21" w:rsidRDefault="00813C21" w:rsidP="00813C21">
      <w:pPr>
        <w:ind w:firstLine="360"/>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ReferensiCatatanKaki"/>
          <w:lang w:val="sv-SE"/>
        </w:rPr>
        <w:footnoteReference w:id="46"/>
      </w:r>
      <w:r w:rsidRPr="00813C21">
        <w:rPr>
          <w:lang w:val="sv-SE"/>
        </w:rPr>
        <w:t xml:space="preserve"> Perspektif ini memberi ruang bagi gereja untuk berdialog </w:t>
      </w:r>
      <w:r w:rsidRPr="00813C21">
        <w:rPr>
          <w:lang w:val="sv-SE"/>
        </w:rPr>
        <w:lastRenderedPageBreak/>
        <w:t>dengan posmodernisme, tanpa kehilangan keunikan Injil sebagai kebenaran Allah yang menyapa manusia dalam sejarah.</w:t>
      </w:r>
    </w:p>
    <w:p w14:paraId="09AB0CF0" w14:textId="77777777" w:rsidR="00813C21" w:rsidRPr="00813C21" w:rsidRDefault="00813C21" w:rsidP="00813C21">
      <w:pPr>
        <w:ind w:firstLine="360"/>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ReferensiCatatanKaki"/>
          <w:lang w:val="sv-SE"/>
        </w:rPr>
        <w:footnoteReference w:id="47"/>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021C10A2" w14:textId="77777777" w:rsidR="00813C21" w:rsidRPr="00813C21" w:rsidRDefault="00813C21" w:rsidP="00813C21">
      <w:pPr>
        <w:ind w:firstLine="360"/>
        <w:jc w:val="both"/>
        <w:rPr>
          <w:lang w:val="sv-SE"/>
        </w:rPr>
      </w:pPr>
      <w:r w:rsidRPr="00813C21">
        <w:rPr>
          <w:lang w:val="sv-SE"/>
        </w:rPr>
        <w:t>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ReferensiCatatanKaki"/>
          <w:lang w:val="sv-SE"/>
        </w:rPr>
        <w:footnoteReference w:id="48"/>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09B6C83C" w14:textId="77777777" w:rsidR="00813C21" w:rsidRPr="00813C21" w:rsidRDefault="00813C21" w:rsidP="00813C21">
      <w:pPr>
        <w:ind w:firstLine="360"/>
        <w:jc w:val="both"/>
        <w:rPr>
          <w:lang w:val="sv-SE"/>
        </w:rPr>
      </w:pPr>
      <w:r w:rsidRPr="00813C21">
        <w:rPr>
          <w:lang w:val="sv-SE"/>
        </w:rPr>
        <w:t>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ReferensiCatatanKaki"/>
          <w:lang w:val="sv-SE"/>
        </w:rPr>
        <w:footnoteReference w:id="49"/>
      </w:r>
    </w:p>
    <w:p w14:paraId="442C4DD0" w14:textId="77777777" w:rsidR="00813C21" w:rsidRPr="00813C21" w:rsidRDefault="00813C21" w:rsidP="00813C21">
      <w:pPr>
        <w:ind w:firstLine="360"/>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ReferensiCatatanKaki"/>
          <w:lang w:val="sv-SE"/>
        </w:rPr>
        <w:footnoteReference w:id="50"/>
      </w:r>
      <w:r w:rsidRPr="00813C21">
        <w:rPr>
          <w:lang w:val="sv-SE"/>
        </w:rPr>
        <w:t xml:space="preserve"> Dalam kerangka ini, posmodernisme menjadi tantangan sekaligus peluang: tantangan karena ia mengkritisi klaim kebenaran tunggal yang bersifat hegemonik, tetapi juga peluang karena ia mendorong gereja untuk menampilkan wajah Injil yang membebaskan, bukan menindas.</w:t>
      </w:r>
      <w:r w:rsidRPr="00813C21">
        <w:rPr>
          <w:rStyle w:val="ReferensiCatatanKaki"/>
          <w:lang w:val="sv-SE"/>
        </w:rPr>
        <w:footnoteReference w:id="51"/>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ReferensiCatatanKaki"/>
          <w:lang w:val="sv-SE"/>
        </w:rPr>
        <w:footnoteReference w:id="52"/>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ReferensiCatatanKaki"/>
          <w:lang w:val="sv-SE"/>
        </w:rPr>
        <w:footnoteReference w:id="53"/>
      </w:r>
    </w:p>
    <w:p w14:paraId="72B1EEE1" w14:textId="77777777" w:rsidR="00813C21" w:rsidRPr="00813C21" w:rsidRDefault="00813C21" w:rsidP="00813C21">
      <w:pPr>
        <w:ind w:firstLine="360"/>
        <w:jc w:val="both"/>
        <w:rPr>
          <w:lang w:val="sv-SE"/>
        </w:rPr>
      </w:pPr>
      <w:r w:rsidRPr="00813C21">
        <w:rPr>
          <w:lang w:val="sv-SE"/>
        </w:rPr>
        <w:t xml:space="preserve">Pendekatan teologis yang peka terhadap budaya menegaskan bahwa pemberitaan Injil tidak boleh dilepaskan dari konteks kehidupan masyarakat. Injil memang bersumber dari Allah dan memiliki kebenaran yang mutlak, tetapi cara penyampaiannya perlu disesuaikan </w:t>
      </w:r>
      <w:r w:rsidRPr="00813C21">
        <w:rPr>
          <w:lang w:val="sv-SE"/>
        </w:rPr>
        <w:lastRenderedPageBreak/>
        <w:t>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ReferensiCatatanKaki"/>
          <w:lang w:val="sv-SE"/>
        </w:rPr>
        <w:footnoteReference w:id="54"/>
      </w:r>
    </w:p>
    <w:p w14:paraId="2F2625DA" w14:textId="77777777" w:rsidR="00813C21" w:rsidRPr="00813C21" w:rsidRDefault="00813C21" w:rsidP="00813C21">
      <w:pPr>
        <w:ind w:firstLine="360"/>
        <w:jc w:val="both"/>
        <w:rPr>
          <w:lang w:val="sv-SE"/>
        </w:rPr>
      </w:pPr>
      <w:r w:rsidRPr="00813C21">
        <w:rPr>
          <w:lang w:val="sv-SE"/>
        </w:rPr>
        <w:t>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RPr="00813C21">
        <w:rPr>
          <w:rStyle w:val="ReferensiCatatanKaki"/>
          <w:lang w:val="sv-SE"/>
        </w:rPr>
        <w:footnoteReference w:id="55"/>
      </w:r>
    </w:p>
    <w:p w14:paraId="6586D643" w14:textId="77777777" w:rsidR="00813C21" w:rsidRPr="00813C21" w:rsidRDefault="00813C21" w:rsidP="00813C21">
      <w:pPr>
        <w:ind w:firstLine="360"/>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ReferensiCatatanKaki"/>
          <w:lang w:val="sv-SE"/>
        </w:rPr>
        <w:footnoteReference w:id="56"/>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813C21">
      <w:pPr>
        <w:ind w:firstLine="360"/>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ReferensiCatatanKaki"/>
          <w:lang w:val="sv-SE"/>
        </w:rPr>
        <w:footnoteReference w:id="57"/>
      </w:r>
    </w:p>
    <w:p w14:paraId="73BC220D" w14:textId="77777777" w:rsidR="00813C21" w:rsidRPr="00813C21" w:rsidRDefault="00813C21" w:rsidP="00813C21">
      <w:pPr>
        <w:ind w:firstLine="360"/>
        <w:jc w:val="both"/>
        <w:rPr>
          <w:lang w:val="sv-SE"/>
        </w:rPr>
      </w:pPr>
      <w:r w:rsidRPr="00813C21">
        <w:rPr>
          <w:lang w:val="sv-SE"/>
        </w:rPr>
        <w:t>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cerita Allah yang masuk ke dalam sejarah manusia, yang mengundang partisipasi dan transformasi.</w:t>
      </w:r>
      <w:r w:rsidRPr="00813C21">
        <w:rPr>
          <w:rStyle w:val="ReferensiCatatanKaki"/>
          <w:lang w:val="sv-SE"/>
        </w:rPr>
        <w:footnoteReference w:id="58"/>
      </w:r>
    </w:p>
    <w:p w14:paraId="13735339" w14:textId="77777777" w:rsidR="00813C21" w:rsidRPr="00813C21" w:rsidRDefault="00813C21" w:rsidP="00813C21">
      <w:pPr>
        <w:ind w:firstLine="360"/>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ReferensiCatatanKaki"/>
          <w:lang w:val="sv-SE"/>
        </w:rPr>
        <w:footnoteReference w:id="59"/>
      </w:r>
      <w:r w:rsidRPr="00813C21">
        <w:rPr>
          <w:lang w:val="sv-SE"/>
        </w:rPr>
        <w:t xml:space="preserve"> Beberapa langkah teologis yang dapat ditawarkan adalah: </w:t>
      </w:r>
    </w:p>
    <w:p w14:paraId="4A4C7285"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w:t>
      </w:r>
      <w:r w:rsidRPr="00813C21">
        <w:rPr>
          <w:rFonts w:eastAsia="Times New Roman"/>
          <w:lang w:val="sv-SE" w:eastAsia="en-ID"/>
        </w:rPr>
        <w:lastRenderedPageBreak/>
        <w:t>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14:paraId="71D236B9"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Mengembangkan apologetika naratif</w:t>
      </w:r>
      <w:r w:rsidRPr="00813C21">
        <w:rPr>
          <w:rFonts w:eastAsia="Times New Roman"/>
          <w:lang w:val="sv-SE" w:eastAsia="en-ID"/>
        </w:rPr>
        <w:t>,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14:paraId="288A5251" w14:textId="77777777" w:rsidR="00813C21" w:rsidRPr="00813C21" w:rsidRDefault="00813C21" w:rsidP="00813C21">
      <w:pPr>
        <w:numPr>
          <w:ilvl w:val="0"/>
          <w:numId w:val="1"/>
        </w:numPr>
        <w:spacing w:before="100" w:beforeAutospacing="1" w:after="100" w:afterAutospacing="1"/>
        <w:jc w:val="both"/>
        <w:rPr>
          <w:rFonts w:eastAsia="Times New Roman"/>
          <w:lang w:val="sv-SE" w:eastAsia="en-ID"/>
        </w:rPr>
      </w:pP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14:paraId="5D84B1AF" w14:textId="77777777" w:rsidR="00813C21" w:rsidRPr="00813C21" w:rsidRDefault="00813C21" w:rsidP="00813C21">
      <w:pPr>
        <w:numPr>
          <w:ilvl w:val="0"/>
          <w:numId w:val="1"/>
        </w:numPr>
        <w:jc w:val="both"/>
        <w:rPr>
          <w:rFonts w:eastAsia="Times New Roman"/>
          <w:lang w:val="sv-SE" w:eastAsia="en-ID"/>
        </w:rPr>
      </w:pP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6175217F" w:rsidR="00813C21" w:rsidRPr="00813C21" w:rsidRDefault="00813C21" w:rsidP="00813C21">
      <w:pPr>
        <w:jc w:val="both"/>
        <w:rPr>
          <w:rFonts w:eastAsia="Times New Roman"/>
          <w:b/>
          <w:bCs/>
          <w:lang w:val="sv-SE" w:eastAsia="en-ID"/>
        </w:rPr>
      </w:pPr>
      <w:r w:rsidRPr="00813C21">
        <w:rPr>
          <w:rFonts w:eastAsia="Times New Roman"/>
          <w:b/>
          <w:bCs/>
          <w:lang w:val="sv-SE" w:eastAsia="en-ID"/>
        </w:rPr>
        <w:t>Implikasi Bagi Teologi dan Misi Gereja</w:t>
      </w:r>
    </w:p>
    <w:p w14:paraId="1CA40589"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ReferensiCatatanKaki"/>
          <w:rFonts w:eastAsia="Times New Roman"/>
          <w:lang w:val="sv-SE" w:eastAsia="en-ID"/>
        </w:rPr>
        <w:footnoteReference w:id="60"/>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ReferensiCatatanKaki"/>
          <w:rFonts w:eastAsia="Times New Roman"/>
          <w:lang w:val="sv-SE" w:eastAsia="en-ID"/>
        </w:rPr>
        <w:footnoteReference w:id="61"/>
      </w:r>
    </w:p>
    <w:p w14:paraId="5B750EF1"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 xml:space="preserve">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w:t>
      </w:r>
      <w:r w:rsidRPr="00813C21">
        <w:rPr>
          <w:rFonts w:eastAsia="Times New Roman"/>
          <w:lang w:val="sv-SE" w:eastAsia="en-ID"/>
        </w:rPr>
        <w:lastRenderedPageBreak/>
        <w:t>agar para murid bukan hanya menjadi pendengar firman, tetapi pelaku firman yang menghadirkan nilai-nilai Kerajaan Allah di tengah dunia.</w:t>
      </w:r>
      <w:r w:rsidRPr="00813C21">
        <w:rPr>
          <w:rStyle w:val="ReferensiCatatanKaki"/>
          <w:rFonts w:eastAsia="Times New Roman"/>
          <w:lang w:val="sv-SE" w:eastAsia="en-ID"/>
        </w:rPr>
        <w:footnoteReference w:id="62"/>
      </w:r>
    </w:p>
    <w:p w14:paraId="34CB19E7"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ReferensiCatatanKaki"/>
          <w:rFonts w:eastAsia="Times New Roman"/>
          <w:lang w:val="sv-SE" w:eastAsia="en-ID"/>
        </w:rPr>
        <w:footnoteReference w:id="63"/>
      </w:r>
    </w:p>
    <w:p w14:paraId="6EAD9166"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ReferensiCatatanKaki"/>
          <w:rFonts w:eastAsia="Times New Roman"/>
          <w:lang w:val="sv-SE" w:eastAsia="en-ID"/>
        </w:rPr>
        <w:footnoteReference w:id="64"/>
      </w:r>
    </w:p>
    <w:p w14:paraId="13AFF822" w14:textId="77777777" w:rsidR="00813C21" w:rsidRPr="00813C21" w:rsidRDefault="00813C21" w:rsidP="00813C21">
      <w:pPr>
        <w:ind w:firstLine="720"/>
        <w:jc w:val="both"/>
        <w:rPr>
          <w:lang w:val="sv-SE"/>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ReferensiCatatanKaki"/>
          <w:rFonts w:eastAsia="Times New Roman"/>
          <w:lang w:val="sv-SE" w:eastAsia="en-ID"/>
        </w:rPr>
        <w:footnoteReference w:id="65"/>
      </w:r>
    </w:p>
    <w:p w14:paraId="114EB3F7" w14:textId="3A697DDD" w:rsidR="00C30472" w:rsidRDefault="00C30472">
      <w:pPr>
        <w:ind w:firstLine="720"/>
        <w:jc w:val="both"/>
      </w:pPr>
    </w:p>
    <w:p w14:paraId="135ABFC8" w14:textId="77777777" w:rsidR="00C30472" w:rsidRDefault="00C30472">
      <w:pPr>
        <w:jc w:val="both"/>
      </w:pPr>
    </w:p>
    <w:p w14:paraId="1B7C2636" w14:textId="77777777" w:rsidR="00C30472" w:rsidRDefault="001366A2">
      <w:pPr>
        <w:tabs>
          <w:tab w:val="left" w:pos="284"/>
        </w:tabs>
        <w:jc w:val="both"/>
        <w:rPr>
          <w:b/>
        </w:rPr>
      </w:pPr>
      <w:r>
        <w:rPr>
          <w:b/>
        </w:rPr>
        <w:t>KESIMPULAN</w:t>
      </w:r>
    </w:p>
    <w:p w14:paraId="709C1A60" w14:textId="4F600F49" w:rsidR="003929F5" w:rsidRPr="003929F5" w:rsidRDefault="003929F5" w:rsidP="003929F5">
      <w:pPr>
        <w:ind w:firstLine="720"/>
        <w:jc w:val="both"/>
        <w:rPr>
          <w:lang w:val="sv-SE"/>
        </w:rPr>
      </w:pPr>
      <w:r w:rsidRPr="003929F5">
        <w:rPr>
          <w:lang w:val="sv-SE"/>
        </w:rPr>
        <w:t>Pertemuan antara posmodernisme dan Kekristenan menampilkan suatu dialektika yang menuntut respons teologis yang kritis sekaligus konstruktif. Relativisme epistemologis yang melekat dalam posmodernisme jelas bertentangan dengan pengakuan iman Kristen 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04D2B532" w14:textId="39EC8F7C"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1366A2">
      <w:pPr>
        <w:rPr>
          <w:b/>
        </w:rPr>
      </w:pPr>
      <w:commentRangeStart w:id="3"/>
      <w:r>
        <w:rPr>
          <w:b/>
        </w:rPr>
        <w:t xml:space="preserve">DAFTAR PUSTAKA </w:t>
      </w:r>
      <w:commentRangeEnd w:id="3"/>
      <w:r w:rsidR="003D7F17">
        <w:rPr>
          <w:rStyle w:val="ReferensiKomentar"/>
          <w:b/>
          <w:sz w:val="24"/>
          <w:szCs w:val="24"/>
        </w:rPr>
        <w:commentReference w:id="3"/>
      </w:r>
    </w:p>
    <w:p w14:paraId="6B71F03F" w14:textId="28BFE51A" w:rsidR="00C30472" w:rsidRDefault="00C30472">
      <w:pPr>
        <w:ind w:left="360" w:hanging="360"/>
        <w:jc w:val="both"/>
      </w:pPr>
    </w:p>
    <w:p w14:paraId="1AEDFAA3" w14:textId="0671584E" w:rsidR="002E779E" w:rsidRPr="002E779E" w:rsidRDefault="002E779E" w:rsidP="002E779E">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E779E">
        <w:rPr>
          <w:noProof/>
        </w:rPr>
        <w:t xml:space="preserve">Alister E. McGrath. </w:t>
      </w:r>
      <w:r w:rsidRPr="002E779E">
        <w:rPr>
          <w:i/>
          <w:iCs/>
          <w:noProof/>
        </w:rPr>
        <w:t>Christian Theology : An Introduction</w:t>
      </w:r>
      <w:r w:rsidRPr="002E779E">
        <w:rPr>
          <w:noProof/>
        </w:rPr>
        <w:t>. Chichester: Wiley, Blackwell, 2017.</w:t>
      </w:r>
    </w:p>
    <w:p w14:paraId="36B4F3A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Alvin Plantinga. </w:t>
      </w:r>
      <w:r w:rsidRPr="002E779E">
        <w:rPr>
          <w:i/>
          <w:iCs/>
          <w:noProof/>
        </w:rPr>
        <w:t xml:space="preserve">Warranted Christian Belief </w:t>
      </w:r>
      <w:r w:rsidRPr="002E779E">
        <w:rPr>
          <w:noProof/>
        </w:rPr>
        <w:t>. New York: Oxford University Press, 2000.</w:t>
      </w:r>
    </w:p>
    <w:p w14:paraId="56F4A04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Carson, D. A. </w:t>
      </w:r>
      <w:r w:rsidRPr="002E779E">
        <w:rPr>
          <w:i/>
          <w:iCs/>
          <w:noProof/>
        </w:rPr>
        <w:t>Kristen Di Tengah Era Postmodern</w:t>
      </w:r>
      <w:r w:rsidRPr="002E779E">
        <w:rPr>
          <w:noProof/>
        </w:rPr>
        <w:t>. Surabaya: Momentum, 2003.</w:t>
      </w:r>
    </w:p>
    <w:p w14:paraId="01B6276E" w14:textId="77777777" w:rsidR="002E779E" w:rsidRPr="002E779E" w:rsidRDefault="002E779E" w:rsidP="002E779E">
      <w:pPr>
        <w:widowControl w:val="0"/>
        <w:autoSpaceDE w:val="0"/>
        <w:autoSpaceDN w:val="0"/>
        <w:adjustRightInd w:val="0"/>
        <w:ind w:left="480" w:hanging="480"/>
        <w:rPr>
          <w:noProof/>
        </w:rPr>
      </w:pPr>
      <w:r w:rsidRPr="002E779E">
        <w:rPr>
          <w:noProof/>
        </w:rPr>
        <w:t>———. “The Gagging of God: Christianity.” Michigan: Zondervan, 2009.</w:t>
      </w:r>
    </w:p>
    <w:p w14:paraId="441353B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Gagging of God: Christianity Confronts Pluralism</w:t>
      </w:r>
      <w:r w:rsidRPr="002E779E">
        <w:rPr>
          <w:noProof/>
        </w:rPr>
        <w:t>. Grand Rapids: Zondervan, 2020.</w:t>
      </w:r>
    </w:p>
    <w:p w14:paraId="347E980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Conn, Harvie M.. </w:t>
      </w:r>
      <w:r w:rsidRPr="002E779E">
        <w:rPr>
          <w:i/>
          <w:iCs/>
          <w:noProof/>
        </w:rPr>
        <w:t>Eternal Word and Changing Worlds: Theology, Anthropology, and Mission in Trialogue</w:t>
      </w:r>
      <w:r w:rsidRPr="002E779E">
        <w:rPr>
          <w:noProof/>
        </w:rPr>
        <w:t>. Grand Rapids, Mich.: Zondervan, 1984.</w:t>
      </w:r>
    </w:p>
    <w:p w14:paraId="779A1BA7" w14:textId="77777777" w:rsidR="002E779E" w:rsidRPr="002E779E" w:rsidRDefault="002E779E" w:rsidP="002E779E">
      <w:pPr>
        <w:widowControl w:val="0"/>
        <w:autoSpaceDE w:val="0"/>
        <w:autoSpaceDN w:val="0"/>
        <w:adjustRightInd w:val="0"/>
        <w:ind w:left="480" w:hanging="480"/>
        <w:rPr>
          <w:noProof/>
        </w:rPr>
      </w:pPr>
      <w:r w:rsidRPr="002E779E">
        <w:rPr>
          <w:noProof/>
        </w:rPr>
        <w:t>Darmaputera, Eka. “Pergulatan Kehadiran Kristen Di Indonesia.” Jakarta: BPK Gunung Mulia, 2005.</w:t>
      </w:r>
    </w:p>
    <w:p w14:paraId="6E23C5D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David J. Bosch. </w:t>
      </w:r>
      <w:r w:rsidRPr="002E779E">
        <w:rPr>
          <w:i/>
          <w:iCs/>
          <w:noProof/>
        </w:rPr>
        <w:t>Transforming Mission: Paradigm Shifts in Theology of Mission</w:t>
      </w:r>
      <w:r w:rsidRPr="002E779E">
        <w:rPr>
          <w:noProof/>
        </w:rPr>
        <w:t>. Maryknoll: Orbis Books, 2011.</w:t>
      </w:r>
    </w:p>
    <w:p w14:paraId="6D69796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Eka Darmaputera. </w:t>
      </w:r>
      <w:r w:rsidRPr="002E779E">
        <w:rPr>
          <w:i/>
          <w:iCs/>
          <w:noProof/>
        </w:rPr>
        <w:t>Pergulatan Kehadiran Kristen Di Indonesia: Teks-Teks Terpilih Eka Darmaputera</w:t>
      </w:r>
      <w:r w:rsidRPr="002E779E">
        <w:rPr>
          <w:noProof/>
        </w:rPr>
        <w:t>. Jakarta: BPK Gunung Mulia , 2005.</w:t>
      </w:r>
    </w:p>
    <w:p w14:paraId="02647750"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F. F. Bruce. </w:t>
      </w:r>
      <w:r w:rsidRPr="002E779E">
        <w:rPr>
          <w:i/>
          <w:iCs/>
          <w:noProof/>
        </w:rPr>
        <w:t>The Book of the Acts</w:t>
      </w:r>
      <w:r w:rsidRPr="002E779E">
        <w:rPr>
          <w:noProof/>
        </w:rPr>
        <w:t xml:space="preserve">. </w:t>
      </w:r>
      <w:r w:rsidRPr="002E779E">
        <w:rPr>
          <w:i/>
          <w:iCs/>
          <w:noProof/>
        </w:rPr>
        <w:t>The Book of the Acts</w:t>
      </w:r>
      <w:r w:rsidRPr="002E779E">
        <w:rPr>
          <w:noProof/>
        </w:rPr>
        <w:t>. Grand Rapids: Eerdmans, 1988.</w:t>
      </w:r>
    </w:p>
    <w:p w14:paraId="6341D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Grenz, Stanley J. </w:t>
      </w:r>
      <w:r w:rsidRPr="002E779E">
        <w:rPr>
          <w:i/>
          <w:iCs/>
          <w:noProof/>
        </w:rPr>
        <w:t>Teologi Postmodernisme: Membaca Budaya Dengan Kacamata Injil</w:t>
      </w:r>
      <w:r w:rsidRPr="002E779E">
        <w:rPr>
          <w:noProof/>
        </w:rPr>
        <w:t>. Jakarta: BPK Gunung Mulia, 2002.</w:t>
      </w:r>
    </w:p>
    <w:p w14:paraId="712433C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Harun Hadiwijono. </w:t>
      </w:r>
      <w:r w:rsidRPr="002E779E">
        <w:rPr>
          <w:i/>
          <w:iCs/>
          <w:noProof/>
        </w:rPr>
        <w:t>Iman Kristen</w:t>
      </w:r>
      <w:r w:rsidRPr="002E779E">
        <w:rPr>
          <w:noProof/>
        </w:rPr>
        <w:t>. Jakarta: BPK Gunung Mulia, 2007.</w:t>
      </w:r>
    </w:p>
    <w:p w14:paraId="14E272F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Herman Bavinck. </w:t>
      </w:r>
      <w:r w:rsidRPr="002E779E">
        <w:rPr>
          <w:i/>
          <w:iCs/>
          <w:noProof/>
        </w:rPr>
        <w:t xml:space="preserve">Reformed Dogmatics </w:t>
      </w:r>
      <w:r w:rsidRPr="002E779E">
        <w:rPr>
          <w:noProof/>
        </w:rPr>
        <w:t>. Vol. 1. Grand Rapids: Baker Academic, 2003.</w:t>
      </w:r>
    </w:p>
    <w:p w14:paraId="4E605CE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Hick, John. </w:t>
      </w:r>
      <w:r w:rsidRPr="002E779E">
        <w:rPr>
          <w:i/>
          <w:iCs/>
          <w:noProof/>
        </w:rPr>
        <w:t>An Interpretation of Religion: Human Responses to the Transcendent</w:t>
      </w:r>
      <w:r w:rsidRPr="002E779E">
        <w:rPr>
          <w:noProof/>
        </w:rPr>
        <w:t>. New Haven, CT: Yale University Press, 1989.</w:t>
      </w:r>
    </w:p>
    <w:p w14:paraId="61D892C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Hiebert, Paul G. </w:t>
      </w:r>
      <w:r w:rsidRPr="002E779E">
        <w:rPr>
          <w:i/>
          <w:iCs/>
          <w:noProof/>
        </w:rPr>
        <w:t>Anthropological Insights for Missionaries</w:t>
      </w:r>
      <w:r w:rsidRPr="002E779E">
        <w:rPr>
          <w:noProof/>
        </w:rPr>
        <w:t>. Grand Rapids, Michigan, USA: Baker Book House, 1985.</w:t>
      </w:r>
    </w:p>
    <w:p w14:paraId="4C8306F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 Richard Middleton, Brian J. Walsh. </w:t>
      </w:r>
      <w:r w:rsidRPr="002E779E">
        <w:rPr>
          <w:i/>
          <w:iCs/>
          <w:noProof/>
        </w:rPr>
        <w:t>Kebenaran Subversif: Membaca Alkitab Dalam Dunia Postmodern</w:t>
      </w:r>
      <w:r w:rsidRPr="002E779E">
        <w:rPr>
          <w:noProof/>
        </w:rPr>
        <w:t>. Jakarta: BPK Gunung Mulia, 2010.</w:t>
      </w:r>
    </w:p>
    <w:p w14:paraId="59AE766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Jacques Derrida. </w:t>
      </w:r>
      <w:r w:rsidRPr="002E779E">
        <w:rPr>
          <w:i/>
          <w:iCs/>
          <w:noProof/>
        </w:rPr>
        <w:t xml:space="preserve">Of Grammatology </w:t>
      </w:r>
      <w:r w:rsidRPr="002E779E">
        <w:rPr>
          <w:noProof/>
        </w:rPr>
        <w:t>. Baltimore: Johns Hopkins University Press, 1976.</w:t>
      </w:r>
    </w:p>
    <w:p w14:paraId="1500933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R. W. Stott. </w:t>
      </w:r>
      <w:r w:rsidRPr="002E779E">
        <w:rPr>
          <w:i/>
          <w:iCs/>
          <w:noProof/>
        </w:rPr>
        <w:t xml:space="preserve">The Message of Acts </w:t>
      </w:r>
      <w:r w:rsidRPr="002E779E">
        <w:rPr>
          <w:noProof/>
        </w:rPr>
        <w:t>. Leicester: Inter-Varsity Press, 2020.</w:t>
      </w:r>
    </w:p>
    <w:p w14:paraId="521BE03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W. Creswell. </w:t>
      </w:r>
      <w:r w:rsidRPr="002E779E">
        <w:rPr>
          <w:i/>
          <w:iCs/>
          <w:noProof/>
        </w:rPr>
        <w:t>Second Edition Qualitative Inquiry &amp; Research Design Choosing Among Five Approaches</w:t>
      </w:r>
      <w:r w:rsidRPr="002E779E">
        <w:rPr>
          <w:noProof/>
        </w:rPr>
        <w:t xml:space="preserve">. </w:t>
      </w:r>
      <w:r w:rsidRPr="002E779E">
        <w:rPr>
          <w:i/>
          <w:iCs/>
          <w:noProof/>
        </w:rPr>
        <w:t>Sage</w:t>
      </w:r>
      <w:r w:rsidRPr="002E779E">
        <w:rPr>
          <w:noProof/>
        </w:rPr>
        <w:t>. California: Sage Publications, Inc., 2007.</w:t>
      </w:r>
    </w:p>
    <w:p w14:paraId="1274C1B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Joseph P. Natoli, and Linda Hutcheon. </w:t>
      </w:r>
      <w:r w:rsidRPr="002E779E">
        <w:rPr>
          <w:i/>
          <w:iCs/>
          <w:noProof/>
        </w:rPr>
        <w:t>A Postmodern Reader</w:t>
      </w:r>
      <w:r w:rsidRPr="002E779E">
        <w:rPr>
          <w:noProof/>
        </w:rPr>
        <w:t>. State University of New York Press, 1993.</w:t>
      </w:r>
    </w:p>
    <w:p w14:paraId="24397F3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Karl Barth. </w:t>
      </w:r>
      <w:r w:rsidRPr="002E779E">
        <w:rPr>
          <w:i/>
          <w:iCs/>
          <w:noProof/>
        </w:rPr>
        <w:t xml:space="preserve">Church Dogmatics The Doctrine of the Word of God, Volume 1, Part 2 </w:t>
      </w:r>
      <w:r w:rsidRPr="002E779E">
        <w:rPr>
          <w:noProof/>
        </w:rPr>
        <w:t>. Vol. 1. Edinburgh: T&amp;T Clark Internasional, 1936.</w:t>
      </w:r>
    </w:p>
    <w:p w14:paraId="4CD2887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w:t>
      </w:r>
      <w:r w:rsidRPr="002E779E">
        <w:rPr>
          <w:i/>
          <w:iCs/>
          <w:noProof/>
        </w:rPr>
        <w:t>Is There a Meaning in This Text? The Bible, the Reader, and the Morality of Literary Knowledge</w:t>
      </w:r>
      <w:r w:rsidRPr="002E779E">
        <w:rPr>
          <w:noProof/>
        </w:rPr>
        <w:t>. Grand Rapids: Zondervan, 1998.</w:t>
      </w:r>
    </w:p>
    <w:p w14:paraId="43C955F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Charles A. Andersonand Michael J. Sleasman. </w:t>
      </w:r>
      <w:r w:rsidRPr="002E779E">
        <w:rPr>
          <w:i/>
          <w:iCs/>
          <w:noProof/>
        </w:rPr>
        <w:t xml:space="preserve">Everyday Theology (Cultural Exegesis): How to Read Cultural Texts and Interpret Trends </w:t>
      </w:r>
      <w:r w:rsidRPr="002E779E">
        <w:rPr>
          <w:noProof/>
        </w:rPr>
        <w:t>. USA: Baker Academic , 2007.</w:t>
      </w:r>
    </w:p>
    <w:p w14:paraId="1DF44C7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Kleden, Budi. </w:t>
      </w:r>
      <w:r w:rsidRPr="002E779E">
        <w:rPr>
          <w:i/>
          <w:iCs/>
          <w:noProof/>
        </w:rPr>
        <w:t>Kristologi Dalam Konteks Papua</w:t>
      </w:r>
      <w:r w:rsidRPr="002E779E">
        <w:rPr>
          <w:noProof/>
        </w:rPr>
        <w:t>. Yogyakarta: Kanisius, 2015.</w:t>
      </w:r>
    </w:p>
    <w:p w14:paraId="402703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LAI 1974. </w:t>
      </w:r>
      <w:r w:rsidRPr="002E779E">
        <w:rPr>
          <w:i/>
          <w:iCs/>
          <w:noProof/>
        </w:rPr>
        <w:t>Alkitab Terjemahan Baru</w:t>
      </w:r>
      <w:r w:rsidRPr="002E779E">
        <w:rPr>
          <w:noProof/>
        </w:rPr>
        <w:t>. Jakarta: LEMBAGA ALKITAB INDONESIA, 2018.</w:t>
      </w:r>
    </w:p>
    <w:p w14:paraId="33C8646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Lubis, Akhyar. </w:t>
      </w:r>
      <w:r w:rsidRPr="002E779E">
        <w:rPr>
          <w:i/>
          <w:iCs/>
          <w:noProof/>
        </w:rPr>
        <w:t>Postmodernisme</w:t>
      </w:r>
      <w:r w:rsidRPr="002E779E">
        <w:rPr>
          <w:noProof/>
        </w:rPr>
        <w:t>. Jakarta: Rajawali Pres, 2014.</w:t>
      </w:r>
    </w:p>
    <w:p w14:paraId="29C1647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Lyotard, Jean-François. </w:t>
      </w:r>
      <w:r w:rsidRPr="002E779E">
        <w:rPr>
          <w:i/>
          <w:iCs/>
          <w:noProof/>
        </w:rPr>
        <w:t>Kondisi Postmodern</w:t>
      </w:r>
      <w:r w:rsidRPr="002E779E">
        <w:rPr>
          <w:noProof/>
        </w:rPr>
        <w:t>. Yogyakarta: Kanisius, 2009.</w:t>
      </w:r>
    </w:p>
    <w:p w14:paraId="7B3906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Postmodern Condition: A Report on Knowledge</w:t>
      </w:r>
      <w:r w:rsidRPr="002E779E">
        <w:rPr>
          <w:noProof/>
        </w:rPr>
        <w:t>. Minneapolis: University of Minnesota Press, 1984.</w:t>
      </w:r>
    </w:p>
    <w:p w14:paraId="55C59AF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Marlon Butarbutar. “Kristologi Biblika Menurut Kaum Reformed Sebagai Salah Satu Dasar Apologetika Dalam Menghadapi Pengajaran Gnostik Di Era Postmodern.” </w:t>
      </w:r>
      <w:r w:rsidRPr="002E779E">
        <w:rPr>
          <w:i/>
          <w:iCs/>
          <w:noProof/>
        </w:rPr>
        <w:lastRenderedPageBreak/>
        <w:t>Scripta</w:t>
      </w:r>
      <w:r w:rsidRPr="002E779E">
        <w:rPr>
          <w:noProof/>
        </w:rPr>
        <w:t xml:space="preserve"> 6, no. 2 (June 2018): 116–128.</w:t>
      </w:r>
    </w:p>
    <w:p w14:paraId="18D6E90C" w14:textId="77777777" w:rsidR="002E779E" w:rsidRPr="002E779E" w:rsidRDefault="002E779E" w:rsidP="002E779E">
      <w:pPr>
        <w:widowControl w:val="0"/>
        <w:autoSpaceDE w:val="0"/>
        <w:autoSpaceDN w:val="0"/>
        <w:adjustRightInd w:val="0"/>
        <w:ind w:left="480" w:hanging="480"/>
        <w:rPr>
          <w:noProof/>
        </w:rPr>
      </w:pPr>
      <w:r w:rsidRPr="002E779E">
        <w:rPr>
          <w:noProof/>
        </w:rPr>
        <w:t>McGrath, Alister E. “Christian Theology: An Introduction, 5th Edition: An Introduction” (2011): 539.</w:t>
      </w:r>
    </w:p>
    <w:p w14:paraId="07B739B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Michel Foucault. </w:t>
      </w:r>
      <w:r w:rsidRPr="002E779E">
        <w:rPr>
          <w:i/>
          <w:iCs/>
          <w:noProof/>
        </w:rPr>
        <w:t>Power/Knowledge: Selected Interviews and Other Writings 1972–1977</w:t>
      </w:r>
      <w:r w:rsidRPr="002E779E">
        <w:rPr>
          <w:noProof/>
        </w:rPr>
        <w:t>. New York: Pantheon Books, 1980.</w:t>
      </w:r>
    </w:p>
    <w:p w14:paraId="1B2EF35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MS, Kaelan. </w:t>
      </w:r>
      <w:r w:rsidRPr="002E779E">
        <w:rPr>
          <w:i/>
          <w:iCs/>
          <w:noProof/>
        </w:rPr>
        <w:t>Metode Penelitian Kualitatif Bidang Filsafat</w:t>
      </w:r>
      <w:r w:rsidRPr="002E779E">
        <w:rPr>
          <w:noProof/>
        </w:rPr>
        <w:t>. Yogyakarta.: Paradigma, 2005.</w:t>
      </w:r>
    </w:p>
    <w:p w14:paraId="7339DE6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 T. Wright. </w:t>
      </w:r>
      <w:r w:rsidRPr="002E779E">
        <w:rPr>
          <w:i/>
          <w:iCs/>
          <w:noProof/>
        </w:rPr>
        <w:t xml:space="preserve">Following Jesus: Biblical Reflections on Discipleship </w:t>
      </w:r>
      <w:r w:rsidRPr="002E779E">
        <w:rPr>
          <w:noProof/>
        </w:rPr>
        <w:t>. Grand Rapids: Eerdmans, 1995.</w:t>
      </w:r>
    </w:p>
    <w:p w14:paraId="0E158C5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Simply Jesus : A New Vision of Who He Was, What He Did, and Why He Matters</w:t>
      </w:r>
      <w:r w:rsidRPr="002E779E">
        <w:rPr>
          <w:noProof/>
        </w:rPr>
        <w:t>. HarperOne, 2011.</w:t>
      </w:r>
    </w:p>
    <w:p w14:paraId="6BB6336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Newbigin, Lesslie. </w:t>
      </w:r>
      <w:r w:rsidRPr="002E779E">
        <w:rPr>
          <w:i/>
          <w:iCs/>
          <w:noProof/>
        </w:rPr>
        <w:t>The Gospel in a Pluralist Society</w:t>
      </w:r>
      <w:r w:rsidRPr="002E779E">
        <w:rPr>
          <w:noProof/>
        </w:rPr>
        <w:t>. London: SPCK, 2022.</w:t>
      </w:r>
    </w:p>
    <w:p w14:paraId="47E001E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Oakes, Edward T. “SIMPLY CHRISTIAN: WHY CHRISTIANITY MAKES SENSE .” </w:t>
      </w:r>
      <w:r w:rsidRPr="002E779E">
        <w:rPr>
          <w:i/>
          <w:iCs/>
          <w:noProof/>
        </w:rPr>
        <w:t>A Monthly Journal of Religion and Public Life</w:t>
      </w:r>
      <w:r w:rsidRPr="002E779E">
        <w:rPr>
          <w:noProof/>
        </w:rPr>
        <w:t>, no. 169 (January 2007): 56–57.</w:t>
      </w:r>
    </w:p>
    <w:p w14:paraId="77B5564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Priest, Robert J. “Missionary Elenctics: Conscience and Culture.” </w:t>
      </w:r>
      <w:r w:rsidRPr="002E779E">
        <w:rPr>
          <w:i/>
          <w:iCs/>
          <w:noProof/>
        </w:rPr>
        <w:t>Missiology</w:t>
      </w:r>
      <w:r w:rsidRPr="002E779E">
        <w:rPr>
          <w:noProof/>
        </w:rPr>
        <w:t xml:space="preserve"> 22, no. 3 (July 1994): 291–315.</w:t>
      </w:r>
    </w:p>
    <w:p w14:paraId="02BBC27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Priyono, Budi, and Arnold Tindas. “Otoritas Alkitab Dalam Era Postmodern.” </w:t>
      </w:r>
      <w:r w:rsidRPr="002E779E">
        <w:rPr>
          <w:i/>
          <w:iCs/>
          <w:noProof/>
        </w:rPr>
        <w:t>Tri Tunggal: Jurnal Pendidikan Kristen dan Katolik</w:t>
      </w:r>
      <w:r w:rsidRPr="002E779E">
        <w:rPr>
          <w:noProof/>
        </w:rPr>
        <w:t xml:space="preserve"> 3, no. 2 (April 2025): 16–37.</w:t>
      </w:r>
    </w:p>
    <w:p w14:paraId="781F9BE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 W. L. Moberly. </w:t>
      </w:r>
      <w:r w:rsidRPr="002E779E">
        <w:rPr>
          <w:i/>
          <w:iCs/>
          <w:noProof/>
        </w:rPr>
        <w:t>The Science of Sustainable Development. Local Livelihoods and the Global Environment (Sayer, Campbell 2004)</w:t>
      </w:r>
      <w:r w:rsidRPr="002E779E">
        <w:rPr>
          <w:noProof/>
        </w:rPr>
        <w:t xml:space="preserve">. </w:t>
      </w:r>
      <w:r w:rsidRPr="002E779E">
        <w:rPr>
          <w:i/>
          <w:iCs/>
          <w:noProof/>
        </w:rPr>
        <w:t>Ecology and Society</w:t>
      </w:r>
      <w:r w:rsidRPr="002E779E">
        <w:rPr>
          <w:noProof/>
        </w:rPr>
        <w:t>. Cambridge: Cambridge University Press, 2000.</w:t>
      </w:r>
    </w:p>
    <w:p w14:paraId="6FACDC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Reid Hensarling. </w:t>
      </w:r>
      <w:r w:rsidRPr="002E779E">
        <w:rPr>
          <w:i/>
          <w:iCs/>
          <w:noProof/>
        </w:rPr>
        <w:t>Biblical Gospel : Its Significance And Impact In Spiritual Renewal</w:t>
      </w:r>
      <w:r w:rsidRPr="002E779E">
        <w:rPr>
          <w:noProof/>
        </w:rPr>
        <w:t>. Bloomington: Westbow Press, 2012.</w:t>
      </w:r>
    </w:p>
    <w:p w14:paraId="55A1E31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Stanley J. Grenz. </w:t>
      </w:r>
      <w:r w:rsidRPr="002E779E">
        <w:rPr>
          <w:i/>
          <w:iCs/>
          <w:noProof/>
        </w:rPr>
        <w:t xml:space="preserve">A Primer on Postmodernism </w:t>
      </w:r>
      <w:r w:rsidRPr="002E779E">
        <w:rPr>
          <w:noProof/>
        </w:rPr>
        <w:t xml:space="preserve">. </w:t>
      </w:r>
      <w:r w:rsidRPr="002E779E">
        <w:rPr>
          <w:i/>
          <w:iCs/>
          <w:noProof/>
        </w:rPr>
        <w:t xml:space="preserve">Grand Rapids </w:t>
      </w:r>
      <w:r w:rsidRPr="002E779E">
        <w:rPr>
          <w:noProof/>
        </w:rPr>
        <w:t>. Michigan: Grand Rapids, 1996.</w:t>
      </w:r>
    </w:p>
    <w:p w14:paraId="3E91332F" w14:textId="77777777" w:rsidR="002E779E" w:rsidRPr="002E779E" w:rsidRDefault="002E779E" w:rsidP="002E779E">
      <w:pPr>
        <w:widowControl w:val="0"/>
        <w:autoSpaceDE w:val="0"/>
        <w:autoSpaceDN w:val="0"/>
        <w:adjustRightInd w:val="0"/>
        <w:ind w:left="480" w:hanging="480"/>
        <w:rPr>
          <w:noProof/>
        </w:rPr>
      </w:pPr>
      <w:r w:rsidRPr="002E779E">
        <w:rPr>
          <w:noProof/>
        </w:rPr>
        <w:t>Stephen B. Bevans, SVD. “Models of Contextual Theology.” Maryknoll, New York, USA: Orbis Books, 2002.</w:t>
      </w:r>
    </w:p>
    <w:p w14:paraId="63655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Stott, John R. W. 1921-2011. </w:t>
      </w:r>
      <w:r w:rsidRPr="002E779E">
        <w:rPr>
          <w:i/>
          <w:iCs/>
          <w:noProof/>
        </w:rPr>
        <w:t>The Contemporary Christian  an Urgent Plea for Double Listening</w:t>
      </w:r>
      <w:r w:rsidRPr="002E779E">
        <w:rPr>
          <w:noProof/>
        </w:rPr>
        <w:t>. [Leicester]: Inter-Varsity Press, 1993.</w:t>
      </w:r>
    </w:p>
    <w:p w14:paraId="4309B74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Susabda, Yakub B. </w:t>
      </w:r>
      <w:r w:rsidRPr="002E779E">
        <w:rPr>
          <w:i/>
          <w:iCs/>
          <w:noProof/>
        </w:rPr>
        <w:t>Konseling Pastoral: Sebuah Pengantar</w:t>
      </w:r>
      <w:r w:rsidRPr="002E779E">
        <w:rPr>
          <w:noProof/>
        </w:rPr>
        <w:t>. Malang: Gandum Mas, 1997.</w:t>
      </w:r>
    </w:p>
    <w:p w14:paraId="66C8F5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Thomas F Torrance. </w:t>
      </w:r>
      <w:r w:rsidRPr="002E779E">
        <w:rPr>
          <w:i/>
          <w:iCs/>
          <w:noProof/>
        </w:rPr>
        <w:t>Reality &amp; Evangelical Theology : The Realism of Christian Revelation</w:t>
      </w:r>
      <w:r w:rsidRPr="002E779E">
        <w:rPr>
          <w:noProof/>
        </w:rPr>
        <w:t>. Wipf and Stock Publishers, 2003.</w:t>
      </w:r>
    </w:p>
    <w:p w14:paraId="468CD54F" w14:textId="77777777" w:rsidR="002E779E" w:rsidRPr="002E779E" w:rsidRDefault="002E779E" w:rsidP="002E779E">
      <w:pPr>
        <w:widowControl w:val="0"/>
        <w:autoSpaceDE w:val="0"/>
        <w:autoSpaceDN w:val="0"/>
        <w:adjustRightInd w:val="0"/>
        <w:ind w:left="480" w:hanging="480"/>
        <w:rPr>
          <w:noProof/>
        </w:rPr>
      </w:pPr>
      <w:r w:rsidRPr="002E779E">
        <w:rPr>
          <w:i/>
          <w:iCs/>
          <w:noProof/>
        </w:rPr>
        <w:t>Theologia Crucis: Salib Kristus</w:t>
      </w:r>
      <w:r w:rsidRPr="002E779E">
        <w:rPr>
          <w:noProof/>
        </w:rPr>
        <w:t>. Jakarta: Reformed Institute, 2006.</w:t>
      </w:r>
    </w:p>
    <w:p w14:paraId="64C4E3FF" w14:textId="65D70F43" w:rsidR="002E779E" w:rsidRDefault="002E779E">
      <w:pPr>
        <w:ind w:left="360" w:hanging="360"/>
        <w:jc w:val="both"/>
      </w:pPr>
      <w:r>
        <w:fldChar w:fldCharType="end"/>
      </w:r>
    </w:p>
    <w:sectPr w:rsidR="002E779E">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44838BFF" w14:textId="3BB0331F" w:rsidR="008B6EB9" w:rsidRDefault="008B6EB9">
      <w:pPr>
        <w:pStyle w:val="TeksKomentar"/>
      </w:pPr>
      <w:r>
        <w:rPr>
          <w:rStyle w:val="ReferensiKomentar"/>
        </w:rPr>
        <w:annotationRef/>
      </w:r>
      <w:r>
        <w:t>Bisa disebutkan secara singkat latar belakang masalah penelitian ini.</w:t>
      </w:r>
    </w:p>
  </w:comment>
  <w:comment w:id="1" w:author="Penulis" w:initials="A">
    <w:p w14:paraId="6680C23B" w14:textId="1E372498" w:rsidR="008B6EB9" w:rsidRDefault="008B6EB9">
      <w:pPr>
        <w:pStyle w:val="TeksKomentar"/>
      </w:pPr>
      <w:r>
        <w:rPr>
          <w:rStyle w:val="ReferensiKomentar"/>
        </w:rPr>
        <w:annotationRef/>
      </w:r>
      <w:r>
        <w:t>Paragraph ini lebih baik dimasukkan di bagian penjelasan Metodologi, bukan di abstrak.</w:t>
      </w:r>
    </w:p>
  </w:comment>
  <w:comment w:id="2" w:author="Penulis" w:initials="A">
    <w:p w14:paraId="56B3B6FB" w14:textId="287D694A" w:rsidR="00EB4986" w:rsidRDefault="00EB4986">
      <w:pPr>
        <w:pStyle w:val="TeksKomentar"/>
      </w:pPr>
      <w:r>
        <w:rPr>
          <w:rStyle w:val="ReferensiKomentar"/>
        </w:rPr>
        <w:annotationRef/>
      </w:r>
      <w:r>
        <w:t>Perlu ditegaskan apakah pendekatan filosofis dalam penelitian ini juga menjadi novelty ?</w:t>
      </w:r>
      <w:r w:rsidR="002235A9">
        <w:t xml:space="preserve"> Belum ada pemaparan “penelitian terdahulu” yang diterbitkan, setidaknya dalam lima tahun terakhir, untuk menunjukkan adanya “gap masalah penelitian”.</w:t>
      </w:r>
    </w:p>
  </w:comment>
  <w:comment w:id="3" w:author="Penulis" w:initials="A">
    <w:p w14:paraId="6E2C198D" w14:textId="3983E447" w:rsidR="003D7F17" w:rsidRDefault="003D7F17">
      <w:pPr>
        <w:pStyle w:val="TeksKomentar"/>
      </w:pPr>
      <w:r>
        <w:rPr>
          <w:rStyle w:val="ReferensiKomentar"/>
        </w:rPr>
        <w:annotationRef/>
      </w:r>
      <w:r>
        <w:t xml:space="preserve">Hampir semua Literatur yang digunakan diterbitkan lebih dari 15 tahun yang lalu. Hanya 3 buku yang terbit tahun 2018 &amp; 2022.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838BFF" w15:done="0"/>
  <w15:commentEx w15:paraId="6680C23B" w15:done="0"/>
  <w15:commentEx w15:paraId="56B3B6FB" w15:done="0"/>
  <w15:commentEx w15:paraId="6E2C19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838BFF" w16cid:durableId="151AFA78"/>
  <w16cid:commentId w16cid:paraId="6680C23B" w16cid:durableId="45499046"/>
  <w16cid:commentId w16cid:paraId="56B3B6FB" w16cid:durableId="0DB8DC20"/>
  <w16cid:commentId w16cid:paraId="6E2C198D" w16cid:durableId="430787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1C6CD" w14:textId="77777777" w:rsidR="008F4ED8" w:rsidRDefault="008F4ED8">
      <w:r>
        <w:separator/>
      </w:r>
    </w:p>
  </w:endnote>
  <w:endnote w:type="continuationSeparator" w:id="0">
    <w:p w14:paraId="2632F597" w14:textId="77777777" w:rsidR="008F4ED8" w:rsidRDefault="008F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262A067-AE2C-4B6B-B389-3B4711055CF5}"/>
    <w:embedBold r:id="rId2" w:fontKey="{DEE8F22C-D490-4D65-A464-0CD66349C315}"/>
  </w:font>
  <w:font w:name="Calibri">
    <w:panose1 w:val="020F0502020204030204"/>
    <w:charset w:val="00"/>
    <w:family w:val="swiss"/>
    <w:pitch w:val="variable"/>
    <w:sig w:usb0="E4002EFF" w:usb1="C200247B" w:usb2="00000009" w:usb3="00000000" w:csb0="000001FF" w:csb1="00000000"/>
    <w:embedRegular r:id="rId3" w:fontKey="{96B10CFB-F90F-497E-AB97-22E11D5D9AA0}"/>
    <w:embedBold r:id="rId4" w:fontKey="{C48A84DE-0F74-48E4-B4F5-FFDE5EC0FB95}"/>
    <w:embedItalic r:id="rId5" w:fontKey="{649FD251-2494-4244-8AC3-8B5197D65DA1}"/>
  </w:font>
  <w:font w:name="Calisto MT">
    <w:panose1 w:val="02040603050505030304"/>
    <w:charset w:val="00"/>
    <w:family w:val="roman"/>
    <w:pitch w:val="variable"/>
    <w:sig w:usb0="00000003" w:usb1="00000000" w:usb2="00000000" w:usb3="00000000" w:csb0="00000001" w:csb1="00000000"/>
    <w:embedRegular r:id="rId6" w:fontKey="{75A0C779-C54B-4410-99A9-7C4B86D4E296}"/>
    <w:embedBold r:id="rId7" w:fontKey="{6B7D83C5-76F1-4873-8BCA-23A009AD2FD4}"/>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1C7574AC-FB89-4771-8841-1F7595138135}"/>
    <w:embedItalic r:id="rId9" w:fontKey="{484157DB-8AFC-4E80-8242-3A16F1C49FC5}"/>
  </w:font>
  <w:font w:name="Lustria">
    <w:altName w:val="Cambria"/>
    <w:charset w:val="00"/>
    <w:family w:val="auto"/>
    <w:pitch w:val="default"/>
    <w:embedRegular r:id="rId10" w:fontKey="{327EDAC4-C0EF-4190-B51E-E41EB2495076}"/>
    <w:embedBold r:id="rId11" w:fontKey="{CC958D5F-5FDE-4804-A7BF-D92EB39890AE}"/>
    <w:embedItalic r:id="rId12" w:fontKey="{A2D83E84-0727-4F7E-8068-4C4F77F39962}"/>
  </w:font>
  <w:font w:name="Calibri Light">
    <w:panose1 w:val="020F0302020204030204"/>
    <w:charset w:val="00"/>
    <w:family w:val="swiss"/>
    <w:pitch w:val="variable"/>
    <w:sig w:usb0="E4002EFF" w:usb1="C200247B" w:usb2="00000009" w:usb3="00000000" w:csb0="000001FF" w:csb1="00000000"/>
    <w:embedRegular r:id="rId13" w:fontKey="{38A27987-3CC4-4C8E-B39A-86ED535AF7C6}"/>
    <w:embedBold r:id="rId14" w:fontKey="{87BDFD3E-B646-40A6-8969-4BA1881108AE}"/>
  </w:font>
  <w:font w:name="EB Garamond">
    <w:charset w:val="00"/>
    <w:family w:val="auto"/>
    <w:pitch w:val="variable"/>
    <w:sig w:usb0="E00002FF" w:usb1="02000413" w:usb2="00000000" w:usb3="00000000" w:csb0="0000019F" w:csb1="00000000"/>
    <w:embedRegular r:id="rId15" w:fontKey="{377EFA81-7274-46BD-B48D-4AB75CE6E78C}"/>
  </w:font>
  <w:font w:name="Cambria">
    <w:panose1 w:val="02040503050406030204"/>
    <w:charset w:val="00"/>
    <w:family w:val="roman"/>
    <w:pitch w:val="variable"/>
    <w:sig w:usb0="E00006FF" w:usb1="420024FF" w:usb2="02000000" w:usb3="00000000" w:csb0="0000019F" w:csb1="00000000"/>
    <w:embedRegular r:id="rId16" w:fontKey="{A54C57AA-9F52-4992-9211-EE2920477514}"/>
    <w:embedBoldItalic r:id="rId17" w:fontKey="{1F5A428B-0ABD-4940-BB0F-084A99D0DE7A}"/>
  </w:font>
  <w:font w:name="Garamond">
    <w:panose1 w:val="02020404030301010803"/>
    <w:charset w:val="00"/>
    <w:family w:val="roman"/>
    <w:pitch w:val="variable"/>
    <w:sig w:usb0="00000287" w:usb1="00000000" w:usb2="00000000" w:usb3="00000000" w:csb0="0000009F" w:csb1="00000000"/>
    <w:embedRegular r:id="rId18" w:fontKey="{F635A1AD-D515-47C3-A493-0D5B165C9074}"/>
  </w:font>
  <w:font w:name="Corben">
    <w:charset w:val="00"/>
    <w:family w:val="auto"/>
    <w:pitch w:val="default"/>
    <w:embedRegular r:id="rId19" w:fontKey="{668D9238-A0FA-4A05-A1CB-7B381E382574}"/>
  </w:font>
  <w:font w:name="Verdana">
    <w:panose1 w:val="020B0604030504040204"/>
    <w:charset w:val="00"/>
    <w:family w:val="swiss"/>
    <w:pitch w:val="variable"/>
    <w:sig w:usb0="A00006FF" w:usb1="4000205B" w:usb2="00000010" w:usb3="00000000" w:csb0="0000019F" w:csb1="00000000"/>
    <w:embedRegular r:id="rId20" w:fontKey="{8065A81A-15C8-4DD2-AC17-924BA43EF294}"/>
    <w:embedBold r:id="rId21" w:fontKey="{D5FC27ED-84FB-4825-A9CB-D2CE8034A7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8D023" w14:textId="77777777" w:rsidR="008F4ED8" w:rsidRDefault="008F4ED8">
      <w:r>
        <w:separator/>
      </w:r>
    </w:p>
  </w:footnote>
  <w:footnote w:type="continuationSeparator" w:id="0">
    <w:p w14:paraId="77CF5842" w14:textId="77777777" w:rsidR="008F4ED8" w:rsidRDefault="008F4ED8">
      <w:r>
        <w:continuationSeparator/>
      </w:r>
    </w:p>
  </w:footnote>
  <w:footnote w:id="1">
    <w:p w14:paraId="478CA429" w14:textId="5D4795F3"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","type":"book"},"locator":"2-5","uris":["http://www.mendeley.com/documents/?uuid=db9cdd4e-3846-3758-abc8-c0dc9ce216b7","http://www.mendeley.com/documents/?uuid=235d4bf7-d27f-48ca-820f-cf8a1b8211bd"]}],"mendeley":{"formattedCitation":"Stanley J. Grenz, &lt;i&gt;A Primer on Postmodernism &lt;/i&gt;, &lt;i&gt;Grand Rapids &lt;/i&gt; (Michigan: Grand Rapids, 1996), 2–5.","plainTextFormattedCitation":"Stanley J. Grenz, A Primer on Postmodernism , Grand Rapids  (Michigan: Grand Rapids, 1996), 2–5.","previouslyFormattedCitation":"Stanley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roperties":{"noteIndex":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 xml:space="preserve">, </w:t>
      </w:r>
      <w:r w:rsidRPr="00C71822">
        <w:rPr>
          <w:rFonts w:ascii="Times New Roman" w:hAnsi="Times New Roman" w:cs="Times New Roman"/>
          <w:i/>
          <w:noProof/>
        </w:rPr>
        <w:t xml:space="preserve">Grand Rapids </w:t>
      </w:r>
      <w:r w:rsidRPr="00C71822">
        <w:rPr>
          <w:rFonts w:ascii="Times New Roman" w:hAnsi="Times New Roman" w:cs="Times New Roman"/>
          <w:noProof/>
        </w:rPr>
        <w:t xml:space="preserve"> (Michigan: Grand Rapids, 1996), 2–5.</w:t>
      </w:r>
      <w:r w:rsidRPr="00C71822">
        <w:rPr>
          <w:rFonts w:ascii="Times New Roman" w:hAnsi="Times New Roman" w:cs="Times New Roman"/>
        </w:rPr>
        <w:fldChar w:fldCharType="end"/>
      </w:r>
    </w:p>
  </w:footnote>
  <w:footnote w:id="2">
    <w:p w14:paraId="79829E0B" w14:textId="4E9F18BA"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Knowledge","type":"book"},"locator":"71","uris":["http://www.mendeley.com/documents/?uuid=8117cd37-5bd9-4252-8ac0-563005cbadbc","http://www.mendeley.com/documents/?uuid=9298f3d0-e5df-4065-997c-3089e18251d7"]}],"mendeley":{"formattedCitation":"Jean-François Lyotard, &lt;i&gt;The Postmodern Condition: A Report on Knowledge&lt;/i&gt; (Minneapolis: University of Minnesota Press, 1984), 71.","plainTextFormattedCitation":"Jean-François Lyotard, The Postmodern Condition: A Report on Knowledge (Minneapolis: University of Minnesota Press, 1984), 71.","previouslyFormattedCitation":"Jean-François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Jean-François Lyotard, </w:t>
      </w:r>
      <w:r w:rsidRPr="00C71822">
        <w:rPr>
          <w:rFonts w:ascii="Times New Roman" w:hAnsi="Times New Roman" w:cs="Times New Roman"/>
          <w:i/>
          <w:noProof/>
        </w:rPr>
        <w:t>The Postmodern Condition: A Report on Knowledge</w:t>
      </w:r>
      <w:r w:rsidRPr="00C71822">
        <w:rPr>
          <w:rFonts w:ascii="Times New Roman" w:hAnsi="Times New Roman" w:cs="Times New Roman"/>
          <w:noProof/>
        </w:rPr>
        <w:t xml:space="preserve"> (Minneapolis: University of Minnesota Press, 1984), 71.</w:t>
      </w:r>
      <w:r w:rsidRPr="00C71822">
        <w:rPr>
          <w:rFonts w:ascii="Times New Roman" w:hAnsi="Times New Roman" w:cs="Times New Roman"/>
        </w:rPr>
        <w:fldChar w:fldCharType="end"/>
      </w:r>
    </w:p>
  </w:footnote>
  <w:footnote w:id="3">
    <w:p w14:paraId="22F61471" w14:textId="285B593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Christianity","type":"article"},"locator":"19-22","uris":["http://www.mendeley.com/documents/?uuid=466bdd54-0552-3321-a364-9d80ebcca0a2","http://www.mendeley.com/documents/?uuid=55e41519-be9e-414c-b6b3-673fbc3ee9a9"]}],"mendeley":{"formattedCitation":"D. A. Carson, “The Gagging of God: Christianity” (Michigan: Zondervan, 2009), 19–22.","plainTextFormattedCitation":"D. A. Carson, “The Gagging of God: Christianity” (Michigan: Zondervan, 2009), 19–22.","previouslyFormattedCitation":"D.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Chr."},"properties":{"noteIndex":3},"schema":"https://github.com/citation-style-language/schema/raw/master/csl-citation.json"}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D. A. Carson, “The Gagging of God: Christianity” (Michigan: Zondervan, 2009), 19–22.</w:t>
      </w:r>
      <w:r w:rsidRPr="00C71822">
        <w:rPr>
          <w:rFonts w:ascii="Times New Roman" w:hAnsi="Times New Roman" w:cs="Times New Roman"/>
        </w:rPr>
        <w:fldChar w:fldCharType="end"/>
      </w:r>
    </w:p>
  </w:footnote>
  <w:footnote w:id="4">
    <w:p w14:paraId="557B040C" w14:textId="22BDD7F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","type":"book"},"locator":"23-26","uris":["http://www.mendeley.com/documents/?uuid=f2d0874b-a0ef-361e-8dcb-e6ebd3446c56","http://www.mendeley.com/documents/?uuid=ba41fd5d-bba3-4e81-b613-fb3f7f465bf3"]}],"mendeley":{"formattedCitation":"Charles A. Andersonand Michael J. Sleasman Kevin J. Vanhoozer, &lt;i&gt;Everyday Theology (Cultural Exegesis): How to Read Cultural Texts and Interpret Trends &lt;/i&gt; (USA: Baker Academic , 2007), 23–26.","plainTextFormattedCitation":"Charles A. Andersonand Michael J. Sleasman Kevin J. Vanhoozer, Everyday Theology (Cultural Exegesis): How to Read Cultural Texts and Interpret Trends  (USA: Baker Academic , 2007), 23–26.","previouslyFormattedCitation":"Charles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Trends&amp;f=false."},"properties":{"noteIndex":4},"schema":"https://github.com/citation-style-language/schema/raw/master/csl-citation.json"}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Charles A. Andersonand Michael J. Sleasman Kevin J. Vanhoozer, </w:t>
      </w:r>
      <w:r w:rsidRPr="00C71822">
        <w:rPr>
          <w:rFonts w:ascii="Times New Roman" w:hAnsi="Times New Roman" w:cs="Times New Roman"/>
          <w:i/>
          <w:noProof/>
        </w:rPr>
        <w:t xml:space="preserve">Everyday Theology (Cultural Exegesis): How to Read Cultural Texts and Interpret Trends </w:t>
      </w:r>
      <w:r w:rsidRPr="00C71822">
        <w:rPr>
          <w:rFonts w:ascii="Times New Roman" w:hAnsi="Times New Roman" w:cs="Times New Roman"/>
          <w:noProof/>
        </w:rPr>
        <w:t xml:space="preserve"> (USA: Baker Academic , 2007), 23–26.</w:t>
      </w:r>
      <w:r w:rsidRPr="00C71822">
        <w:rPr>
          <w:rFonts w:ascii="Times New Roman" w:hAnsi="Times New Roman" w:cs="Times New Roman"/>
        </w:rPr>
        <w:fldChar w:fldCharType="end"/>
      </w:r>
    </w:p>
  </w:footnote>
  <w:footnote w:id="5">
    <w:p w14:paraId="6B5727C2" w14:textId="7DB718FB"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09F89CC7"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3–7."},"properties":{"noteIndex":6},"schema":"https://github.com/citation-style-language/schema/raw/master/csl-citation.json"}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38D3C2A0"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Transcendent","type":"book"},"locator":"233-236","uris":["http://www.mendeley.com/documents/?uuid=b950391f-507f-4643-bd5e-cf7e4f94fe1c","http://www.mendeley.com/documents/?uuid=1f0fd65e-78f2-46c5-a41d-0ba1964d330f"]}],"mendeley":{"formattedCitation":"John Hick, &lt;i&gt;An Interpretation of Religion: Human Responses to the Transcendent&lt;/i&gt; (New Haven, CT: Yale University Press, 1989), 233–236.","plainTextFormattedCitation":"John Hick, An Interpretation of Religion: Human Responses to the Transcendent (New Haven, CT: Yale University Press, 1989), 233–236.","previouslyFormattedCitation":"John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Hick, </w:t>
      </w:r>
      <w:r w:rsidRPr="00C71822">
        <w:rPr>
          <w:rFonts w:ascii="Times New Roman" w:hAnsi="Times New Roman" w:cs="Times New Roman"/>
          <w:i/>
          <w:noProof/>
        </w:rPr>
        <w:t>An Interpretation of Religion: Human Responses to the Transcendent</w:t>
      </w:r>
      <w:r w:rsidRPr="00C71822">
        <w:rPr>
          <w:rFonts w:ascii="Times New Roman" w:hAnsi="Times New Roman" w:cs="Times New Roman"/>
          <w:noProof/>
        </w:rPr>
        <w:t xml:space="preserve"> (New Haven, CT: Yale University Press, 1989), 233–236.</w:t>
      </w:r>
      <w:r w:rsidRPr="00C71822">
        <w:rPr>
          <w:rFonts w:ascii="Times New Roman" w:hAnsi="Times New Roman" w:cs="Times New Roman"/>
        </w:rPr>
        <w:fldChar w:fldCharType="end"/>
      </w:r>
    </w:p>
  </w:footnote>
  <w:footnote w:id="8">
    <w:p w14:paraId="4C592B2B" w14:textId="0CD9AF59"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Society","type":"book"},"locator":"1-3","uris":["http://www.mendeley.com/documents/?uuid=eb8ccbd9-0509-4454-8b4f-31f8b5a5a168","http://www.mendeley.com/documents/?uuid=9248b858-9e30-46d9-ae82-354451cb843d"]}],"mendeley":{"formattedCitation":"Lesslie Newbigin, &lt;i&gt;The Gospel in a Pluralist Society&lt;/i&gt; (London: SPCK, 2022), 1–3.","plainTextFormattedCitation":"Lesslie Newbigin, The Gospel in a Pluralist Society (London: SPCK, 2022), 1–3.","previouslyFormattedCitation":"Lesslie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Lesslie 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 xml:space="preserve"> (London: SPCK, 2022), 1–3.</w:t>
      </w:r>
      <w:r w:rsidRPr="00C71822">
        <w:rPr>
          <w:rFonts w:ascii="Times New Roman" w:hAnsi="Times New Roman" w:cs="Times New Roman"/>
        </w:rPr>
        <w:fldChar w:fldCharType="end"/>
      </w:r>
    </w:p>
  </w:footnote>
  <w:footnote w:id="9">
    <w:p w14:paraId="13D9E72B" w14:textId="71B5909E"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Mission","type":"book"},"uris":["http://www.mendeley.com/documents/?uuid=ec6ed83b-f310-3b0c-b852-78d58fb470f8","http://www.mendeley.com/documents/?uuid=03cf76b1-a883-4d97-886b-faf8345a8b46"]}],"mendeley":{"formattedCitation":"David J. Bosch, &lt;i&gt;Transforming Mission: Paradigm Shifts in Theology of Mission&lt;/i&gt; (Maryknoll: Orbis Books, 2011).","plainTextFormattedCitation":"David J. Bosch, Transforming Mission: Paradigm Shifts in Theology of Mission (Maryknoll: Orbis Books, 2011).","previouslyFormattedCitation":"David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2011)%2C&amp;f=false."},"properties":{"noteIndex":9},"schema":"https://github.com/citation-style-language/schema/raw/master/csl-citation.json"}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 xml:space="preserve"> (Maryknoll: Orbis Books, 2011).</w:t>
      </w:r>
      <w:r w:rsidRPr="00C71822">
        <w:rPr>
          <w:rFonts w:ascii="Times New Roman" w:hAnsi="Times New Roman" w:cs="Times New Roman"/>
        </w:rPr>
        <w:fldChar w:fldCharType="end"/>
      </w:r>
    </w:p>
  </w:footnote>
  <w:footnote w:id="10">
    <w:p w14:paraId="2986083B" w14:textId="3E63A01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{"citationItems":[{"id":"ITEM-1","itemData":{"author":[{"dropping-particle":"","family":"Hiebert","given":"Paul G.","non-dropping-particle":"","parse-names":false,"suffix":""}],"id":"ITEM-1","issued":{"date-parts":[["1985"]]},"publisher":"Baker Book House","publisher-place":"Grand Rapids, Michigan, USA","title":"Anthropological Insights for Missionaries","type":"book"},"locator":"171-174","uris":["http://www.mendeley.com/documents/?uuid=84c17fa7-99c3-4250-bfbd-4d937a217e36","http://www.mendeley.com/documents/?uuid=2a48be5b-aeb2-40a0-adf6-6f152cd9fdd5"]}],"mendeley":{"formattedCitation":"Paul G. Hiebert, &lt;i&gt;Anthropological Insights for Missionaries&lt;/i&gt; (Grand Rapids, Michigan, USA: Baker Book House, 1985), 171–174.","plainTextFormattedCitation":"Paul G. Hiebert, Anthropological Insights for Missionaries (Grand Rapids, Michigan, USA: Baker Book House, 1985), 171–174.","previouslyFormattedCitation":"Paul G. Hiebert, &lt;i&gt;Anthropological Insights for Missionaries&lt;/i&gt; (Grand Rapids, Michigan, USA: Baker Book House, 1985), 171–174."},"properties":{"noteIndex":10},"schema":"https://github.com/citation-style-language/schema/raw/master/csl-citation.json"}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Paul G. Hiebert, </w:t>
      </w:r>
      <w:r w:rsidRPr="00C71822">
        <w:rPr>
          <w:rFonts w:ascii="Times New Roman" w:hAnsi="Times New Roman" w:cs="Times New Roman"/>
          <w:i/>
          <w:noProof/>
        </w:rPr>
        <w:t>Anthropological Insights for Missionaries</w:t>
      </w:r>
      <w:r w:rsidRPr="00C71822">
        <w:rPr>
          <w:rFonts w:ascii="Times New Roman" w:hAnsi="Times New Roman" w:cs="Times New Roman"/>
          <w:noProof/>
        </w:rPr>
        <w:t xml:space="preserve"> (Grand Rapids, Michigan, USA: Baker Book House, 1985), 171–174.</w:t>
      </w:r>
      <w:r w:rsidRPr="00C71822">
        <w:rPr>
          <w:rFonts w:ascii="Times New Roman" w:hAnsi="Times New Roman" w:cs="Times New Roman"/>
        </w:rPr>
        <w:fldChar w:fldCharType="end"/>
      </w:r>
    </w:p>
  </w:footnote>
  <w:footnote w:id="11">
    <w:p w14:paraId="15F68E56" w14:textId="41105044"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Theology","type":"chapter"},"locator":"5-7","uris":["http://www.mendeley.com/documents/?uuid=afeb8a6d-46b2-4a52-b969-6ea43d5109fd","http://www.mendeley.com/documents/?uuid=056a0c72-dddc-4048-bb52-1ee62d906166"]}],"mendeley":{"formattedCitation":"SVD Stephen B. Bevans, “Models of Contextual Theology” (Maryknoll, New York, USA: Orbis Books, 2002), 5–7.","plainTextFormattedCitation":"SVD Stephen B. Bevans, “Models of Contextual Theology” (Maryknoll, New York, USA: Orbis Books, 2002), 5–7.","previouslyFormattedCitation":"SVD Stephen B. Bevans, “Models of Contextual Theology” (Maryknoll, New York, USA: Orbis Books, 2002), 5–7."},"properties":{"noteIndex":11},"schema":"https://github.com/citation-style-language/schema/raw/master/csl-citation.json"}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SVD Stephen B. Bevans, “Models of Contextual Theology” (Maryknoll, New York, USA: Orbis Books, 2002), 5–7.</w:t>
      </w:r>
      <w:r w:rsidRPr="00C71822">
        <w:rPr>
          <w:rFonts w:ascii="Times New Roman" w:hAnsi="Times New Roman" w:cs="Times New Roman"/>
        </w:rPr>
        <w:fldChar w:fldCharType="end"/>
      </w:r>
    </w:p>
  </w:footnote>
  <w:footnote w:id="12">
    <w:p w14:paraId="51388034" w14:textId="71D7686D"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Approaches","type":"book"},"locator":"50-52","uris":["http://www.mendeley.com/documents/?uuid=d35a9f6c-2ea6-38b5-8a43-1da85ed4b5d5","http://www.mendeley.com/documents/?uuid=56a6f249-2e54-4fc2-a6b7-23a36da91c95"]}],"mendeley":{"formattedCitation":"John W. Creswell, &lt;i&gt;Second Edition Qualitative Inquiry &amp; Research Design Choosing Among Five Approaches&lt;/i&gt;, &lt;i&gt;Sage&lt;/i&gt; (California: Sage Publications, Inc., 2007), 50–52.","plainTextFormattedCitation":"John W. Creswell, Second Edition Qualitative Inquiry &amp; Research Design Choosing Among Five Approaches, Sage (California: Sage Publications, Inc., 2007), 50–52.","previouslyFormattedCitation":"John W. Creswell, &lt;i&gt;Second Edition Qualitative Inquiry &amp; Research Design Choosing Among Five Approaches&lt;/i&gt;, &lt;i&gt;Sage&lt;/i&gt; (California: Sage Publications, Inc., 2007), 50–52."},"properties":{"noteIndex":12},"schema":"https://github.com/citation-style-language/schema/raw/master/csl-citation.json"}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W. Creswell, </w:t>
      </w:r>
      <w:r w:rsidRPr="00C71822">
        <w:rPr>
          <w:rFonts w:ascii="Times New Roman" w:hAnsi="Times New Roman" w:cs="Times New Roman"/>
          <w:i/>
          <w:noProof/>
        </w:rPr>
        <w:t>Second Edition Qualitative Inquiry &amp; Research Design Choosing Among Five Approaches</w:t>
      </w:r>
      <w:r w:rsidRPr="00C71822">
        <w:rPr>
          <w:rFonts w:ascii="Times New Roman" w:hAnsi="Times New Roman" w:cs="Times New Roman"/>
          <w:noProof/>
        </w:rPr>
        <w:t xml:space="preserve">, </w:t>
      </w:r>
      <w:r w:rsidRPr="00C71822">
        <w:rPr>
          <w:rFonts w:ascii="Times New Roman" w:hAnsi="Times New Roman" w:cs="Times New Roman"/>
          <w:i/>
          <w:noProof/>
        </w:rPr>
        <w:t>Sage</w:t>
      </w:r>
      <w:r w:rsidRPr="00C71822">
        <w:rPr>
          <w:rFonts w:ascii="Times New Roman" w:hAnsi="Times New Roman" w:cs="Times New Roman"/>
          <w:noProof/>
        </w:rPr>
        <w:t xml:space="preserve"> (California: Sage Publications, Inc., 2007), 50–52.</w:t>
      </w:r>
      <w:r w:rsidRPr="00C71822">
        <w:rPr>
          <w:rFonts w:ascii="Times New Roman" w:hAnsi="Times New Roman" w:cs="Times New Roman"/>
        </w:rPr>
        <w:fldChar w:fldCharType="end"/>
      </w:r>
    </w:p>
  </w:footnote>
  <w:footnote w:id="13">
    <w:p w14:paraId="7F9B380F" w14:textId="0CBB691B" w:rsidR="001366A2" w:rsidRPr="00C71822" w:rsidRDefault="001366A2" w:rsidP="00EC38BA">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Filsafat","type":"book"},"uris":["http://www.mendeley.com/documents/?uuid=e6fc4bf3-6f30-4aad-a8ee-a6f6f59e9908","http://www.mendeley.com/documents/?uuid=7ae6fe93-4b4d-44ba-b0f9-11a5bd8cddef"]}],"mendeley":{"formattedCitation":"Kaelan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690713F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Injil","type":"book"},"locator":"15","uris":["http://www.mendeley.com/documents/?uuid=d3a72026-ddab-4d80-9b61-2b98f99eceec","http://www.mendeley.com/documents/?uuid=88d23f1c-cf8f-4250-b81c-6ddf956a91dd"]}],"mendeley":{"formattedCitation":"Stanley J. Grenz, &lt;i&gt;Teologi Postmodernisme: Membaca Budaya Dengan Kacamata Injil&lt;/i&gt; (Jakarta: BPK Gunung Mulia, 2002), 15.","plainTextFormattedCitation":"Stanley J. Grenz, Teologi Postmodernisme: Membaca Budaya Dengan Kacamata Injil (Jakarta: BPK Gunung Mulia, 2002), 15.","previouslyFormattedCitation":"Stanley J. Grenz, &lt;i&gt;Teologi Postmodernisme: Membaca Budaya dengan Kacamata Injil&lt;/i&gt; (Jakarta: BPK Gunung Mulia, 2002), 15."},"properties":{"noteIndex":14},"schema":"https://github.com/citation-style-language/schema/raw/master/csl-citation.json"}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Stanley J. 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 xml:space="preserve"> (Jakarta: BPK Gunung Mulia, 2002), 15.</w:t>
      </w:r>
      <w:r w:rsidRPr="00C71822">
        <w:rPr>
          <w:rFonts w:ascii="Times New Roman" w:hAnsi="Times New Roman" w:cs="Times New Roman"/>
        </w:rPr>
        <w:fldChar w:fldCharType="end"/>
      </w:r>
    </w:p>
  </w:footnote>
  <w:footnote w:id="15">
    <w:p w14:paraId="7DE9F7F5" w14:textId="1660E3A5"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Postmodern","type":"book"},"locator":"7","uris":["http://www.mendeley.com/documents/?uuid=beadca21-43ed-4c37-87b5-a77aff16d3e7","http://www.mendeley.com/documents/?uuid=78d07cb8-9aaf-4aa0-819a-6c17b2aa9f08"]}],"mendeley":{"formattedCitation":"Jean-François Lyotard, &lt;i&gt;Kondisi Postmodern&lt;/i&gt; (Yogyakarta: Kanisius, 2009), 7.","plainTextFormattedCitation":"Jean-François Lyotard, Kondisi Postmodern (Yogyakarta: Kanisius, 2009), 7.","previouslyFormattedCitation":"Jean-François Lyotard, &lt;i&gt;Kondisi Postmodern&lt;/i&gt; (Yogyakarta: Kanisius, 2009), 7."},"properties":{"noteIndex":15},"schema":"https://github.com/citation-style-language/schema/raw/master/csl-citation.json"}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Jean-François Lyotard, </w:t>
      </w:r>
      <w:r w:rsidRPr="00C71822">
        <w:rPr>
          <w:rFonts w:ascii="Times New Roman" w:hAnsi="Times New Roman" w:cs="Times New Roman"/>
          <w:i/>
          <w:noProof/>
          <w:lang w:val="sv-SE"/>
        </w:rPr>
        <w:t>Kondisi Postmodern</w:t>
      </w:r>
      <w:r w:rsidRPr="00C71822">
        <w:rPr>
          <w:rFonts w:ascii="Times New Roman" w:hAnsi="Times New Roman" w:cs="Times New Roman"/>
          <w:noProof/>
          <w:lang w:val="sv-SE"/>
        </w:rPr>
        <w:t xml:space="preserve"> (Yogyakarta: Kanisius, 2009), 7.</w:t>
      </w:r>
      <w:r w:rsidRPr="00C71822">
        <w:rPr>
          <w:rFonts w:ascii="Times New Roman" w:hAnsi="Times New Roman" w:cs="Times New Roman"/>
        </w:rPr>
        <w:fldChar w:fldCharType="end"/>
      </w:r>
    </w:p>
  </w:footnote>
  <w:footnote w:id="16">
    <w:p w14:paraId="13DA6FF6" w14:textId="59AADDF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Postmodern","type":"book"},"locator":"22","uris":["http://www.mendeley.com/documents/?uuid=ee27d840-b9a4-4f31-8ac7-cc7817b2c7a6","http://www.mendeley.com/documents/?uuid=90805b7c-be76-4a87-8604-6a2312b98879"]}],"mendeley":{"formattedCitation":"Brian J. Walsh J. Richard Middleton, &lt;i&gt;Kebenaran Subversif: Membaca Alkitab Dalam Dunia Postmodern&lt;/i&gt; (Jakarta: BPK Gunung Mulia, 2010), 22.","plainTextFormattedCitation":"Brian J. Walsh J. Richard Middleton, Kebenaran Subversif: Membaca Alkitab Dalam Dunia Postmodern (Jakarta: BPK Gunung Mulia, 2010), 22.","previouslyFormattedCitation":"Brian J. Walsh J. Richard Middleton, &lt;i&gt;Kebenaran Subversif: Membaca Alkitab dalam Dunia Postmodern&lt;/i&gt; (Jakarta: BPK Gunung Mulia, 2010), 22."},"properties":{"noteIndex":16},"schema":"https://github.com/citation-style-language/schema/raw/master/csl-citation.json"}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Brian J. Walsh J. Richard Middleton, </w:t>
      </w:r>
      <w:r w:rsidRPr="00C71822">
        <w:rPr>
          <w:rFonts w:ascii="Times New Roman" w:hAnsi="Times New Roman" w:cs="Times New Roman"/>
          <w:i/>
          <w:noProof/>
        </w:rPr>
        <w:t>Kebenaran Subversif: Membaca Alkitab Dalam Dunia Postmodern</w:t>
      </w:r>
      <w:r w:rsidRPr="00C71822">
        <w:rPr>
          <w:rFonts w:ascii="Times New Roman" w:hAnsi="Times New Roman" w:cs="Times New Roman"/>
          <w:noProof/>
        </w:rPr>
        <w:t xml:space="preserve"> (Jakarta: BPK Gunung Mulia, 2010), 22.</w:t>
      </w:r>
      <w:r w:rsidRPr="00C71822">
        <w:rPr>
          <w:rFonts w:ascii="Times New Roman" w:hAnsi="Times New Roman" w:cs="Times New Roman"/>
        </w:rPr>
        <w:fldChar w:fldCharType="end"/>
      </w:r>
    </w:p>
  </w:footnote>
  <w:footnote w:id="17">
    <w:p w14:paraId="3E05F0E2" w14:textId="4B6F326E"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Postmodern","type":"book"},"locator":"40","uris":["http://www.mendeley.com/documents/?uuid=c33cdb55-6690-4c73-98ec-bf656ad5858b","http://www.mendeley.com/documents/?uuid=10c3e228-3a06-4f96-949c-1cc7918fb029"]}],"mendeley":{"formattedCitation":"D. A. Carson, &lt;i&gt;Kristen Di Tengah Era Postmodern&lt;/i&gt; (Surabaya: Momentum, 2003), 40.","plainTextFormattedCitation":"D. A. Carson, Kristen Di Tengah Era Postmodern (Surabaya: Momentum, 2003), 40.","previouslyFormattedCitation":"D. A. Carson, &lt;i&gt;Kristen di Tengah Era Postmodern&lt;/i&gt; (Surabaya: Momentum, 2003), 40."},"properties":{"noteIndex":17},"schema":"https://github.com/citation-style-language/schema/raw/master/csl-citation.json"}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D. A. Carson, </w:t>
      </w:r>
      <w:r w:rsidRPr="00C71822">
        <w:rPr>
          <w:rFonts w:ascii="Times New Roman" w:hAnsi="Times New Roman" w:cs="Times New Roman"/>
          <w:i/>
          <w:noProof/>
          <w:lang w:val="sv-SE"/>
        </w:rPr>
        <w:t>Kristen Di Tengah Era Postmodern</w:t>
      </w:r>
      <w:r w:rsidRPr="00C71822">
        <w:rPr>
          <w:rFonts w:ascii="Times New Roman" w:hAnsi="Times New Roman" w:cs="Times New Roman"/>
          <w:noProof/>
          <w:lang w:val="sv-SE"/>
        </w:rPr>
        <w:t xml:space="preserve"> (Surabaya: Momentum, 2003), 40.</w:t>
      </w:r>
      <w:r w:rsidRPr="00C71822">
        <w:rPr>
          <w:rFonts w:ascii="Times New Roman" w:hAnsi="Times New Roman" w:cs="Times New Roman"/>
        </w:rPr>
        <w:fldChar w:fldCharType="end"/>
      </w:r>
    </w:p>
  </w:footnote>
  <w:footnote w:id="18">
    <w:p w14:paraId="04F6D0A4" w14:textId="01E2A9FD"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Katolik","id":"ITEM-1","issue":"2","issued":{"date-parts":[["2025","4"]]},"page":"16-37","publisher":"Asosiasi Riset Ilmu Manajemen dan Bisnis Indonesia","title":"Otoritas Alkitab dalam Era Postmodern","type":"article-journal","volume":"3"},"uris":["http://www.mendeley.com/documents/?uuid=d1fce5b6-cdac-3423-9f48-b97d8c2b5bea","http://www.mendeley.com/documents/?uuid=cd0a40f0-67e9-4edc-8f19-fdcbf0e75b75"]}],"mendeley":{"formattedCitation":"Budi Priyono and Arnold Tindas, “Otoritas Alkitab Dalam Era Postmodern,” &lt;i&gt;Tri Tunggal: Jurnal Pendidikan Kristen dan Katolik&lt;/i&gt; 3, no. 2 (April 2025): 16–37.","plainTextFormattedCitation":"Budi Priyono and Arnold Tindas, “Otoritas Alkitab Dalam Era Postmodern,” Tri Tunggal: Jurnal Pendidikan Kristen dan Katolik 3, no. 2 (April 2025): 16–37.","previouslyFormattedCitation":"Budi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Priyono and Arnold Tindas, “Otoritas Alkitab Dalam Era Postmodern,” </w:t>
      </w:r>
      <w:r w:rsidRPr="00C71822">
        <w:rPr>
          <w:rFonts w:ascii="Times New Roman" w:hAnsi="Times New Roman" w:cs="Times New Roman"/>
          <w:i/>
          <w:noProof/>
          <w:lang w:val="sv-SE"/>
        </w:rPr>
        <w:t>Tri Tunggal: Jurnal Pendidikan Kristen dan Katolik</w:t>
      </w:r>
      <w:r w:rsidRPr="00C71822">
        <w:rPr>
          <w:rFonts w:ascii="Times New Roman" w:hAnsi="Times New Roman" w:cs="Times New Roman"/>
          <w:noProof/>
          <w:lang w:val="sv-SE"/>
        </w:rPr>
        <w:t xml:space="preserve"> 3, no. 2 (April 2025): 16–37.</w:t>
      </w:r>
      <w:r w:rsidRPr="00C71822">
        <w:rPr>
          <w:rFonts w:ascii="Times New Roman" w:hAnsi="Times New Roman" w:cs="Times New Roman"/>
        </w:rPr>
        <w:fldChar w:fldCharType="end"/>
      </w:r>
    </w:p>
  </w:footnote>
  <w:footnote w:id="19">
    <w:p w14:paraId="0BAEE272" w14:textId="0E2680E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","type":"book"},"locator":"158-159","uris":["http://www.mendeley.com/documents/?uuid=bbb2c328-c72b-3bfe-986a-3cf2b4ffbdf1","http://www.mendeley.com/documents/?uuid=7767790c-b9ae-47da-ac9a-3ba4d493a563"]}],"mendeley":{"formattedCitation":"Jacques Derrida, &lt;i&gt;Of Grammatology &lt;/i&gt; (Baltimore: Johns Hopkins University Press, 1976), 158–159.","plainTextFormattedCitation":"Jacques Derrida, Of Grammatology  (Baltimore: Johns Hopkins University Press, 1976), 158–159.","previouslyFormattedCitation":"Jacques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1976)&amp;f=false."},"properties":{"noteIndex":19},"schema":"https://github.com/citation-style-language/schema/raw/master/csl-citation.json"}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Jacques Derrida, </w:t>
      </w:r>
      <w:r w:rsidRPr="00C71822">
        <w:rPr>
          <w:rFonts w:ascii="Times New Roman" w:hAnsi="Times New Roman" w:cs="Times New Roman"/>
          <w:i/>
          <w:noProof/>
        </w:rPr>
        <w:t xml:space="preserve">Of Grammatology </w:t>
      </w:r>
      <w:r w:rsidRPr="00C71822">
        <w:rPr>
          <w:rFonts w:ascii="Times New Roman" w:hAnsi="Times New Roman" w:cs="Times New Roman"/>
          <w:noProof/>
        </w:rPr>
        <w:t xml:space="preserve"> (Baltimore: Johns Hopkins University Press, 1976), 158–159.</w:t>
      </w:r>
      <w:r w:rsidRPr="00C71822">
        <w:rPr>
          <w:rFonts w:ascii="Times New Roman" w:hAnsi="Times New Roman" w:cs="Times New Roman"/>
        </w:rPr>
        <w:fldChar w:fldCharType="end"/>
      </w:r>
    </w:p>
  </w:footnote>
  <w:footnote w:id="20">
    <w:p w14:paraId="4F31F21A" w14:textId="0F56D1E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1972–1977","type":"book"},"locator":"92","uris":["http://www.mendeley.com/documents/?uuid=9d014c1b-dfbb-4dc2-a85e-28aa4e03949d","http://www.mendeley.com/documents/?uuid=dfb91cd9-4742-48c6-9b26-cb2506cd26cd"]}],"mendeley":{"formattedCitation":"Michel Foucault, &lt;i&gt;Power/Knowledge: Selected Interviews and Other Writings 1972–1977&lt;/i&gt; (New York: Pantheon Books, 1980), 92.","plainTextFormattedCitation":"Michel Foucault, Power/Knowledge: Selected Interviews and Other Writings 1972–1977 (New York: Pantheon Books, 1980), 92.","previouslyFormattedCitation":"Michel Foucault, &lt;i&gt;Power/Knowledge: Selected Interviews and Other Writings 1972–1977&lt;/i&gt; (New York: Pantheon Books, 1980), 92."},"properties":{"noteIndex":20},"schema":"https://github.com/citation-style-language/schema/raw/master/csl-citation.json"}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Michel Foucault, </w:t>
      </w:r>
      <w:r w:rsidRPr="00C71822">
        <w:rPr>
          <w:rFonts w:ascii="Times New Roman" w:hAnsi="Times New Roman" w:cs="Times New Roman"/>
          <w:i/>
          <w:noProof/>
        </w:rPr>
        <w:t>Power/Knowledge: Selected Interviews and Other Writings 1972–1977</w:t>
      </w:r>
      <w:r w:rsidRPr="00C71822">
        <w:rPr>
          <w:rFonts w:ascii="Times New Roman" w:hAnsi="Times New Roman" w:cs="Times New Roman"/>
          <w:noProof/>
        </w:rPr>
        <w:t xml:space="preserve"> (New York: Pantheon Books, 1980), 92.</w:t>
      </w:r>
      <w:r w:rsidRPr="00C71822">
        <w:rPr>
          <w:rFonts w:ascii="Times New Roman" w:hAnsi="Times New Roman" w:cs="Times New Roman"/>
        </w:rPr>
        <w:fldChar w:fldCharType="end"/>
      </w:r>
    </w:p>
  </w:footnote>
  <w:footnote w:id="21">
    <w:p w14:paraId="4A219C3F" w14:textId="0CB87C6A"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locator":"45","uris":["http://www.mendeley.com/documents/?uuid=89a6e021-38f2-4601-9479-21f685ae8731","http://www.mendeley.com/documents/?uuid=4dc2959e-5df1-4097-a302-64dd92956898"]}],"mendeley":{"formattedCitation":"Akhyar Lubis, &lt;i&gt;Postmodernisme&lt;/i&gt; (Jakarta: Rajawali Pres, 2014), 45.","plainTextFormattedCitation":"Akhyar Lubis, Postmodernisme (Jakarta: Rajawali Pres, 2014), 45.","previouslyFormattedCitation":"Akhyar Lubis, &lt;i&gt;Postmodernisme&lt;/i&gt; (Jakarta: Rajawali Pres, 2014), 45."},"properties":{"noteIndex":21},"schema":"https://github.com/citation-style-language/schema/raw/master/csl-citation.json"}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Akhyar Lubis, </w:t>
      </w:r>
      <w:r w:rsidRPr="00C71822">
        <w:rPr>
          <w:rFonts w:ascii="Times New Roman" w:hAnsi="Times New Roman" w:cs="Times New Roman"/>
          <w:i/>
          <w:noProof/>
          <w:lang w:val="sv-SE"/>
        </w:rPr>
        <w:t>Postmodernisme</w:t>
      </w:r>
      <w:r w:rsidRPr="00C71822">
        <w:rPr>
          <w:rFonts w:ascii="Times New Roman" w:hAnsi="Times New Roman" w:cs="Times New Roman"/>
          <w:noProof/>
          <w:lang w:val="sv-SE"/>
        </w:rPr>
        <w:t xml:space="preserve"> (Jakarta: Rajawali Pres, 2014), 45.</w:t>
      </w:r>
      <w:r w:rsidRPr="00C71822">
        <w:rPr>
          <w:rFonts w:ascii="Times New Roman" w:hAnsi="Times New Roman" w:cs="Times New Roman"/>
        </w:rPr>
        <w:fldChar w:fldCharType="end"/>
      </w:r>
    </w:p>
  </w:footnote>
  <w:footnote w:id="22">
    <w:p w14:paraId="0673FDB3" w14:textId="16E2CC5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","type":"book"},"locator":"244","uris":["http://www.mendeley.com/documents/?uuid=e220f870-5170-32cb-816e-779c4c574b92","http://www.mendeley.com/documents/?uuid=d7e3a55e-738a-493e-a365-f670f700356d"]}],"mendeley":{"formattedCitation":"Alvin Plantinga, &lt;i&gt;Warranted Christian Belief &lt;/i&gt; (New York: Oxford University Press, 2000), 244.","plainTextFormattedCitation":"Alvin Plantinga, Warranted Christian Belief  (New York: Oxford University Press, 2000), 244.","previouslyFormattedCitation":"Alvin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roperties":{"noteIndex":22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Alvin Plantinga, </w:t>
      </w:r>
      <w:r w:rsidRPr="00C71822">
        <w:rPr>
          <w:rFonts w:ascii="Times New Roman" w:hAnsi="Times New Roman" w:cs="Times New Roman"/>
          <w:i/>
          <w:noProof/>
        </w:rPr>
        <w:t xml:space="preserve">Warranted Christian Belief </w:t>
      </w:r>
      <w:r w:rsidRPr="00C71822">
        <w:rPr>
          <w:rFonts w:ascii="Times New Roman" w:hAnsi="Times New Roman" w:cs="Times New Roman"/>
          <w:noProof/>
        </w:rPr>
        <w:t xml:space="preserve"> (New York: Oxford University Press, 2000), 244.</w:t>
      </w:r>
      <w:r w:rsidRPr="00C71822">
        <w:rPr>
          <w:rFonts w:ascii="Times New Roman" w:hAnsi="Times New Roman" w:cs="Times New Roman"/>
        </w:rPr>
        <w:fldChar w:fldCharType="end"/>
      </w:r>
    </w:p>
  </w:footnote>
  <w:footnote w:id="23">
    <w:p w14:paraId="2AD86337" w14:textId="47CD206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Knowledge","type":"book"},"locator":"37-38","uris":["http://www.mendeley.com/documents/?uuid=6e6eaecf-a921-4ac9-8988-8bc57c996afe","http://www.mendeley.com/documents/?uuid=cd086355-d4ff-46e8-b95c-3b872635db38"]}],"mendeley":{"formattedCitation":"Kevin J. Vanhoozer, &lt;i&gt;Is There a Meaning in This Text? The Bible, the Reader, and the Morality of Literary Knowledge&lt;/i&gt; (Grand Rapids: Zondervan, 1998), 37–38.","plainTextFormattedCitation":"Kevin J. Vanhoozer, Is There a Meaning in This Text? The Bible, the Reader, and the Morality of Literary Knowledge (Grand Rapids: Zondervan, 1998), 37–38.","previouslyFormattedCitation":"Kevin J. Vanhoozer, &lt;i&gt;Is There a Meaning in This Text? The Bible, the Reader, and the Morality of Literary Knowledge&lt;/i&gt; (Grand Rapids: Zondervan, 1998), 37–38."},"properties":{"noteIndex":23},"schema":"https://github.com/citation-style-language/schema/raw/master/csl-citation.json"}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 xml:space="preserve"> (Grand Rapids: Zondervan, 1998), 37–38.</w:t>
      </w:r>
      <w:r w:rsidRPr="00C71822">
        <w:rPr>
          <w:rFonts w:ascii="Times New Roman" w:hAnsi="Times New Roman" w:cs="Times New Roman"/>
        </w:rPr>
        <w:fldChar w:fldCharType="end"/>
      </w:r>
    </w:p>
  </w:footnote>
  <w:footnote w:id="24">
    <w:p w14:paraId="4A630EBF" w14:textId="1C30BDB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","type":"book","volume":"1"},"locator":"229-230","uris":["http://www.mendeley.com/documents/?uuid=d4dfe8f7-32ef-3264-a961-968dc2662906","http://www.mendeley.com/documents/?uuid=9068106a-b376-4dd1-afb7-8707cac27b1e"]}],"mendeley":{"formattedCitation":"Herman Bavinck, &lt;i&gt;Reformed Dogmatics &lt;/i&gt;, vol. 1 (Grand Rapids: Baker Academic, 2003), 229–230.","plainTextFormattedCitation":"Herman Bavinck, Reformed Dogmatics , vol. 1 (Grand Rapids: Baker Academic, 2003), 229–230.","previouslyFormattedCitation":"Herman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operties":{"noteIndex":24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Herman Bavinck, </w:t>
      </w:r>
      <w:r w:rsidRPr="00C71822">
        <w:rPr>
          <w:rFonts w:ascii="Times New Roman" w:hAnsi="Times New Roman" w:cs="Times New Roman"/>
          <w:i/>
          <w:noProof/>
        </w:rPr>
        <w:t xml:space="preserve">Reformed Dogmatics </w:t>
      </w:r>
      <w:r w:rsidRPr="00C71822">
        <w:rPr>
          <w:rFonts w:ascii="Times New Roman" w:hAnsi="Times New Roman" w:cs="Times New Roman"/>
          <w:noProof/>
        </w:rPr>
        <w:t>, vol. 1 (Grand Rapids: Baker Academic, 2003), 229–230.</w:t>
      </w:r>
      <w:r w:rsidRPr="00C71822">
        <w:rPr>
          <w:rFonts w:ascii="Times New Roman" w:hAnsi="Times New Roman" w:cs="Times New Roman"/>
        </w:rPr>
        <w:fldChar w:fldCharType="end"/>
      </w:r>
    </w:p>
  </w:footnote>
  <w:footnote w:id="25">
    <w:p w14:paraId="55398017" w14:textId="04A3AA47"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introduction","type":"book"},"locator":"154","uris":["http://www.mendeley.com/documents/?uuid=4bd58619-4050-3d74-a6fd-f5ef31236b12","http://www.mendeley.com/documents/?uuid=f08d54b8-d02b-469b-b78b-fe1dc6a8cedb"]}],"mendeley":{"formattedCitation":"Alister E. McGrath, &lt;i&gt;Christian Theology : An Introduction&lt;/i&gt; (Chichester: Wiley, Blackwell, 2017), 154.","plainTextFormattedCitation":"Alister E. McGrath, Christian Theology : An Introduction (Chichester: Wiley, Blackwell, 2017), 154.","previouslyFormattedCitation":"Alister E. McGrath, &lt;i&gt;Christian theology : an introduction&lt;/i&gt; (Chichester: Wiley, Blackwell, 2017), 154."},"properties":{"noteIndex":25},"schema":"https://github.com/citation-style-language/schema/raw/master/csl-citation.json"}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 xml:space="preserve"> (Chichester: Wiley, Blackwell, 2017), 154.</w:t>
      </w:r>
      <w:r w:rsidRPr="00C71822">
        <w:rPr>
          <w:rFonts w:ascii="Times New Roman" w:hAnsi="Times New Roman" w:cs="Times New Roman"/>
        </w:rPr>
        <w:fldChar w:fldCharType="end"/>
      </w:r>
    </w:p>
  </w:footnote>
  <w:footnote w:id="26">
    <w:p w14:paraId="19F3CFDE" w14:textId="39B488D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","type":"book","volume":"1"},"locator":"422","uris":["http://www.mendeley.com/documents/?uuid=5db7ac82-2ed1-39f8-8d92-d5f99b34973e","http://www.mendeley.com/documents/?uuid=3f38693e-2df5-4659-baf3-02576f57b9ca"]}],"mendeley":{"formattedCitation":"Karl Barth, &lt;i&gt;Church Dogmatics The Doctrine of the Word of God, Volume 1, Part 2 &lt;/i&gt;, vol. 1 (Edinburgh: T&amp;T Clark Internasional, 1936), 422.","plainTextFormattedCitation":"Karl Barth, Church Dogmatics The Doctrine of the Word of God, Volume 1, Part 2 , vol. 1 (Edinburgh: T&amp;T Clark Internasional, 1936), 422.","previouslyFormattedCitation":"Karl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roperties":{"noteIndex":26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Karl Barth, </w:t>
      </w:r>
      <w:r w:rsidRPr="00C71822">
        <w:rPr>
          <w:rFonts w:ascii="Times New Roman" w:hAnsi="Times New Roman" w:cs="Times New Roman"/>
          <w:i/>
          <w:noProof/>
        </w:rPr>
        <w:t xml:space="preserve">Church Dogmatics The Doctrine of the Word of God, Volume 1, Part 2 </w:t>
      </w:r>
      <w:r w:rsidRPr="00C71822">
        <w:rPr>
          <w:rFonts w:ascii="Times New Roman" w:hAnsi="Times New Roman" w:cs="Times New Roman"/>
          <w:noProof/>
        </w:rPr>
        <w:t>, vol. 1 (Edinburgh: T&amp;T Clark Internasional, 1936), 422.</w:t>
      </w:r>
      <w:r w:rsidRPr="00C71822">
        <w:rPr>
          <w:rFonts w:ascii="Times New Roman" w:hAnsi="Times New Roman" w:cs="Times New Roman"/>
        </w:rPr>
        <w:fldChar w:fldCharType="end"/>
      </w:r>
    </w:p>
  </w:footnote>
  <w:footnote w:id="27">
    <w:p w14:paraId="397A4580" w14:textId="6181CDC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Acts","type":"book"},"uris":["http://www.mendeley.com/documents/?uuid=a1baa636-0218-345e-a7b8-b71367381b53","http://www.mendeley.com/documents/?uuid=83f5c930-bb5b-4550-b359-48167a8bc850"]}],"mendeley":{"formattedCitation":"F.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1988)."},"properties":{"noteIndex":27},"schema":"https://github.com/citation-style-language/schema/raw/master/csl-citation.json"}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8">
    <w:p w14:paraId="22C90EC7" w14:textId="199ECB9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","type":"book"},"locator":"108-109","uris":["http://www.mendeley.com/documents/?uuid=797966c8-4269-3be7-9299-d59e368b7aee","http://www.mendeley.com/documents/?uuid=e1d256be-5e76-46d4-9c31-ea1b5b1f3457"]}],"mendeley":{"formattedCitation":"John R. W. Stott, &lt;i&gt;The Message of Acts &lt;/i&gt; (Leicester: Inter-Varsity Press, 2020), 108–109.","plainTextFormattedCitation":"John R. W. Stott, The Message of Acts  (Leicester: Inter-Varsity Press, 2020), 108–109.","previouslyFormattedCitation":"John R. W. Stott, &lt;i&gt;The message of Acts &lt;/i&gt; (Leicester: Inter-Varsity Press, 2020), 108–109."},"properties":{"noteIndex":28},"schema":"https://github.com/citation-style-language/schema/raw/master/csl-citation.json"}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Stott, </w:t>
      </w:r>
      <w:r w:rsidRPr="00C71822">
        <w:rPr>
          <w:rFonts w:ascii="Times New Roman" w:hAnsi="Times New Roman" w:cs="Times New Roman"/>
          <w:i/>
          <w:noProof/>
        </w:rPr>
        <w:t xml:space="preserve">The Message of Acts </w:t>
      </w:r>
      <w:r w:rsidRPr="00C71822">
        <w:rPr>
          <w:rFonts w:ascii="Times New Roman" w:hAnsi="Times New Roman" w:cs="Times New Roman"/>
          <w:noProof/>
        </w:rPr>
        <w:t xml:space="preserve"> (Leicester: Inter-Varsity Press, 2020), 108–109.</w:t>
      </w:r>
      <w:r w:rsidRPr="00C71822">
        <w:rPr>
          <w:rFonts w:ascii="Times New Roman" w:hAnsi="Times New Roman" w:cs="Times New Roman"/>
        </w:rPr>
        <w:fldChar w:fldCharType="end"/>
      </w:r>
    </w:p>
  </w:footnote>
  <w:footnote w:id="29">
    <w:p w14:paraId="1648A284" w14:textId="2A82D33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Renewal","type":"book"},"locator":"60","uris":["http://www.mendeley.com/documents/?uuid=33be9ace-ad9c-3256-8723-ccb314d82d3a","http://www.mendeley.com/documents/?uuid=8a7df1e0-b643-49f5-8027-e7521111a41e"]}],"mendeley":{"formattedCitation":"Reid Hensarling, &lt;i&gt;Biblical Gospel : Its Significance And Impact In Spiritual Renewal&lt;/i&gt; (Bloomington: Westbow Press, 2012), 60.","plainTextFormattedCitation":"Reid Hensarling, Biblical Gospel : Its Significance And Impact In Spiritual Renewal (Bloomington: Westbow Press, 2012), 60.","previouslyFormattedCitation":"Reid Hensarling, &lt;i&gt;Biblical Gospel : Its Significance And Impact In Spiritual Renewal&lt;/i&gt; (Bloomington: Westbow Press, 2012), 60."},"properties":{"noteIndex":29},"schema":"https://github.com/citation-style-language/schema/raw/master/csl-citation.json"}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Reid Hensarling, </w:t>
      </w:r>
      <w:r w:rsidRPr="00C71822">
        <w:rPr>
          <w:rFonts w:ascii="Times New Roman" w:hAnsi="Times New Roman" w:cs="Times New Roman"/>
          <w:i/>
          <w:noProof/>
        </w:rPr>
        <w:t>Biblical Gospel : Its Significance And Impact In Spiritual Renewal</w:t>
      </w:r>
      <w:r w:rsidRPr="00C71822">
        <w:rPr>
          <w:rFonts w:ascii="Times New Roman" w:hAnsi="Times New Roman" w:cs="Times New Roman"/>
          <w:noProof/>
        </w:rPr>
        <w:t xml:space="preserve"> (Bloomington: Westbow Press, 2012), 60.</w:t>
      </w:r>
      <w:r w:rsidRPr="00C71822">
        <w:rPr>
          <w:rFonts w:ascii="Times New Roman" w:hAnsi="Times New Roman" w:cs="Times New Roman"/>
        </w:rPr>
        <w:fldChar w:fldCharType="end"/>
      </w:r>
    </w:p>
  </w:footnote>
  <w:footnote w:id="30">
    <w:p w14:paraId="7B8F5A98" w14:textId="1769B6D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reader","type":"book"},"locator":"70","uris":["http://www.mendeley.com/documents/?uuid=b46b56e8-b9cc-356c-89e7-7185748ae9d8","http://www.mendeley.com/documents/?uuid=6335334f-b452-43c9-812e-d6ef0eb1515c"]}],"mendeley":{"formattedCitation":"Joseph P. Natoli and Linda Hutcheon, &lt;i&gt;A Postmodern Reader&lt;/i&gt; (State University of New York Press, 1993), 70.","plainTextFormattedCitation":"Joseph P. Natoli and Linda Hutcheon, A Postmodern Reader (State University of New York Press, 1993), 70.","previouslyFormattedCitation":"Joseph P. Natoli dan Linda Hutcheon, &lt;i&gt;A Postmodern reader&lt;/i&gt; (State University of New York Press, 1993), 70."},"properties":{"noteIndex":30},"schema":"https://github.com/citation-style-language/schema/raw/master/csl-citation.json"}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Joseph P. Natoli and Linda Hutcheon, </w:t>
      </w:r>
      <w:r w:rsidRPr="00C71822">
        <w:rPr>
          <w:rFonts w:ascii="Times New Roman" w:hAnsi="Times New Roman" w:cs="Times New Roman"/>
          <w:i/>
          <w:noProof/>
        </w:rPr>
        <w:t>A Postmodern Reader</w:t>
      </w:r>
      <w:r w:rsidRPr="00C71822">
        <w:rPr>
          <w:rFonts w:ascii="Times New Roman" w:hAnsi="Times New Roman" w:cs="Times New Roman"/>
          <w:noProof/>
        </w:rPr>
        <w:t xml:space="preserve"> (State University of New York Press, 1993), 70.</w:t>
      </w:r>
      <w:r w:rsidRPr="00C71822">
        <w:rPr>
          <w:rFonts w:ascii="Times New Roman" w:hAnsi="Times New Roman" w:cs="Times New Roman"/>
        </w:rPr>
        <w:fldChar w:fldCharType="end"/>
      </w:r>
    </w:p>
  </w:footnote>
  <w:footnote w:id="31">
    <w:p w14:paraId="459385B6" w14:textId="3ABE5175"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matters","type":"book"},"locator":"147-149","uris":["http://www.mendeley.com/documents/?uuid=d35b3814-a7a7-3aaf-90aa-ec7dc91e0b19","http://www.mendeley.com/documents/?uuid=93346915-f514-4cd7-9ec4-8fad30fd8363"]}],"mendeley":{"formattedCitation":"N. T. Wright, &lt;i&gt;Simply Jesus : A New Vision of Who He Was, What He Did, and Why He Matters&lt;/i&gt; (HarperOne, 2011), 147–149.","plainTextFormattedCitation":"N. T. Wright, Simply Jesus : A New Vision of Who He Was, What He Did, and Why He Matters (HarperOne, 2011), 147–149.","previouslyFormattedCitation":"N. T. Wright, &lt;i&gt;Simply Jesus : a new vision of who he was, what he did, and why he matters&lt;/i&gt; (HarperOne, 2011), 147–149."},"properties":{"noteIndex":31},"schema":"https://github.com/citation-style-language/schema/raw/master/csl-citation.json"}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Simply Jesus : A New Vision of Who He Was, What He Did, and Why He Matters</w:t>
      </w:r>
      <w:r w:rsidRPr="00C71822">
        <w:rPr>
          <w:rFonts w:ascii="Times New Roman" w:hAnsi="Times New Roman" w:cs="Times New Roman"/>
          <w:noProof/>
        </w:rPr>
        <w:t xml:space="preserve"> (HarperOne, 2011), 147–149.</w:t>
      </w:r>
      <w:r w:rsidRPr="00C71822">
        <w:rPr>
          <w:rFonts w:ascii="Times New Roman" w:hAnsi="Times New Roman" w:cs="Times New Roman"/>
        </w:rPr>
        <w:fldChar w:fldCharType="end"/>
      </w:r>
    </w:p>
  </w:footnote>
  <w:footnote w:id="32">
    <w:p w14:paraId="477D60C6" w14:textId="1ED8C76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89–90."},"properties":{"noteIndex":32},"schema":"https://github.com/citation-style-language/schema/raw/master/csl-citation.json"}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3">
    <w:p w14:paraId="2FF6549D" w14:textId="51CF743C"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listening","type":"book"},"locator":"29-30","uris":["http://www.mendeley.com/documents/?uuid=525ff971-98a9-3e3f-a200-9e200a81c116","http://www.mendeley.com/documents/?uuid=009b2907-3060-446d-93dc-c5392f281656"]}],"mendeley":{"formattedCitation":"John R. W. 1921-2011 Stott, &lt;i&gt;The Contemporary Christian  an Urgent Plea for Double Listening&lt;/i&gt; ([Leicester]: Inter-Varsity Press, 1993), 29–30.","plainTextFormattedCitation":"John R. W. 1921-2011 Stott, The Contemporary Christian  an Urgent Plea for Double Listening ([Leicester]: Inter-Varsity Press, 1993), 29–30.","previouslyFormattedCitation":"John R. W. 1921-2011 Stott, &lt;i&gt;The contemporary christian  an urgent plea for double listening&lt;/i&gt; ([Leicester]: Inter-Varsity Press, 1993), 29–30."},"properties":{"noteIndex":33},"schema":"https://github.com/citation-style-language/schema/raw/master/csl-citation.json"}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1921-2011 Stott, </w:t>
      </w:r>
      <w:r w:rsidRPr="00C71822">
        <w:rPr>
          <w:rFonts w:ascii="Times New Roman" w:hAnsi="Times New Roman" w:cs="Times New Roman"/>
          <w:i/>
          <w:noProof/>
        </w:rPr>
        <w:t>The Contemporary Christian  an Urgent Plea for Double Listening</w:t>
      </w:r>
      <w:r w:rsidRPr="00C71822">
        <w:rPr>
          <w:rFonts w:ascii="Times New Roman" w:hAnsi="Times New Roman" w:cs="Times New Roman"/>
          <w:noProof/>
        </w:rPr>
        <w:t xml:space="preserve"> ([Leicester]: Inter-Varsity Press, 1993), 29–30.</w:t>
      </w:r>
      <w:r w:rsidRPr="00C71822">
        <w:rPr>
          <w:rFonts w:ascii="Times New Roman" w:hAnsi="Times New Roman" w:cs="Times New Roman"/>
        </w:rPr>
        <w:fldChar w:fldCharType="end"/>
      </w:r>
    </w:p>
  </w:footnote>
  <w:footnote w:id="34">
    <w:p w14:paraId="1818C5DB" w14:textId="35D113C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Indonesia","type":"chapter"},"locator":"45-46","uris":["http://www.mendeley.com/documents/?uuid=5b1541de-e2ba-45ef-bed7-5a7bd8a8ea2b","http://www.mendeley.com/documents/?uuid=db17ad71-89b4-42f2-992b-0ff416cc1739"]}],"mendeley":{"formattedCitation":"Eka Darmaputera, “Pergulatan Kehadiran Kristen Di Indonesia” (Jakarta: BPK Gunung Mulia, 2005), 45–46.","plainTextFormattedCitation":"Eka Darmaputera, “Pergulatan Kehadiran Kristen Di Indonesia” (Jakarta: BPK Gunung Mulia, 2005), 45–46.","previouslyFormattedCitation":"Eka Darmaputera, “Pergulatan Kehadiran Kristen di Indonesia” (Jakarta: BPK Gunung Mulia, 2005), 45–46."},"properties":{"noteIndex":34},"schema":"https://github.com/citation-style-language/schema/raw/master/csl-citation.json"}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Eka Darmaputera, “Pergulatan Kehadiran Kristen Di Indonesia” (Jakarta: BPK Gunung Mulia, 2005), 45–46.</w:t>
      </w:r>
      <w:r w:rsidRPr="00C71822">
        <w:rPr>
          <w:rFonts w:ascii="Times New Roman" w:hAnsi="Times New Roman" w:cs="Times New Roman"/>
        </w:rPr>
        <w:fldChar w:fldCharType="end"/>
      </w:r>
    </w:p>
  </w:footnote>
  <w:footnote w:id="35">
    <w:p w14:paraId="096B2C97" w14:textId="6D2BD89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27–29."},"properties":{"noteIndex":35},"schema":"https://github.com/citation-style-language/schema/raw/master/csl-citation.json"}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6">
    <w:p w14:paraId="6F9A6203" w14:textId="6404496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Introduction","type":"article-journal"},"locator":"121-123","uris":["http://www.mendeley.com/documents/?uuid=0951d793-4391-3e42-8f0c-c0ee9ce8d07b","http://www.mendeley.com/documents/?uuid=460fee0f-ab33-4c6f-b0e4-3e491d8ba174"]}],"mendeley":{"formattedCitation":"Alister E. McGrath, “Christian Theology: An Introduction, 5th Edition: An Introduction” (2011): 121–123.","plainTextFormattedCitation":"Alister E. McGrath, “Christian Theology: An Introduction, 5th Edition: An Introduction” (2011): 121–123.","previouslyFormattedCitation":"Alister E. McGrath, “Christian Theology: An Introduction, 5th Edition: An Introduction” (2011): 121–123, diakses April 28, 2025, https://play.google.com/books?id=bus5TyjTfxYC."},"properties":{"noteIndex":36},"schema":"https://github.com/citation-style-language/schema/raw/master/csl-citation.json"}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Alister E. McGrath, “Christian Theology: An Introduction, 5th Edition: An Introduction” (2011): 121–123.</w:t>
      </w:r>
      <w:r w:rsidRPr="00C71822">
        <w:rPr>
          <w:rFonts w:ascii="Times New Roman" w:hAnsi="Times New Roman" w:cs="Times New Roman"/>
        </w:rPr>
        <w:fldChar w:fldCharType="end"/>
      </w:r>
    </w:p>
  </w:footnote>
  <w:footnote w:id="37">
    <w:p w14:paraId="10AF0008" w14:textId="54E66EA4"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{"citationItems":[{"id":"ITEM-1","itemData":{"id":"ITEM-1","issued":{"date-parts":[["2006"]]},"publisher":"Reformed Institute","publisher-place":"Jakarta","title":"Theologia Crucis: Salib Kristus","type":"book"},"locator":"88-90","uris":["http://www.mendeley.com/documents/?uuid=ccd2e600-0d70-44e2-a1bd-aed7c3a64990","http://www.mendeley.com/documents/?uuid=f4a76bd3-a4dd-4838-a802-58b5e04febd6"]}],"mendeley":{"formattedCitation":"&lt;i&gt;Theologia Crucis: Salib Kristus&lt;/i&gt; (Jakarta: Reformed Institute, 2006), 88–90.","plainTextFormattedCitation":"Theologia Crucis: Salib Kristus (Jakarta: Reformed Institute, 2006), 88–90.","previouslyFormattedCitation":"&lt;i&gt;Theologia Crucis: Salib Kristus&lt;/i&gt; (Jakarta: Reformed Institute, 2006), 88–90."},"properties":{"noteIndex":37},"schema":"https://github.com/citation-style-language/schema/raw/master/csl-citation.json"}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i/>
          <w:noProof/>
          <w:lang w:val="sv-SE"/>
        </w:rPr>
        <w:t>Theologia Crucis: Salib Kristus</w:t>
      </w:r>
      <w:r w:rsidRPr="00C71822">
        <w:rPr>
          <w:rFonts w:ascii="Times New Roman" w:hAnsi="Times New Roman" w:cs="Times New Roman"/>
          <w:noProof/>
          <w:lang w:val="sv-SE"/>
        </w:rPr>
        <w:t xml:space="preserve"> (Jakarta: Reformed Institute, 2006), 88–90.</w:t>
      </w:r>
      <w:r w:rsidRPr="00C71822">
        <w:rPr>
          <w:rFonts w:ascii="Times New Roman" w:hAnsi="Times New Roman" w:cs="Times New Roman"/>
        </w:rPr>
        <w:fldChar w:fldCharType="end"/>
      </w:r>
    </w:p>
  </w:footnote>
  <w:footnote w:id="38">
    <w:p w14:paraId="24A0FEF6" w14:textId="4754E64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6–7."},"properties":{"noteIndex":38},"schema":"https://github.com/citation-style-language/schema/raw/master/csl-citation.json"}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9">
    <w:p w14:paraId="4F61E4DB" w14:textId="60A7AEA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 201–203."},"properties":{"noteIndex":39},"schema":"https://github.com/citation-style-language/schema/raw/master/csl-citation.json"}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0">
    <w:p w14:paraId="799575F4" w14:textId="3E300FD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revelation","type":"book"},"locator":"34-36","uris":["http://www.mendeley.com/documents/?uuid=ecc1fdf8-5697-37b3-ab29-49d29279ea4f","http://www.mendeley.com/documents/?uuid=84b8d053-18d7-48ec-ab80-b92c226cd871"]}],"mendeley":{"formattedCitation":"Thomas F Torrance, &lt;i&gt;Reality &amp; Evangelical Theology : The Realism of Christian Revelation&lt;/i&gt; (Wipf and Stock Publishers, 2003), 34–36.","plainTextFormattedCitation":"Thomas F Torrance, Reality &amp; Evangelical Theology : The Realism of Christian Revelation (Wipf and Stock Publishers, 2003), 34–36.","previouslyFormattedCitation":"Thomas F Torrance, &lt;i&gt;Reality &amp; evangelical theology : the realism of Christian revelation&lt;/i&gt; (Wipf and Stock Publishers, 2003), 34–36."},"properties":{"noteIndex":40},"schema":"https://github.com/citation-style-language/schema/raw/master/csl-citation.json"}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Thomas F Torrance, </w:t>
      </w:r>
      <w:r w:rsidRPr="00C71822">
        <w:rPr>
          <w:rFonts w:ascii="Times New Roman" w:hAnsi="Times New Roman" w:cs="Times New Roman"/>
          <w:i/>
          <w:noProof/>
        </w:rPr>
        <w:t>Reality &amp; Evangelical Theology : The Realism of Christian Revelation</w:t>
      </w:r>
      <w:r w:rsidRPr="00C71822">
        <w:rPr>
          <w:rFonts w:ascii="Times New Roman" w:hAnsi="Times New Roman" w:cs="Times New Roman"/>
          <w:noProof/>
        </w:rPr>
        <w:t xml:space="preserve"> (Wipf and Stock Publishers, 2003), 34–36.</w:t>
      </w:r>
      <w:r w:rsidRPr="00C71822">
        <w:rPr>
          <w:rFonts w:ascii="Times New Roman" w:hAnsi="Times New Roman" w:cs="Times New Roman"/>
        </w:rPr>
        <w:fldChar w:fldCharType="end"/>
      </w:r>
    </w:p>
  </w:footnote>
  <w:footnote w:id="41">
    <w:p w14:paraId="75DB0E05" w14:textId="43FAFFB2" w:rsidR="001366A2" w:rsidRPr="00C71822" w:rsidRDefault="001366A2" w:rsidP="00813C21">
      <w:pPr>
        <w:pStyle w:val="TeksCatatanKaki"/>
        <w:ind w:left="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16–18."},"properties":{"noteIndex":41},"schema":"https://github.com/citation-style-language/schema/raw/master/csl-citation.json"}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2">
    <w:p w14:paraId="6FB5C3BC" w14:textId="3D8C2A6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introduction","type":"book"},"uris":["http://www.mendeley.com/documents/?uuid=f08d54b8-d02b-469b-b78b-fe1dc6a8cedb","http://www.mendeley.com/documents/?uuid=4bd58619-4050-3d74-a6fd-f5ef31236b12"]}],"mendeley":{"formattedCitation":"Alister E. McGrath, &lt;i&gt;Christian Theology : An Introduction&lt;/i&gt;.","plainTextFormattedCitation":"Alister E. McGrath, Christian Theology : An Introduction.","previouslyFormattedCitation":"Alister E. McGrath, &lt;i&gt;Christian theology : an introduction&lt;/i&gt;, 109–110."},"properties":{"noteIndex":42},"schema":"https://github.com/citation-style-language/schema/raw/master/csl-citation.json"}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3">
    <w:p w14:paraId="2B22EF1F" w14:textId="76932D0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2004)","type":"book"},"locator":"12-14","uris":["http://www.mendeley.com/documents/?uuid=0e2686d1-38c7-37e6-97e5-8fc3119b79ca","http://www.mendeley.com/documents/?uuid=3f22d3f3-0e59-4960-8bd4-5c0b837577f1"]}],"mendeley":{"formattedCitation":"R. W. L. Moberly, &lt;i&gt;The Science of Sustainable Development. Local Livelihoods and the Global Environment (Sayer, Campbell 2004)&lt;/i&gt;, &lt;i&gt;Ecology and Society&lt;/i&gt; (Cambridge: Cambridge University Press, 2000), 12–14.","plainTextFormattedCitation":"R. W. L. Moberly, The Science of Sustainable Development. Local Livelihoods and the Global Environment (Sayer, Campbell 2004), Ecology and Society (Cambridge: Cambridge University Press, 2000), 12–14.","previouslyFormattedCitation":"R.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http://www.scopus.com/inward/record.url?eid=2-s2.0-58049195454&amp;partnerID=40&amp;md5=701ac9f44e4d10e2628305996265c744."},"properties":{"noteIndex":43},"schema":"https://github.com/citation-style-language/schema/raw/master/csl-citation.json"}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 W. L. Moberly, </w:t>
      </w:r>
      <w:r w:rsidRPr="00C71822">
        <w:rPr>
          <w:rFonts w:ascii="Times New Roman" w:hAnsi="Times New Roman" w:cs="Times New Roman"/>
          <w:i/>
          <w:noProof/>
        </w:rPr>
        <w:t>The Science of Sustainable Development. Local Livelihoods and the Global Environment (Sayer, Campbell 2004)</w:t>
      </w:r>
      <w:r w:rsidRPr="00C71822">
        <w:rPr>
          <w:rFonts w:ascii="Times New Roman" w:hAnsi="Times New Roman" w:cs="Times New Roman"/>
          <w:noProof/>
        </w:rPr>
        <w:t xml:space="preserve">, </w:t>
      </w:r>
      <w:r w:rsidRPr="00C71822">
        <w:rPr>
          <w:rFonts w:ascii="Times New Roman" w:hAnsi="Times New Roman" w:cs="Times New Roman"/>
          <w:i/>
          <w:noProof/>
        </w:rPr>
        <w:t>Ecology and Society</w:t>
      </w:r>
      <w:r w:rsidRPr="00C71822">
        <w:rPr>
          <w:rFonts w:ascii="Times New Roman" w:hAnsi="Times New Roman" w:cs="Times New Roman"/>
          <w:noProof/>
        </w:rPr>
        <w:t xml:space="preserve"> (Cambridge: Cambridge University Press, 2000), 12–14.</w:t>
      </w:r>
      <w:r w:rsidRPr="00C71822">
        <w:rPr>
          <w:rFonts w:ascii="Times New Roman" w:hAnsi="Times New Roman" w:cs="Times New Roman"/>
        </w:rPr>
        <w:fldChar w:fldCharType="end"/>
      </w:r>
    </w:p>
  </w:footnote>
  <w:footnote w:id="44">
    <w:p w14:paraId="763C3A6C" w14:textId="3E56ABF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Darmaputera","type":"book"},"locator":"57-60","uris":["http://www.mendeley.com/documents/?uuid=0e5a359d-566f-3a47-aa20-098db52d3ff4","http://www.mendeley.com/documents/?uuid=60892591-1c32-4877-bd67-28912b3a22c3"]}],"mendeley":{"formattedCitation":"Eka Darmaputera, &lt;i&gt;Pergulatan Kehadiran Kristen Di Indonesia: Teks-Teks Terpilih Eka Darmaputera&lt;/i&gt; (Jakarta: BPK Gunung Mulia , 2005), 57–60.","plainTextFormattedCitation":"Eka Darmaputera, Pergulatan Kehadiran Kristen Di Indonesia: Teks-Teks Terpilih Eka Darmaputera (Jakarta: BPK Gunung Mulia , 2005), 57–60.","previouslyFormattedCitation":"Eka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1988)&amp;f=false."},"properties":{"noteIndex":44},"schema":"https://github.com/citation-style-language/schema/raw/master/csl-citation.json"}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Eka Darmaputera, </w:t>
      </w:r>
      <w:r w:rsidRPr="00C71822">
        <w:rPr>
          <w:rFonts w:ascii="Times New Roman" w:hAnsi="Times New Roman" w:cs="Times New Roman"/>
          <w:i/>
          <w:noProof/>
        </w:rPr>
        <w:t>Pergulatan Kehadiran Kristen Di Indonesia: Teks-Teks Terpilih Eka Darmaputera</w:t>
      </w:r>
      <w:r w:rsidRPr="00C71822">
        <w:rPr>
          <w:rFonts w:ascii="Times New Roman" w:hAnsi="Times New Roman" w:cs="Times New Roman"/>
          <w:noProof/>
        </w:rPr>
        <w:t xml:space="preserve"> (Jakarta: BPK Gunung Mulia , 2005), 57–60.</w:t>
      </w:r>
      <w:r w:rsidRPr="00C71822">
        <w:rPr>
          <w:rFonts w:ascii="Times New Roman" w:hAnsi="Times New Roman" w:cs="Times New Roman"/>
        </w:rPr>
        <w:fldChar w:fldCharType="end"/>
      </w:r>
    </w:p>
  </w:footnote>
  <w:footnote w:id="45">
    <w:p w14:paraId="7F9A29FB" w14:textId="6F34EBA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162–165."},"properties":{"noteIndex":45},"schema":"https://github.com/citation-style-language/schema/raw/master/csl-citation.json"}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6">
    <w:p w14:paraId="58497FFD" w14:textId="6F87EA7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","type":"book"},"locator":"37-40","uris":["http://www.mendeley.com/documents/?uuid=d2c84002-1aaf-353b-aa43-15ae35b2c6ba","http://www.mendeley.com/documents/?uuid=b144f4f6-fd6c-404e-836c-6a81043b439a"]}],"mendeley":{"formattedCitation":"N. T. Wright, &lt;i&gt;Following Jesus: Biblical Reflections on Discipleship &lt;/i&gt; (Grand Rapids: Eerdmans, 1995), 37–40.","plainTextFormattedCitation":"N. T. Wright, Following Jesus: Biblical Reflections on Discipleship  (Grand Rapids: Eerdmans, 1995), 37–40.","previouslyFormattedCitation":"N.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Discipleship&amp;f=false."},"properties":{"noteIndex":46},"schema":"https://github.com/citation-style-language/schema/raw/master/csl-citation.json"}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 xml:space="preserve">Following Jesus: Biblical Reflections on Discipleship </w:t>
      </w:r>
      <w:r w:rsidRPr="00C71822">
        <w:rPr>
          <w:rFonts w:ascii="Times New Roman" w:hAnsi="Times New Roman" w:cs="Times New Roman"/>
          <w:noProof/>
        </w:rPr>
        <w:t xml:space="preserve"> (Grand Rapids: Eerdmans, 1995), 37–40.</w:t>
      </w:r>
      <w:r w:rsidRPr="00C71822">
        <w:rPr>
          <w:rFonts w:ascii="Times New Roman" w:hAnsi="Times New Roman" w:cs="Times New Roman"/>
        </w:rPr>
        <w:fldChar w:fldCharType="end"/>
      </w:r>
    </w:p>
  </w:footnote>
  <w:footnote w:id="47">
    <w:p w14:paraId="16BFE5DA" w14:textId="61300E7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349–351."},"properties":{"noteIndex":47},"schema":"https://github.com/citation-style-language/schema/raw/master/csl-citation.json"}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8">
    <w:p w14:paraId="5AE1A6F9" w14:textId="2AFB55BC"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Pengantar","type":"book"},"locator":"56-59","uris":["http://www.mendeley.com/documents/?uuid=b742a1a8-02e7-432b-a851-32a3fdcefd06","http://www.mendeley.com/documents/?uuid=34a0b141-aa66-45d3-92c4-47afa0254f11"]}],"mendeley":{"formattedCitation":"Yakub B. Susabda, &lt;i&gt;Konseling Pastoral: Sebuah Pengantar&lt;/i&gt; (Malang: Gandum Mas, 1997), 56–59.","plainTextFormattedCitation":"Yakub B. Susabda, Konseling Pastoral: Sebuah Pengantar (Malang: Gandum Mas, 1997), 56–59.","previouslyFormattedCitation":"Yakub B. Susabda, &lt;i&gt;Konseling Pastoral: Sebuah Pengantar&lt;/i&gt; (Malang: Gandum Mas, 1997), 56–59."},"properties":{"noteIndex":48},"schema":"https://github.com/citation-style-language/schema/raw/master/csl-citation.json"}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Yakub B. Susabda, </w:t>
      </w:r>
      <w:r w:rsidRPr="00C71822">
        <w:rPr>
          <w:rFonts w:ascii="Times New Roman" w:hAnsi="Times New Roman" w:cs="Times New Roman"/>
          <w:i/>
          <w:noProof/>
          <w:lang w:val="sv-SE"/>
        </w:rPr>
        <w:t>Konseling Pastoral: Sebuah Pengantar</w:t>
      </w:r>
      <w:r w:rsidRPr="00C71822">
        <w:rPr>
          <w:rFonts w:ascii="Times New Roman" w:hAnsi="Times New Roman" w:cs="Times New Roman"/>
          <w:noProof/>
          <w:lang w:val="sv-SE"/>
        </w:rPr>
        <w:t xml:space="preserve"> (Malang: Gandum Mas, 1997), 56–59.</w:t>
      </w:r>
      <w:r w:rsidRPr="00C71822">
        <w:rPr>
          <w:rFonts w:ascii="Times New Roman" w:hAnsi="Times New Roman" w:cs="Times New Roman"/>
        </w:rPr>
        <w:fldChar w:fldCharType="end"/>
      </w:r>
    </w:p>
  </w:footnote>
  <w:footnote w:id="49">
    <w:p w14:paraId="1DCF82F0" w14:textId="63AC21C1"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Darmaputera","type":"book"},"uris":["http://www.mendeley.com/documents/?uuid=60892591-1c32-4877-bd67-28912b3a22c3","http://www.mendeley.com/documents/?uuid=0e5a359d-566f-3a47-aa20-098db52d3ff4"]}],"mendeley":{"formattedCitation":"Eka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 121."},"properties":{"noteIndex":49},"schema":"https://github.com/citation-style-language/schema/raw/master/csl-citation.json"}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Eka Darmaputera, </w:t>
      </w:r>
      <w:r w:rsidRPr="00C71822">
        <w:rPr>
          <w:rFonts w:ascii="Times New Roman" w:hAnsi="Times New Roman" w:cs="Times New Roman"/>
          <w:i/>
          <w:noProof/>
          <w:lang w:val="sv-SE"/>
        </w:rPr>
        <w:t>Pergulatan Kehadiran Kristen Di Indonesia: Teks-Teks Terpilih Eka Darmaputera</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0">
    <w:p w14:paraId="3CDEFAEB" w14:textId="79C401F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368."},"properties":{"noteIndex":50},"schema":"https://github.com/citation-style-language/schema/raw/master/csl-citation.json"}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1">
    <w:p w14:paraId="514CD905" w14:textId="45DDEE9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89."},"properties":{"noteIndex":51},"schema":"https://github.com/citation-style-language/schema/raw/master/csl-citation.json"}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52">
    <w:p w14:paraId="0C2E71E1" w14:textId="1421EF47"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kristen","type":"book"},"locator":"215","uris":["http://www.mendeley.com/documents/?uuid=21a2d060-446d-3688-9ef8-63911354f3c5","http://www.mendeley.com/documents/?uuid=a38dba46-bcf0-4f33-933c-37cb71849771"]}],"mendeley":{"formattedCitation":"Harun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Harun Hadiwijono, </w:t>
      </w:r>
      <w:r w:rsidRPr="00C71822">
        <w:rPr>
          <w:rFonts w:ascii="Times New Roman" w:hAnsi="Times New Roman" w:cs="Times New Roman"/>
          <w:i/>
          <w:noProof/>
          <w:lang w:val="sv-SE"/>
        </w:rPr>
        <w:t>Iman Kristen</w:t>
      </w:r>
      <w:r w:rsidRPr="00C71822">
        <w:rPr>
          <w:rFonts w:ascii="Times New Roman" w:hAnsi="Times New Roman" w:cs="Times New Roman"/>
          <w:noProof/>
          <w:lang w:val="sv-SE"/>
        </w:rPr>
        <w:t xml:space="preserve"> (Jakarta: BPK Gunung Mulia, 2007), 215.</w:t>
      </w:r>
      <w:r w:rsidRPr="00C71822">
        <w:rPr>
          <w:rFonts w:ascii="Times New Roman" w:hAnsi="Times New Roman" w:cs="Times New Roman"/>
        </w:rPr>
        <w:fldChar w:fldCharType="end"/>
      </w:r>
    </w:p>
  </w:footnote>
  <w:footnote w:id="53">
    <w:p w14:paraId="6CD38F24" w14:textId="6D7D2AD1"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matters","type":"book"},"uris":["http://www.mendeley.com/documents/?uuid=93346915-f514-4cd7-9ec4-8fad30fd8363","http://www.mendeley.com/documents/?uuid=d35b3814-a7a7-3aaf-90aa-ec7dc91e0b19"]}],"mendeley":{"formattedCitation":"N.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 146."},"properties":{"noteIndex":53},"schema":"https://github.com/citation-style-language/schema/raw/master/csl-citation.json"}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N. T. Wright, </w:t>
      </w:r>
      <w:r w:rsidRPr="00C71822">
        <w:rPr>
          <w:rFonts w:ascii="Times New Roman" w:hAnsi="Times New Roman" w:cs="Times New Roman"/>
          <w:i/>
          <w:noProof/>
          <w:lang w:val="sv-SE"/>
        </w:rPr>
        <w:t>Simply Jesus : A New Vision of Who He Was, What He Did, and Why He Matters</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4">
    <w:p w14:paraId="0B274015" w14:textId="62DDA0B8"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Injil","type":"book"},"uris":["http://www.mendeley.com/documents/?uuid=88d23f1c-cf8f-4250-b81c-6ddf956a91dd","http://www.mendeley.com/documents/?uuid=d3a72026-ddab-4d80-9b61-2b98f99eceec"]}],"mendeley":{"formattedCitation":"Grenz,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 42."},"properties":{"noteIndex":54},"schema":"https://github.com/citation-style-language/schema/raw/master/csl-citation.json"}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7BD21D99" w14:textId="3CD8EF3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32–34."},"properties":{"noteIndex":55},"schema":"https://github.com/citation-style-language/schema/raw/master/csl-citation.json"}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6">
    <w:p w14:paraId="46C66AB9" w14:textId="08D8C905"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Papua","type":"book"},"locator":"61","uris":["http://www.mendeley.com/documents/?uuid=9b05fa66-b019-40f6-b76c-4f509f4b894e","http://www.mendeley.com/documents/?uuid=494ab2e2-c5f4-43df-9f87-49d8537bddbe"]}],"mendeley":{"formattedCitation":"Budi Kleden, &lt;i&gt;Kristologi Dalam Konteks Papua&lt;/i&gt; (Yogyakarta: Kanisius, 2015), 61.","plainTextFormattedCitation":"Budi Kleden, Kristologi Dalam Konteks Papua (Yogyakarta: Kanisius, 2015), 61.","previouslyFormattedCitation":"Budi Kleden, &lt;i&gt;Kristologi dalam Konteks Papua&lt;/i&gt; (Yogyakarta: Kanisius, 2015), 61."},"properties":{"noteIndex":56},"schema":"https://github.com/citation-style-language/schema/raw/master/csl-citation.json"}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Kleden, </w:t>
      </w:r>
      <w:r w:rsidRPr="00C71822">
        <w:rPr>
          <w:rFonts w:ascii="Times New Roman" w:hAnsi="Times New Roman" w:cs="Times New Roman"/>
          <w:i/>
          <w:noProof/>
          <w:lang w:val="sv-SE"/>
        </w:rPr>
        <w:t>Kristologi Dalam Konteks Papua</w:t>
      </w:r>
      <w:r w:rsidRPr="00C71822">
        <w:rPr>
          <w:rFonts w:ascii="Times New Roman" w:hAnsi="Times New Roman" w:cs="Times New Roman"/>
          <w:noProof/>
          <w:lang w:val="sv-SE"/>
        </w:rPr>
        <w:t xml:space="preserve"> (Yogyakarta: Kanisius, 2015), 61.</w:t>
      </w:r>
      <w:r w:rsidRPr="00C71822">
        <w:rPr>
          <w:rFonts w:ascii="Times New Roman" w:hAnsi="Times New Roman" w:cs="Times New Roman"/>
        </w:rPr>
        <w:fldChar w:fldCharType="end"/>
      </w:r>
    </w:p>
  </w:footnote>
  <w:footnote w:id="57">
    <w:p w14:paraId="44F903AA" w14:textId="3626DA7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Pluralism","type":"book"},"uris":["http://www.mendeley.com/documents/?uuid=db999623-d4bf-446c-a25e-4009f83bd5e2","http://www.mendeley.com/documents/?uuid=e94ef148-d7b6-45a6-b795-4ec6e3969af6"]}],"mendeley":{"formattedCitation":"D.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2020)."},"properties":{"noteIndex":57},"schema":"https://github.com/citation-style-language/schema/raw/master/csl-citation.json"}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8">
    <w:p w14:paraId="200E5D09" w14:textId="23A0E49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163–166."},"properties":{"noteIndex":58},"schema":"https://github.com/citation-style-language/schema/raw/master/csl-citation.json"}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9">
    <w:p w14:paraId="6213F8A9" w14:textId="6EAB756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333755CB" w14:textId="34CCA63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Baru","type":"book"},"uris":["http://www.mendeley.com/documents/?uuid=5ecfd748-2138-4575-a9e8-1328071f59f8","http://www.mendeley.com/documents/?uuid=77dd9e37-b22d-4b2b-a40a-3f03cfb7765c"]}],"mendeley":{"formattedCitation":"LAI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1">
    <w:p w14:paraId="6CE323E3" w14:textId="63AD8DA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Butarbutar","given":"","non-dropping-particle":"","parse-names":false,"suffix":""}],"container-title":"Scripta","id":"ITEM-1","issue":"2","issued":{"date-parts":[["2018","6"]]},"page":"116-128","publisher":"Sekolah Tinggi Theologia Ebenhaezer","title":"Kristologi Biblika Menurut Kaum Reformed sebagai Salah Satu Dasar Apologetika dalam Menghadapi Pengajaran Gnostik di Era Postmodern","type":"article-journal","volume":"6"},"uris":["http://www.mendeley.com/documents/?uuid=8f3e1cd0-3cf4-34f5-8623-66c7abad0742","http://www.mendeley.com/documents/?uuid=58b5d8f5-e30b-411f-aa1b-0bb169bfefdc"]}],"mendeley":{"formattedCitation":"Marlon Butarbutar, “Kristologi Biblika Menurut Kaum Reformed Sebagai Salah Satu Dasar Apologetika Dalam Menghadapi Pengajaran Gnostik Di Era Postmodern,” &lt;i&gt;Scripta&lt;/i&gt; 6, no. 2 (June 2018): 116–128.","plainTextFormattedCitation":"Marlon Butarbutar, “Kristologi Biblika Menurut Kaum Reformed Sebagai Salah Satu Dasar Apologetika Dalam Menghadapi Pengajaran Gnostik Di Era Postmodern,” Scripta 6, no. 2 (June 2018): 116–128.","previouslyFormattedCitation":"Marlon Butarbutar, “Kristologi Biblika Menurut Kaum Reformed sebagai Salah Satu Dasar Apologetika dalam Menghadapi Pengajaran Gnostik di Era Postmodern,” &lt;i&gt;Scripta&lt;/i&gt; 6, no. 2 (Juni 18, 2018): 116–128, diakses September 5, 2025, https://www.neliti.com/publications/529614/."},"properties":{"noteIndex":61},"schema":"https://github.com/citation-style-language/schema/raw/master/csl-citation.json"}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Pr="00C71822">
        <w:rPr>
          <w:rFonts w:ascii="Times New Roman" w:hAnsi="Times New Roman" w:cs="Times New Roman"/>
          <w:i/>
          <w:noProof/>
          <w:lang w:val="en-US"/>
        </w:rPr>
        <w:t>Scripta</w:t>
      </w:r>
      <w:r w:rsidRPr="00C71822">
        <w:rPr>
          <w:rFonts w:ascii="Times New Roman" w:hAnsi="Times New Roman" w:cs="Times New Roman"/>
          <w:noProof/>
          <w:lang w:val="en-US"/>
        </w:rPr>
        <w:t xml:space="preserve"> 6, no. 2 (June 2018): 116–128.</w:t>
      </w:r>
      <w:r w:rsidRPr="00C71822">
        <w:rPr>
          <w:rFonts w:ascii="Times New Roman" w:hAnsi="Times New Roman" w:cs="Times New Roman"/>
        </w:rPr>
        <w:fldChar w:fldCharType="end"/>
      </w:r>
    </w:p>
  </w:footnote>
  <w:footnote w:id="62">
    <w:p w14:paraId="60E49ED1" w14:textId="789AE1D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","type":"article-journal"},"uris":["http://www.mendeley.com/documents/?uuid=596a6e56-baf7-3579-a016-a7c54dee6c29","http://www.mendeley.com/documents/?uuid=18fad50f-6b18-4534-bfe6-315698d95bf8"]}],"mendeley":{"formattedCitation":"Edward T Oakes, “SIMPLY CHRISTIAN: WHY CHRISTIANITY MAKES SENSE ,” &lt;i&gt;A Monthly Journal of Religion and Public Life&lt;/i&gt;, no. 169 (January 2007): 56–57.","plainTextFormattedCitation":"Edward T Oakes, “SIMPLY CHRISTIAN: WHY CHRISTIANITY MAKES SENSE ,” A Monthly Journal of Religion and Public Life, no. 169 (January 2007): 56–57.","previouslyFormattedCitation":"Edward T Oakes, “SIMPLY CHRISTIAN: WHY CHRISTIANITY MAKES SENSE ,” &lt;i&gt;A Monthly Journal of Religion and Public Life&lt;/i&gt;, no. 169 (Januari 2007): 56–57, diakses September 5, 2025, https://www.proquest.com/openview/5200d57deed299d3e85bdd46f7e67450/1?pq-origsite=gscholar&amp;cbl=45949."},"properties":{"noteIndex":62},"schema":"https://github.com/citation-style-language/schema/raw/master/csl-citation.json"}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Edward T Oakes, “SIMPLY CHRISTIAN: WHY CHRISTIANITY MAKES SENSE ,” </w:t>
      </w:r>
      <w:r w:rsidRPr="00C71822">
        <w:rPr>
          <w:rFonts w:ascii="Times New Roman" w:hAnsi="Times New Roman" w:cs="Times New Roman"/>
          <w:i/>
          <w:noProof/>
        </w:rPr>
        <w:t>A Monthly Journal of Religion and Public Life</w:t>
      </w:r>
      <w:r w:rsidRPr="00C71822">
        <w:rPr>
          <w:rFonts w:ascii="Times New Roman" w:hAnsi="Times New Roman" w:cs="Times New Roman"/>
          <w:noProof/>
        </w:rPr>
        <w:t>, no. 169 (January 2007): 56–57.</w:t>
      </w:r>
      <w:r w:rsidRPr="00C71822">
        <w:rPr>
          <w:rFonts w:ascii="Times New Roman" w:hAnsi="Times New Roman" w:cs="Times New Roman"/>
        </w:rPr>
        <w:fldChar w:fldCharType="end"/>
      </w:r>
    </w:p>
  </w:footnote>
  <w:footnote w:id="63">
    <w:p w14:paraId="3DADB2BC" w14:textId="69DB287A"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37–39."},"properties":{"noteIndex":63},"schema":"https://github.com/citation-style-language/schema/raw/master/csl-citation.json"}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4">
    <w:p w14:paraId="4BAEA4F9" w14:textId="309545A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trialogue","type":"book"},"locator":"67-70","uris":["http://www.mendeley.com/documents/?uuid=8aca58dd-bf6b-3c91-b763-b1add203bf5d","http://www.mendeley.com/documents/?uuid=e4cc2b38-b4af-4370-ab1e-838227e09496"]}],"mendeley":{"formattedCitation":"Harvie M.. Conn, &lt;i&gt;Eternal Word and Changing Worlds: Theology, Anthropology, and Mission in Trialogue&lt;/i&gt; (Grand Rapids, Mich.: Zondervan, 1984), 67–70.","plainTextFormattedCitation":"Harvie M.. Conn, Eternal Word and Changing Worlds: Theology, Anthropology, and Mission in Trialogue (Grand Rapids, Mich.: Zondervan, 1984), 67–70.","previouslyFormattedCitation":"Harvie M.. Conn, &lt;i&gt;Eternal word and changing worlds: theology, anthropology, and mission in trialogue&lt;/i&gt; (Grand Rapids, Mich.: Zondervan, 1984), 67–70."},"properties":{"noteIndex":64},"schema":"https://github.com/citation-style-language/schema/raw/master/csl-citation.json"}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Harvie M.. Conn, </w:t>
      </w:r>
      <w:r w:rsidRPr="00C71822">
        <w:rPr>
          <w:rFonts w:ascii="Times New Roman" w:hAnsi="Times New Roman" w:cs="Times New Roman"/>
          <w:i/>
          <w:noProof/>
        </w:rPr>
        <w:t>Eternal Word and Changing Worlds: Theology, Anthropology, and Mission in Trialogue</w:t>
      </w:r>
      <w:r w:rsidRPr="00C71822">
        <w:rPr>
          <w:rFonts w:ascii="Times New Roman" w:hAnsi="Times New Roman" w:cs="Times New Roman"/>
          <w:noProof/>
        </w:rPr>
        <w:t xml:space="preserve"> (Grand Rapids, Mich.: Zondervan, 1984), 67–70.</w:t>
      </w:r>
      <w:r w:rsidRPr="00C71822">
        <w:rPr>
          <w:rFonts w:ascii="Times New Roman" w:hAnsi="Times New Roman" w:cs="Times New Roman"/>
        </w:rPr>
        <w:fldChar w:fldCharType="end"/>
      </w:r>
    </w:p>
  </w:footnote>
  <w:footnote w:id="65">
    <w:p w14:paraId="05FBB3A9" w14:textId="1A3E675F" w:rsidR="001366A2" w:rsidRPr="00185040" w:rsidRDefault="001366A2" w:rsidP="00813C21">
      <w:pPr>
        <w:pStyle w:val="TeksCatatanKaki"/>
        <w:ind w:firstLine="720"/>
        <w:rPr>
          <w:rFonts w:ascii="Calibri Light" w:hAnsi="Calibri Light" w:cs="Calibri Light"/>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Culture","type":"article-journal","volume":"22"},"locator":"55-73","uris":["http://www.mendeley.com/documents/?uuid=f30d423c-6f77-3e8a-b8b1-ba53f269baef","http://www.mendeley.com/documents/?uuid=76540709-ed2b-4a48-882d-740a40c7f1c0"]}],"mendeley":{"formattedCitation":"Robert J. Priest, “Missionary Elenctics: Conscience and Culture,” &lt;i&gt;Missiology&lt;/i&gt; 22, no. 3 (July 1994): 55–73.","plainTextFormattedCitation":"Robert J. Priest, “Missionary Elenctics: Conscience and Culture,” Missiology 22, no. 3 (July 1994): 55–73.","previouslyFormattedCitation":"Robert J. Priest, “Missionary Elenctics: Conscience and Culture,” &lt;i&gt;Missiology&lt;/i&gt; 22, no. 3 (Juli 1994): 55–73, diakses September 5, 2025, /doi/pdf/10.1177/009182969402200301?download=true."},"properties":{"noteIndex":65},"schema":"https://github.com/citation-style-language/schema/raw/master/csl-citation.json"}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Robert J. Priest, “Missionary Elenctics: Conscience and Culture,” </w:t>
      </w:r>
      <w:r w:rsidRPr="00C71822">
        <w:rPr>
          <w:rFonts w:ascii="Times New Roman" w:hAnsi="Times New Roman" w:cs="Times New Roman"/>
          <w:i/>
          <w:noProof/>
        </w:rPr>
        <w:t>Missiology</w:t>
      </w:r>
      <w:r w:rsidRPr="00C71822">
        <w:rPr>
          <w:rFonts w:ascii="Times New Roman" w:hAnsi="Times New Roman" w:cs="Times New Roman"/>
          <w:noProof/>
        </w:rPr>
        <w:t xml:space="preserve"> 22, no. 3 (July 1994): 55–73.</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134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33B07"/>
    <w:rsid w:val="001366A2"/>
    <w:rsid w:val="002235A9"/>
    <w:rsid w:val="00230647"/>
    <w:rsid w:val="00273E5A"/>
    <w:rsid w:val="00276A63"/>
    <w:rsid w:val="002E779E"/>
    <w:rsid w:val="00323DF7"/>
    <w:rsid w:val="00353E95"/>
    <w:rsid w:val="003929F5"/>
    <w:rsid w:val="003A4350"/>
    <w:rsid w:val="003D7F17"/>
    <w:rsid w:val="004C5CDD"/>
    <w:rsid w:val="006C1D07"/>
    <w:rsid w:val="007058EC"/>
    <w:rsid w:val="00813C21"/>
    <w:rsid w:val="008B6EB9"/>
    <w:rsid w:val="008F4ED8"/>
    <w:rsid w:val="009820E0"/>
    <w:rsid w:val="009F1A38"/>
    <w:rsid w:val="009F4195"/>
    <w:rsid w:val="009F5667"/>
    <w:rsid w:val="00AE35FD"/>
    <w:rsid w:val="00B66877"/>
    <w:rsid w:val="00BA74A8"/>
    <w:rsid w:val="00C30472"/>
    <w:rsid w:val="00C71822"/>
    <w:rsid w:val="00DB3C6F"/>
    <w:rsid w:val="00DF3D85"/>
    <w:rsid w:val="00DF4B72"/>
    <w:rsid w:val="00E01239"/>
    <w:rsid w:val="00EB4986"/>
    <w:rsid w:val="00EC38BA"/>
    <w:rsid w:val="00F4082F"/>
    <w:rsid w:val="00F55765"/>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TeksCatatanKakiKAR">
    <w:name w:val="Teks Catatan Kaki KAR"/>
    <w:basedOn w:val="FontParagrafDefault"/>
    <w:link w:val="TeksCatatanKaki"/>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ReferensiCatatanKaki">
    <w:name w:val="footnote reference"/>
    <w:basedOn w:val="FontParagrafDefault"/>
    <w:uiPriority w:val="99"/>
    <w:semiHidden/>
    <w:unhideWhenUsed/>
    <w:rsid w:val="00EC38BA"/>
    <w:rPr>
      <w:vertAlign w:val="superscript"/>
    </w:rPr>
  </w:style>
  <w:style w:type="character" w:styleId="ReferensiKomentar">
    <w:name w:val="annotation reference"/>
    <w:basedOn w:val="FontParagrafDefault"/>
    <w:uiPriority w:val="99"/>
    <w:semiHidden/>
    <w:unhideWhenUsed/>
    <w:rsid w:val="00EC38BA"/>
    <w:rPr>
      <w:sz w:val="16"/>
      <w:szCs w:val="16"/>
    </w:rPr>
  </w:style>
  <w:style w:type="paragraph" w:styleId="TeksKomentar">
    <w:name w:val="annotation text"/>
    <w:basedOn w:val="Normal"/>
    <w:link w:val="TeksKomentarKAR"/>
    <w:uiPriority w:val="99"/>
    <w:semiHidden/>
    <w:unhideWhenUsed/>
    <w:rsid w:val="008B6EB9"/>
    <w:rPr>
      <w:sz w:val="20"/>
      <w:szCs w:val="20"/>
    </w:rPr>
  </w:style>
  <w:style w:type="character" w:customStyle="1" w:styleId="TeksKomentarKAR">
    <w:name w:val="Teks Komentar KAR"/>
    <w:basedOn w:val="FontParagrafDefault"/>
    <w:link w:val="TeksKomentar"/>
    <w:uiPriority w:val="99"/>
    <w:semiHidden/>
    <w:rsid w:val="008B6EB9"/>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B6EB9"/>
    <w:rPr>
      <w:b/>
      <w:bCs/>
    </w:rPr>
  </w:style>
  <w:style w:type="character" w:customStyle="1" w:styleId="SubjekKomentarKAR">
    <w:name w:val="Subjek Komentar KAR"/>
    <w:basedOn w:val="TeksKomentarKAR"/>
    <w:link w:val="SubjekKomentar"/>
    <w:uiPriority w:val="99"/>
    <w:semiHidden/>
    <w:rsid w:val="008B6EB9"/>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jurnal.sttarrabona.ac.id/JurnalST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62221C2F-8D8C-486D-B10F-C601E83B30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7203</Words>
  <Characters>41063</Characters>
  <Application>Microsoft Office Word</Application>
  <DocSecurity>0</DocSecurity>
  <Lines>342</Lines>
  <Paragraphs>96</Paragraphs>
  <ScaleCrop>false</ScaleCrop>
  <Company/>
  <LinksUpToDate>false</LinksUpToDate>
  <CharactersWithSpaces>48170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2026-06-01T10:04:00Z</dcterms:created>
  <dcterms:modified xsi:type="dcterms:W3CDTF">2026-06-01T10:04:00Z</dcterms:modified>
</cp:coreProperties>
</file>