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Pr="00F32776" w:rsidRDefault="001366A2">
            <w:pPr>
              <w:pBdr>
                <w:top w:val="nil"/>
                <w:left w:val="nil"/>
                <w:bottom w:val="nil"/>
                <w:right w:val="nil"/>
                <w:between w:val="nil"/>
              </w:pBdr>
              <w:spacing w:line="276" w:lineRule="auto"/>
              <w:ind w:left="34"/>
              <w:jc w:val="center"/>
              <w:rPr>
                <w:rFonts w:eastAsia="Times New Roman"/>
                <w:b/>
                <w:i/>
                <w:color w:val="000000"/>
                <w:sz w:val="36"/>
                <w:szCs w:val="36"/>
                <w:lang w:val="sv-SE"/>
              </w:rPr>
            </w:pPr>
            <w:r w:rsidRPr="00F32776">
              <w:rPr>
                <w:rFonts w:eastAsia="Times New Roman"/>
                <w:b/>
                <w:i/>
                <w:color w:val="000000"/>
                <w:sz w:val="36"/>
                <w:szCs w:val="36"/>
                <w:lang w:val="sv-SE"/>
              </w:rPr>
              <w:t>Jurnal Arrabona: Jurnal Teologi dan Misi</w:t>
            </w:r>
            <w:r w:rsidRPr="00F32776">
              <w:rPr>
                <w:rFonts w:eastAsia="Times New Roman"/>
                <w:b/>
                <w:i/>
                <w:color w:val="000000"/>
                <w:sz w:val="28"/>
                <w:szCs w:val="28"/>
                <w:lang w:val="sv-SE"/>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366A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323C95EB" w:rsidR="00C30472" w:rsidRDefault="001366A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1A53A4">
              <w:rPr>
                <w:rFonts w:eastAsia="Times New Roman"/>
                <w:color w:val="000000"/>
              </w:rPr>
              <w:t xml:space="preserve"> </w:t>
            </w:r>
            <w:r w:rsidR="001A53A4">
              <w:t>9</w:t>
            </w:r>
            <w:r>
              <w:rPr>
                <w:rFonts w:eastAsia="Times New Roman"/>
                <w:color w:val="000000"/>
              </w:rPr>
              <w:t>, No.</w:t>
            </w:r>
            <w:r w:rsidR="001A53A4">
              <w:rPr>
                <w:rFonts w:eastAsia="Times New Roman"/>
                <w:color w:val="000000"/>
              </w:rPr>
              <w:t xml:space="preserve"> 1</w:t>
            </w:r>
            <w:r w:rsidR="00F903B5">
              <w:rPr>
                <w:rFonts w:eastAsia="Times New Roman"/>
                <w:color w:val="000000"/>
              </w:rPr>
              <w:t>,</w:t>
            </w:r>
            <w:r>
              <w:rPr>
                <w:rFonts w:eastAsia="Times New Roman"/>
                <w:color w:val="000000"/>
              </w:rPr>
              <w:t xml:space="preserve"> </w:t>
            </w:r>
            <w:r w:rsidR="001A53A4">
              <w:rPr>
                <w:rFonts w:eastAsia="Times New Roman"/>
                <w:color w:val="000000"/>
              </w:rPr>
              <w:t>Agustus</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F32776"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F32776" w:rsidRDefault="00F903B5" w:rsidP="005B38A1">
            <w:pPr>
              <w:pBdr>
                <w:top w:val="nil"/>
                <w:left w:val="nil"/>
                <w:bottom w:val="nil"/>
                <w:right w:val="nil"/>
                <w:between w:val="nil"/>
              </w:pBdr>
              <w:rPr>
                <w:rFonts w:ascii="Lustria" w:eastAsia="Lustria" w:hAnsi="Lustria" w:cs="Lustria"/>
                <w:b/>
                <w:color w:val="000000"/>
                <w:lang w:val="sv-SE"/>
              </w:rPr>
            </w:pPr>
          </w:p>
          <w:p w14:paraId="3BDD0240" w14:textId="79DC99D6" w:rsidR="00C30472" w:rsidRDefault="00BA74A8" w:rsidP="00BA74A8">
            <w:pPr>
              <w:jc w:val="center"/>
              <w:rPr>
                <w:b/>
                <w:bCs/>
                <w:sz w:val="32"/>
                <w:szCs w:val="32"/>
                <w:lang w:val="sv-SE"/>
              </w:rPr>
            </w:pPr>
            <w:r w:rsidRPr="00BA74A8">
              <w:rPr>
                <w:b/>
                <w:bCs/>
                <w:sz w:val="32"/>
                <w:szCs w:val="32"/>
                <w:lang w:val="sv-SE"/>
              </w:rPr>
              <w:t>Tantangan Posmodernisme Dan Relativisme Terhadap Kebenaran Injil: Sebuah Tinjauan</w:t>
            </w:r>
            <w:r w:rsidR="007058EC">
              <w:rPr>
                <w:b/>
                <w:bCs/>
                <w:sz w:val="32"/>
                <w:szCs w:val="32"/>
                <w:lang w:val="sv-SE"/>
              </w:rPr>
              <w:t xml:space="preserve"> Teologi</w:t>
            </w:r>
            <w:r w:rsidRPr="00BA74A8">
              <w:rPr>
                <w:b/>
                <w:bCs/>
                <w:sz w:val="32"/>
                <w:szCs w:val="32"/>
                <w:lang w:val="sv-SE"/>
              </w:rPr>
              <w:t xml:space="preserve"> </w:t>
            </w:r>
            <w:r w:rsidR="003929F5">
              <w:rPr>
                <w:b/>
                <w:bCs/>
                <w:sz w:val="32"/>
                <w:szCs w:val="32"/>
                <w:lang w:val="sv-SE"/>
              </w:rPr>
              <w:t xml:space="preserve">Dan Filsafat </w:t>
            </w:r>
            <w:r w:rsidRPr="00BA74A8">
              <w:rPr>
                <w:b/>
                <w:bCs/>
                <w:sz w:val="32"/>
                <w:szCs w:val="32"/>
                <w:lang w:val="sv-SE"/>
              </w:rPr>
              <w:t>Kristen</w:t>
            </w:r>
          </w:p>
          <w:p w14:paraId="479BCAA1" w14:textId="77777777" w:rsidR="004E7D86" w:rsidRDefault="004E7D86" w:rsidP="004E7D86">
            <w:pPr>
              <w:jc w:val="center"/>
              <w:rPr>
                <w:b/>
                <w:bCs/>
                <w:i/>
              </w:rPr>
            </w:pPr>
          </w:p>
          <w:p w14:paraId="33BCF67E" w14:textId="0112C1A7" w:rsidR="004E7D86" w:rsidRPr="004E7D86" w:rsidRDefault="004E7D86" w:rsidP="004E7D86">
            <w:pPr>
              <w:jc w:val="center"/>
              <w:rPr>
                <w:b/>
                <w:bCs/>
                <w:i/>
                <w:sz w:val="28"/>
                <w:szCs w:val="28"/>
              </w:rPr>
            </w:pPr>
            <w:r w:rsidRPr="004E7D86">
              <w:rPr>
                <w:b/>
                <w:bCs/>
                <w:i/>
                <w:sz w:val="28"/>
                <w:szCs w:val="28"/>
              </w:rPr>
              <w:t>Debora</w:t>
            </w:r>
            <w:r w:rsidRPr="004E7D86">
              <w:rPr>
                <w:b/>
                <w:bCs/>
                <w:i/>
                <w:sz w:val="28"/>
                <w:szCs w:val="28"/>
                <w:vertAlign w:val="superscript"/>
              </w:rPr>
              <w:t>1</w:t>
            </w:r>
            <w:r w:rsidRPr="004E7D86">
              <w:rPr>
                <w:b/>
                <w:bCs/>
                <w:i/>
                <w:sz w:val="28"/>
                <w:szCs w:val="28"/>
              </w:rPr>
              <w:t>*</w:t>
            </w:r>
            <w:r w:rsidRPr="004E7D86">
              <w:rPr>
                <w:b/>
                <w:bCs/>
                <w:sz w:val="28"/>
                <w:szCs w:val="28"/>
                <w:vertAlign w:val="superscript"/>
              </w:rPr>
              <w:t>)</w:t>
            </w:r>
            <w:r w:rsidRPr="004E7D86">
              <w:rPr>
                <w:b/>
                <w:bCs/>
                <w:i/>
                <w:sz w:val="28"/>
                <w:szCs w:val="28"/>
              </w:rPr>
              <w:t xml:space="preserve"> </w:t>
            </w:r>
          </w:p>
          <w:p w14:paraId="73490C1F" w14:textId="77777777" w:rsidR="004E7D86" w:rsidRPr="004E7D86" w:rsidRDefault="004E7D86" w:rsidP="004E7D86">
            <w:pPr>
              <w:jc w:val="center"/>
              <w:rPr>
                <w:b/>
                <w:bCs/>
                <w:i/>
                <w:sz w:val="28"/>
                <w:szCs w:val="28"/>
              </w:rPr>
            </w:pPr>
            <w:r w:rsidRPr="004E7D86">
              <w:rPr>
                <w:b/>
                <w:bCs/>
                <w:i/>
                <w:sz w:val="28"/>
                <w:szCs w:val="28"/>
              </w:rPr>
              <w:t>Didit Yuliantono Adi</w:t>
            </w:r>
            <w:r w:rsidRPr="004E7D86">
              <w:rPr>
                <w:b/>
                <w:bCs/>
                <w:i/>
                <w:sz w:val="28"/>
                <w:szCs w:val="28"/>
                <w:vertAlign w:val="superscript"/>
              </w:rPr>
              <w:t>2</w:t>
            </w:r>
            <w:r w:rsidRPr="004E7D86">
              <w:rPr>
                <w:b/>
                <w:bCs/>
                <w:i/>
                <w:sz w:val="28"/>
                <w:szCs w:val="28"/>
              </w:rPr>
              <w:t xml:space="preserve"> </w:t>
            </w:r>
          </w:p>
          <w:p w14:paraId="546304FC" w14:textId="6AB2C1A5" w:rsidR="004E7D86" w:rsidRPr="004E7D86" w:rsidRDefault="004E7D86" w:rsidP="004E7D86">
            <w:pPr>
              <w:jc w:val="center"/>
            </w:pPr>
            <w:bookmarkStart w:id="0" w:name="_heading=h.gjdgxs"/>
            <w:bookmarkEnd w:id="0"/>
            <w:r w:rsidRPr="004E7D86">
              <w:rPr>
                <w:i/>
              </w:rPr>
              <w:t>Sekolah Tinggi Teologi Rajawali Arastamar Indonesia Batam</w:t>
            </w:r>
          </w:p>
          <w:p w14:paraId="13A1ABAE" w14:textId="3EB96DB6" w:rsidR="00BA74A8" w:rsidRPr="004E7D86" w:rsidRDefault="004E7D86" w:rsidP="004E7D86">
            <w:pPr>
              <w:jc w:val="center"/>
            </w:pPr>
            <w:r w:rsidRPr="004E7D86">
              <w:rPr>
                <w:i/>
              </w:rPr>
              <w:t>*</w:t>
            </w:r>
            <w:r w:rsidRPr="004E7D86">
              <w:rPr>
                <w:vertAlign w:val="superscript"/>
              </w:rPr>
              <w:t>)</w:t>
            </w:r>
            <w:r w:rsidRPr="004E7D86">
              <w:rPr>
                <w:i/>
              </w:rPr>
              <w:t>Email Correspondence: debora304@gmail.com</w:t>
            </w:r>
          </w:p>
          <w:p w14:paraId="6E0D6691" w14:textId="77777777" w:rsidR="00C30472" w:rsidRPr="00F32776" w:rsidRDefault="00C30472" w:rsidP="00276A63">
            <w:pPr>
              <w:jc w:val="center"/>
              <w:rPr>
                <w:rFonts w:ascii="Lustria" w:eastAsia="Lustria" w:hAnsi="Lustria" w:cs="Lustria"/>
                <w:color w:val="000000"/>
                <w:sz w:val="18"/>
                <w:szCs w:val="18"/>
                <w:lang w:val="sv-SE"/>
              </w:rPr>
            </w:pPr>
          </w:p>
        </w:tc>
      </w:tr>
      <w:tr w:rsidR="00C30472" w:rsidRPr="00BA74A8"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1DB267A8"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603F5027"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77F2C3E1"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3751752B"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4B08B1C9"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27994A95" w14:textId="77777777" w:rsidR="00C30472" w:rsidRPr="00F32776" w:rsidRDefault="001366A2">
            <w:pPr>
              <w:pBdr>
                <w:top w:val="nil"/>
                <w:left w:val="nil"/>
                <w:bottom w:val="nil"/>
                <w:right w:val="nil"/>
                <w:between w:val="nil"/>
              </w:pBdr>
              <w:rPr>
                <w:rFonts w:ascii="Lustria" w:eastAsia="Lustria" w:hAnsi="Lustria" w:cs="Lustria"/>
                <w:color w:val="000000"/>
                <w:sz w:val="36"/>
                <w:szCs w:val="36"/>
                <w:vertAlign w:val="subscript"/>
                <w:lang w:val="sv-SE"/>
              </w:rPr>
            </w:pPr>
            <w:r w:rsidRPr="00F32776">
              <w:rPr>
                <w:rFonts w:ascii="Lustria" w:eastAsia="Lustria" w:hAnsi="Lustria" w:cs="Lustria"/>
                <w:b/>
                <w:color w:val="000000"/>
                <w:sz w:val="36"/>
                <w:szCs w:val="36"/>
                <w:vertAlign w:val="subscript"/>
                <w:lang w:val="sv-SE"/>
              </w:rPr>
              <w:t>INFO ARTIKEL</w:t>
            </w:r>
          </w:p>
          <w:p w14:paraId="3ECEF272" w14:textId="03122D4B" w:rsidR="00C30472" w:rsidRPr="00F32776" w:rsidRDefault="001366A2">
            <w:pPr>
              <w:pBdr>
                <w:top w:val="nil"/>
                <w:left w:val="nil"/>
                <w:bottom w:val="nil"/>
                <w:right w:val="nil"/>
                <w:between w:val="nil"/>
              </w:pBdr>
              <w:spacing w:line="276" w:lineRule="auto"/>
              <w:rPr>
                <w:rFonts w:ascii="Lustria" w:eastAsia="Lustria" w:hAnsi="Lustria" w:cs="Lustria"/>
                <w:color w:val="000000"/>
                <w:sz w:val="20"/>
                <w:szCs w:val="20"/>
                <w:lang w:val="sv-SE"/>
              </w:rPr>
            </w:pPr>
            <w:r w:rsidRPr="00F32776">
              <w:rPr>
                <w:rFonts w:ascii="Lustria" w:eastAsia="Lustria" w:hAnsi="Lustria" w:cs="Lustria"/>
                <w:color w:val="000000"/>
                <w:sz w:val="20"/>
                <w:szCs w:val="20"/>
                <w:lang w:val="sv-SE"/>
              </w:rPr>
              <w:t>____________________</w:t>
            </w:r>
          </w:p>
          <w:p w14:paraId="2437E1B9" w14:textId="77777777" w:rsidR="00C30472" w:rsidRPr="00F32776" w:rsidRDefault="001366A2" w:rsidP="00273E5A">
            <w:pPr>
              <w:pBdr>
                <w:top w:val="nil"/>
                <w:left w:val="nil"/>
                <w:bottom w:val="nil"/>
                <w:right w:val="nil"/>
                <w:between w:val="nil"/>
              </w:pBdr>
              <w:rPr>
                <w:rFonts w:eastAsia="Times New Roman"/>
                <w:color w:val="000000"/>
                <w:sz w:val="36"/>
                <w:szCs w:val="36"/>
                <w:vertAlign w:val="subscript"/>
                <w:lang w:val="sv-SE"/>
              </w:rPr>
            </w:pPr>
            <w:r w:rsidRPr="00F32776">
              <w:rPr>
                <w:rFonts w:eastAsia="Times New Roman"/>
                <w:i/>
                <w:color w:val="000000"/>
                <w:sz w:val="36"/>
                <w:szCs w:val="36"/>
                <w:vertAlign w:val="subscript"/>
                <w:lang w:val="sv-SE"/>
              </w:rPr>
              <w:t>Sejarah Artikel:</w:t>
            </w:r>
          </w:p>
          <w:p w14:paraId="0EDB35AD" w14:textId="24B5B577" w:rsidR="00C30472" w:rsidRPr="00F32776" w:rsidRDefault="001366A2" w:rsidP="00273E5A">
            <w:pPr>
              <w:pBdr>
                <w:top w:val="nil"/>
                <w:left w:val="nil"/>
                <w:bottom w:val="nil"/>
                <w:right w:val="nil"/>
                <w:between w:val="nil"/>
              </w:pBdr>
              <w:rPr>
                <w:rFonts w:eastAsia="Times New Roman"/>
                <w:color w:val="000000"/>
                <w:sz w:val="36"/>
                <w:szCs w:val="36"/>
                <w:vertAlign w:val="subscript"/>
                <w:lang w:val="sv-SE"/>
              </w:rPr>
            </w:pPr>
            <w:r w:rsidRPr="00F32776">
              <w:rPr>
                <w:rFonts w:eastAsia="Times New Roman"/>
                <w:color w:val="000000"/>
                <w:sz w:val="36"/>
                <w:szCs w:val="36"/>
                <w:vertAlign w:val="subscript"/>
                <w:lang w:val="sv-SE"/>
              </w:rPr>
              <w:t xml:space="preserve">Diterima: </w:t>
            </w:r>
            <w:r w:rsidR="00AE6578">
              <w:rPr>
                <w:rFonts w:eastAsia="Times New Roman"/>
                <w:color w:val="000000"/>
                <w:sz w:val="36"/>
                <w:szCs w:val="36"/>
                <w:vertAlign w:val="subscript"/>
                <w:lang w:val="sv-SE"/>
              </w:rPr>
              <w:t>8</w:t>
            </w:r>
            <w:r w:rsidR="00273E5A" w:rsidRPr="00F32776">
              <w:rPr>
                <w:rFonts w:eastAsia="Times New Roman"/>
                <w:color w:val="000000"/>
                <w:sz w:val="36"/>
                <w:szCs w:val="36"/>
                <w:vertAlign w:val="subscript"/>
                <w:lang w:val="sv-SE"/>
              </w:rPr>
              <w:t>/11/</w:t>
            </w:r>
            <w:r w:rsidRPr="00F32776">
              <w:rPr>
                <w:rFonts w:eastAsia="Times New Roman"/>
                <w:color w:val="000000"/>
                <w:sz w:val="36"/>
                <w:szCs w:val="36"/>
                <w:vertAlign w:val="subscript"/>
                <w:lang w:val="sv-SE"/>
              </w:rPr>
              <w:t>202</w:t>
            </w:r>
            <w:r w:rsidR="00AE6578">
              <w:rPr>
                <w:rFonts w:eastAsia="Times New Roman"/>
                <w:color w:val="000000"/>
                <w:sz w:val="36"/>
                <w:szCs w:val="36"/>
                <w:vertAlign w:val="subscript"/>
                <w:lang w:val="sv-SE"/>
              </w:rPr>
              <w:t>5</w:t>
            </w:r>
          </w:p>
          <w:p w14:paraId="0AA6DB8F" w14:textId="37FE6D51"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AE6578">
              <w:rPr>
                <w:rFonts w:eastAsia="Times New Roman"/>
                <w:color w:val="000000"/>
                <w:sz w:val="36"/>
                <w:szCs w:val="36"/>
                <w:vertAlign w:val="subscript"/>
              </w:rPr>
              <w:t>4</w:t>
            </w:r>
            <w:r w:rsidR="00273E5A">
              <w:rPr>
                <w:rFonts w:eastAsia="Times New Roman"/>
                <w:color w:val="000000"/>
                <w:sz w:val="36"/>
                <w:szCs w:val="36"/>
                <w:vertAlign w:val="subscript"/>
              </w:rPr>
              <w:t>/</w:t>
            </w:r>
            <w:r w:rsidR="00AE6578">
              <w:rPr>
                <w:rFonts w:eastAsia="Times New Roman"/>
                <w:color w:val="000000"/>
                <w:sz w:val="36"/>
                <w:szCs w:val="36"/>
                <w:vertAlign w:val="subscript"/>
              </w:rPr>
              <w:t>6</w:t>
            </w:r>
            <w:r w:rsidR="00273E5A">
              <w:rPr>
                <w:rFonts w:eastAsia="Times New Roman"/>
                <w:color w:val="000000"/>
                <w:sz w:val="36"/>
                <w:szCs w:val="36"/>
                <w:vertAlign w:val="subscript"/>
              </w:rPr>
              <w:t>/</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5A649091"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AE6578">
              <w:rPr>
                <w:rFonts w:eastAsia="Times New Roman"/>
                <w:color w:val="000000"/>
                <w:sz w:val="33"/>
                <w:szCs w:val="33"/>
                <w:vertAlign w:val="subscript"/>
              </w:rPr>
              <w:t>8</w:t>
            </w:r>
            <w:r w:rsidR="00273E5A">
              <w:rPr>
                <w:rFonts w:eastAsia="Times New Roman"/>
                <w:color w:val="000000"/>
                <w:sz w:val="33"/>
                <w:szCs w:val="33"/>
                <w:vertAlign w:val="subscript"/>
              </w:rPr>
              <w:t>/</w:t>
            </w:r>
            <w:r w:rsidR="00AE6578">
              <w:rPr>
                <w:rFonts w:eastAsia="Times New Roman"/>
                <w:color w:val="000000"/>
                <w:sz w:val="33"/>
                <w:szCs w:val="33"/>
                <w:vertAlign w:val="subscript"/>
              </w:rPr>
              <w:t>6</w:t>
            </w:r>
            <w:r w:rsidR="00273E5A">
              <w:rPr>
                <w:rFonts w:eastAsia="Times New Roman"/>
                <w:color w:val="000000"/>
                <w:sz w:val="33"/>
                <w:szCs w:val="33"/>
                <w:vertAlign w:val="subscript"/>
              </w:rPr>
              <w:t>/</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0033F996"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AE6578">
              <w:rPr>
                <w:rFonts w:eastAsia="Times New Roman"/>
                <w:color w:val="000000"/>
                <w:sz w:val="33"/>
                <w:szCs w:val="33"/>
                <w:vertAlign w:val="subscript"/>
              </w:rPr>
              <w:t>10</w:t>
            </w:r>
            <w:r w:rsidR="00273E5A">
              <w:rPr>
                <w:rFonts w:eastAsia="Times New Roman"/>
                <w:color w:val="000000"/>
                <w:sz w:val="33"/>
                <w:szCs w:val="33"/>
                <w:vertAlign w:val="subscript"/>
              </w:rPr>
              <w:t>/</w:t>
            </w:r>
            <w:r w:rsidR="00AE6578">
              <w:rPr>
                <w:rFonts w:eastAsia="Times New Roman"/>
                <w:color w:val="000000"/>
                <w:sz w:val="33"/>
                <w:szCs w:val="33"/>
                <w:vertAlign w:val="subscript"/>
              </w:rPr>
              <w:t>6</w:t>
            </w:r>
            <w:r w:rsidR="00273E5A">
              <w:rPr>
                <w:rFonts w:eastAsia="Times New Roman"/>
                <w:color w:val="000000"/>
                <w:sz w:val="33"/>
                <w:szCs w:val="33"/>
                <w:vertAlign w:val="subscript"/>
              </w:rPr>
              <w:t>/</w:t>
            </w:r>
            <w:r>
              <w:rPr>
                <w:rFonts w:eastAsia="Times New Roman"/>
                <w:color w:val="000000"/>
                <w:sz w:val="33"/>
                <w:szCs w:val="33"/>
                <w:vertAlign w:val="subscript"/>
              </w:rPr>
              <w:t>202</w:t>
            </w:r>
            <w:r w:rsidR="00AE6578">
              <w:rPr>
                <w:rFonts w:eastAsia="Times New Roman"/>
                <w:color w:val="000000"/>
                <w:sz w:val="33"/>
                <w:szCs w:val="33"/>
                <w:vertAlign w:val="subscript"/>
              </w:rPr>
              <w:t>6</w:t>
            </w:r>
          </w:p>
          <w:p w14:paraId="08ED5A9D" w14:textId="6B60454C" w:rsidR="00C30472" w:rsidRDefault="001366A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B8244DB" w14:textId="77777777" w:rsidR="00626B0B" w:rsidRDefault="00626B0B">
            <w:pPr>
              <w:pBdr>
                <w:top w:val="nil"/>
                <w:left w:val="nil"/>
                <w:bottom w:val="nil"/>
                <w:right w:val="nil"/>
                <w:between w:val="nil"/>
              </w:pBdr>
              <w:spacing w:line="276" w:lineRule="auto"/>
              <w:rPr>
                <w:rFonts w:eastAsia="Lustria"/>
                <w:b/>
                <w:color w:val="000000"/>
                <w:sz w:val="22"/>
                <w:szCs w:val="22"/>
                <w:lang w:val="sv-SE"/>
              </w:rPr>
            </w:pPr>
          </w:p>
          <w:p w14:paraId="39FE42EB" w14:textId="64340A76" w:rsidR="00C30472" w:rsidRPr="00626B0B" w:rsidRDefault="001366A2">
            <w:pPr>
              <w:pBdr>
                <w:top w:val="nil"/>
                <w:left w:val="nil"/>
                <w:bottom w:val="nil"/>
                <w:right w:val="nil"/>
                <w:between w:val="nil"/>
              </w:pBdr>
              <w:spacing w:line="276" w:lineRule="auto"/>
              <w:rPr>
                <w:rFonts w:eastAsia="Lustria"/>
                <w:color w:val="000000"/>
                <w:sz w:val="22"/>
                <w:szCs w:val="22"/>
                <w:lang w:val="sv-SE"/>
              </w:rPr>
            </w:pPr>
            <w:r w:rsidRPr="00626B0B">
              <w:rPr>
                <w:rFonts w:eastAsia="Lustria"/>
                <w:b/>
                <w:color w:val="000000"/>
                <w:sz w:val="22"/>
                <w:szCs w:val="22"/>
                <w:lang w:val="sv-SE"/>
              </w:rPr>
              <w:t>ABSTRAK</w:t>
            </w:r>
          </w:p>
          <w:p w14:paraId="6A5A1759" w14:textId="0ED8B404" w:rsidR="00C30472" w:rsidRPr="00F32776" w:rsidRDefault="001366A2">
            <w:pPr>
              <w:pBdr>
                <w:top w:val="nil"/>
                <w:left w:val="nil"/>
                <w:bottom w:val="nil"/>
                <w:right w:val="nil"/>
                <w:between w:val="nil"/>
              </w:pBdr>
              <w:jc w:val="both"/>
              <w:rPr>
                <w:rFonts w:eastAsia="Lustria"/>
                <w:color w:val="000000"/>
                <w:sz w:val="22"/>
                <w:szCs w:val="22"/>
                <w:lang w:val="sv-SE"/>
              </w:rPr>
            </w:pPr>
            <w:r w:rsidRPr="00F32776">
              <w:rPr>
                <w:rFonts w:eastAsia="Lustria"/>
                <w:color w:val="000000"/>
                <w:sz w:val="22"/>
                <w:szCs w:val="22"/>
                <w:lang w:val="sv-SE"/>
              </w:rPr>
              <w:t>____________________________________________________________</w:t>
            </w:r>
          </w:p>
          <w:p w14:paraId="0C0D7EC5" w14:textId="5C6F46A4" w:rsidR="00F4082F" w:rsidRPr="00F4082F" w:rsidRDefault="00F4082F" w:rsidP="00626B0B">
            <w:pPr>
              <w:jc w:val="both"/>
              <w:rPr>
                <w:sz w:val="22"/>
                <w:szCs w:val="22"/>
                <w:lang w:val="sv-SE"/>
              </w:rPr>
            </w:pPr>
            <w:r w:rsidRPr="00F4082F">
              <w:rPr>
                <w:sz w:val="22"/>
                <w:szCs w:val="22"/>
                <w:lang w:val="sv-SE"/>
              </w:rPr>
              <w:t xml:space="preserve">Penelitian </w:t>
            </w:r>
            <w:r w:rsidR="00F32776" w:rsidRPr="00F32776">
              <w:rPr>
                <w:sz w:val="22"/>
                <w:szCs w:val="22"/>
                <w:lang w:val="sv-SE"/>
              </w:rPr>
              <w:t xml:space="preserve">ini dilatarbelakangi oleh </w:t>
            </w:r>
            <w:r w:rsidR="007A0435">
              <w:rPr>
                <w:sz w:val="22"/>
                <w:szCs w:val="22"/>
                <w:lang w:val="sv-SE"/>
              </w:rPr>
              <w:t>pengamatan penulis terhadap perkembangan</w:t>
            </w:r>
            <w:r w:rsidR="00F32776" w:rsidRPr="00F32776">
              <w:rPr>
                <w:sz w:val="22"/>
                <w:szCs w:val="22"/>
                <w:lang w:val="sv-SE"/>
              </w:rPr>
              <w:t xml:space="preserve"> relativisme epistemologis dalam pemikiran posmodern yang menolak klaim kebenaran universal, termasuk klaim Injil sebagai kebenaran absolut</w:t>
            </w:r>
            <w:r w:rsidR="007A0435">
              <w:rPr>
                <w:sz w:val="22"/>
                <w:szCs w:val="22"/>
                <w:lang w:val="sv-SE"/>
              </w:rPr>
              <w:t xml:space="preserve"> dalam kekristena</w:t>
            </w:r>
            <w:r w:rsidR="007A4F1D">
              <w:rPr>
                <w:sz w:val="22"/>
                <w:szCs w:val="22"/>
                <w:lang w:val="sv-SE"/>
              </w:rPr>
              <w:t>n</w:t>
            </w:r>
            <w:r w:rsidR="00F32776" w:rsidRPr="00F32776">
              <w:rPr>
                <w:sz w:val="22"/>
                <w:szCs w:val="22"/>
                <w:lang w:val="sv-SE"/>
              </w:rPr>
              <w:t xml:space="preserve">. Kondisi ini menimbulkan tantangan teologis bagi gereja dalam mempertahankan dan mengomunikasikan iman Kristen di tengah masyarakat yang plural dan relativistik. Oleh karena itu, penelitian ini diarahkan untuk mengkaji hubungan antara pemikiran posmodern dan iman Kristen, khususnya dalam menghadapi tantangan relativisme epistemologis terhadap klaim Injil sebagai kebenaran absolut. </w:t>
            </w:r>
            <w:r w:rsidR="00F32776" w:rsidRPr="00547D68">
              <w:rPr>
                <w:sz w:val="22"/>
                <w:szCs w:val="22"/>
              </w:rPr>
              <w:t>Penelitian ini menggunakan pendekatan kualitatif dengan metode studi pustaka</w:t>
            </w:r>
            <w:r w:rsidRPr="00F4082F">
              <w:rPr>
                <w:sz w:val="22"/>
                <w:szCs w:val="22"/>
                <w:lang w:val="sv-SE"/>
              </w:rPr>
              <w:t>.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14:paraId="1D3E9357" w14:textId="5FF93593" w:rsidR="00C30472" w:rsidRPr="00F32776" w:rsidRDefault="001366A2">
            <w:pPr>
              <w:pBdr>
                <w:top w:val="nil"/>
                <w:left w:val="nil"/>
                <w:bottom w:val="nil"/>
                <w:right w:val="nil"/>
                <w:between w:val="nil"/>
              </w:pBdr>
              <w:spacing w:line="276" w:lineRule="auto"/>
              <w:jc w:val="both"/>
              <w:rPr>
                <w:rFonts w:eastAsia="Times New Roman"/>
                <w:color w:val="000000"/>
                <w:sz w:val="22"/>
                <w:szCs w:val="22"/>
                <w:lang w:val="sv-SE"/>
              </w:rPr>
            </w:pPr>
            <w:r w:rsidRPr="00F32776">
              <w:rPr>
                <w:rFonts w:eastAsia="Times New Roman"/>
                <w:color w:val="000000"/>
                <w:sz w:val="22"/>
                <w:szCs w:val="22"/>
                <w:lang w:val="sv-SE"/>
              </w:rPr>
              <w:t>_________________________________________________</w:t>
            </w:r>
          </w:p>
          <w:p w14:paraId="04A73A90" w14:textId="77777777" w:rsidR="00C30472" w:rsidRPr="00F32776" w:rsidRDefault="001366A2">
            <w:pPr>
              <w:pBdr>
                <w:top w:val="nil"/>
                <w:left w:val="nil"/>
                <w:bottom w:val="nil"/>
                <w:right w:val="nil"/>
                <w:between w:val="nil"/>
              </w:pBdr>
              <w:rPr>
                <w:rFonts w:eastAsia="Times New Roman"/>
                <w:b/>
                <w:i/>
                <w:color w:val="000000"/>
                <w:sz w:val="22"/>
                <w:szCs w:val="22"/>
                <w:lang w:val="sv-SE"/>
              </w:rPr>
            </w:pPr>
            <w:r w:rsidRPr="00F32776">
              <w:rPr>
                <w:rFonts w:eastAsia="Times New Roman"/>
                <w:b/>
                <w:i/>
                <w:color w:val="000000"/>
                <w:sz w:val="22"/>
                <w:szCs w:val="22"/>
                <w:lang w:val="sv-SE"/>
              </w:rPr>
              <w:t>Kata Kunci:</w:t>
            </w:r>
          </w:p>
          <w:p w14:paraId="1E7E6481" w14:textId="0712E944" w:rsidR="00C30472" w:rsidRPr="00F32776" w:rsidRDefault="00F4082F">
            <w:pPr>
              <w:pBdr>
                <w:top w:val="nil"/>
                <w:left w:val="nil"/>
                <w:bottom w:val="nil"/>
                <w:right w:val="nil"/>
                <w:between w:val="nil"/>
              </w:pBdr>
              <w:rPr>
                <w:rFonts w:eastAsia="Times New Roman"/>
                <w:i/>
                <w:color w:val="000000"/>
                <w:sz w:val="22"/>
                <w:szCs w:val="22"/>
                <w:lang w:val="sv-SE"/>
              </w:rPr>
            </w:pPr>
            <w:r w:rsidRPr="00F32776">
              <w:rPr>
                <w:rFonts w:eastAsia="Times New Roman"/>
                <w:color w:val="000000"/>
                <w:sz w:val="22"/>
                <w:szCs w:val="22"/>
                <w:lang w:val="sv-SE"/>
              </w:rPr>
              <w:t xml:space="preserve">Postmodern, relativisme, kebenaran absolut, filsafat </w:t>
            </w:r>
            <w:r w:rsidR="005B38A1">
              <w:rPr>
                <w:rFonts w:eastAsia="Times New Roman"/>
                <w:color w:val="000000"/>
                <w:sz w:val="22"/>
                <w:szCs w:val="22"/>
                <w:lang w:val="sv-SE"/>
              </w:rPr>
              <w:t>Kristen</w:t>
            </w:r>
            <w:r w:rsidR="001366A2" w:rsidRPr="00F32776">
              <w:rPr>
                <w:rFonts w:eastAsia="Times New Roman"/>
                <w:i/>
                <w:color w:val="000000"/>
                <w:sz w:val="22"/>
                <w:szCs w:val="22"/>
                <w:lang w:val="sv-SE"/>
              </w:rPr>
              <w:t>.</w:t>
            </w:r>
          </w:p>
          <w:p w14:paraId="6FE5072E" w14:textId="0942D6B8" w:rsidR="00F4082F" w:rsidRPr="00626B0B" w:rsidRDefault="001366A2" w:rsidP="00626B0B">
            <w:pPr>
              <w:pBdr>
                <w:top w:val="nil"/>
                <w:left w:val="nil"/>
                <w:bottom w:val="nil"/>
                <w:right w:val="nil"/>
                <w:between w:val="nil"/>
              </w:pBdr>
              <w:spacing w:line="276" w:lineRule="auto"/>
              <w:rPr>
                <w:rFonts w:eastAsia="Times New Roman"/>
                <w:color w:val="000000"/>
                <w:sz w:val="22"/>
                <w:szCs w:val="22"/>
              </w:rPr>
            </w:pPr>
            <w:r w:rsidRPr="00F4082F">
              <w:rPr>
                <w:rFonts w:eastAsia="Times New Roman"/>
                <w:color w:val="000000"/>
                <w:sz w:val="22"/>
                <w:szCs w:val="22"/>
              </w:rPr>
              <w:t>___________________________________________________________</w:t>
            </w:r>
          </w:p>
          <w:p w14:paraId="649911D4" w14:textId="77777777" w:rsidR="00626B0B" w:rsidRDefault="00626B0B">
            <w:pPr>
              <w:pBdr>
                <w:top w:val="nil"/>
                <w:left w:val="nil"/>
                <w:bottom w:val="nil"/>
                <w:right w:val="nil"/>
                <w:between w:val="nil"/>
              </w:pBdr>
              <w:spacing w:line="276" w:lineRule="auto"/>
              <w:jc w:val="both"/>
              <w:rPr>
                <w:rFonts w:eastAsia="Times New Roman"/>
                <w:b/>
                <w:i/>
                <w:color w:val="000000"/>
                <w:sz w:val="22"/>
                <w:szCs w:val="22"/>
              </w:rPr>
            </w:pPr>
          </w:p>
          <w:p w14:paraId="75E9998A" w14:textId="0F98664B" w:rsidR="00C30472" w:rsidRPr="00626B0B" w:rsidRDefault="001366A2">
            <w:pPr>
              <w:pBdr>
                <w:top w:val="nil"/>
                <w:left w:val="nil"/>
                <w:bottom w:val="nil"/>
                <w:right w:val="nil"/>
                <w:between w:val="nil"/>
              </w:pBdr>
              <w:spacing w:line="276" w:lineRule="auto"/>
              <w:jc w:val="both"/>
              <w:rPr>
                <w:rFonts w:eastAsia="Times New Roman"/>
                <w:b/>
                <w:i/>
                <w:color w:val="000000"/>
                <w:sz w:val="22"/>
                <w:szCs w:val="22"/>
              </w:rPr>
            </w:pPr>
            <w:r w:rsidRPr="00626B0B">
              <w:rPr>
                <w:rFonts w:eastAsia="Times New Roman"/>
                <w:b/>
                <w:i/>
                <w:color w:val="000000"/>
                <w:sz w:val="22"/>
                <w:szCs w:val="22"/>
              </w:rPr>
              <w:t>ABSTRACT</w:t>
            </w:r>
          </w:p>
          <w:p w14:paraId="1DB43061" w14:textId="77777777"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color w:val="000000"/>
                <w:sz w:val="22"/>
                <w:szCs w:val="22"/>
              </w:rPr>
              <w:t>___________________________________________________________</w:t>
            </w:r>
          </w:p>
          <w:p w14:paraId="44D1E0EB" w14:textId="3136078B" w:rsidR="003A4350" w:rsidRPr="00F4082F" w:rsidRDefault="00F32776" w:rsidP="00626B0B">
            <w:pPr>
              <w:pBdr>
                <w:top w:val="nil"/>
                <w:left w:val="nil"/>
                <w:bottom w:val="nil"/>
                <w:right w:val="nil"/>
                <w:between w:val="nil"/>
              </w:pBdr>
              <w:jc w:val="both"/>
              <w:rPr>
                <w:rFonts w:eastAsia="Times New Roman"/>
                <w:i/>
                <w:color w:val="000000"/>
                <w:sz w:val="22"/>
                <w:szCs w:val="22"/>
              </w:rPr>
            </w:pPr>
            <w:r w:rsidRPr="005A0EB8">
              <w:rPr>
                <w:i/>
                <w:iCs/>
                <w:sz w:val="22"/>
                <w:szCs w:val="22"/>
                <w:lang w:val="en-ID"/>
              </w:rPr>
              <w:t xml:space="preserve">This study is motivated by the rise of epistemological relativism in postmodern thought, which rejects claims to universal truth, including the claim that the Gospel is absolute truth. This situation poses a theological challenge for the church in upholding and communicating the Christian faith within a pluralistic and relativistic society. Therefore, this study aims to examine the relationship between postmodern thought and the Christian </w:t>
            </w:r>
            <w:r w:rsidRPr="005A0EB8">
              <w:rPr>
                <w:i/>
                <w:iCs/>
                <w:sz w:val="22"/>
                <w:szCs w:val="22"/>
                <w:lang w:val="en-ID"/>
              </w:rPr>
              <w:lastRenderedPageBreak/>
              <w:t xml:space="preserve">faith, particularly in addressing the challenge of epistemological relativism to the claim that the Gospel is </w:t>
            </w:r>
            <w:r w:rsidR="00626B0B">
              <w:rPr>
                <w:i/>
                <w:iCs/>
                <w:sz w:val="22"/>
                <w:szCs w:val="22"/>
                <w:lang w:val="en-ID"/>
              </w:rPr>
              <w:t xml:space="preserve">the </w:t>
            </w:r>
            <w:r w:rsidRPr="005A0EB8">
              <w:rPr>
                <w:i/>
                <w:iCs/>
                <w:sz w:val="22"/>
                <w:szCs w:val="22"/>
                <w:lang w:val="en-ID"/>
              </w:rPr>
              <w:t xml:space="preserve">absolute truth. This study employs a qualitative approach using a literature review method. The analysis is conducted in a descriptive-analytical and critical manner, that is, by outlining the key ideas of postmodernism and evaluating them in the light of the Christian faith. The results of the study indicate that although postmodernism challenges </w:t>
            </w:r>
            <w:r w:rsidR="00626B0B">
              <w:rPr>
                <w:i/>
                <w:iCs/>
                <w:sz w:val="22"/>
                <w:szCs w:val="22"/>
                <w:lang w:val="en-ID"/>
              </w:rPr>
              <w:t xml:space="preserve">the </w:t>
            </w:r>
            <w:r w:rsidRPr="005A0EB8">
              <w:rPr>
                <w:i/>
                <w:iCs/>
                <w:sz w:val="22"/>
                <w:szCs w:val="22"/>
                <w:lang w:val="en-ID"/>
              </w:rPr>
              <w:t>claim of absolute truth, it also opens opportunities for constructive dialogue for the church to reaffirm the relevance of the Gospel in the context of the contemporary world. Thus, this study contributes to enriching a critical and reflective theological understanding of the Christian faith’s response to postmodern discourse</w:t>
            </w:r>
            <w:r>
              <w:rPr>
                <w:i/>
                <w:iCs/>
                <w:sz w:val="22"/>
                <w:szCs w:val="22"/>
                <w:lang w:val="en-ID"/>
              </w:rPr>
              <w:t>.</w:t>
            </w:r>
          </w:p>
          <w:p w14:paraId="61514CC2" w14:textId="2E8F26D7" w:rsidR="00C30472" w:rsidRPr="00F4082F" w:rsidRDefault="001366A2">
            <w:pPr>
              <w:pBdr>
                <w:top w:val="nil"/>
                <w:left w:val="nil"/>
                <w:bottom w:val="nil"/>
                <w:right w:val="nil"/>
                <w:between w:val="nil"/>
              </w:pBdr>
              <w:rPr>
                <w:rFonts w:eastAsia="Times New Roman"/>
                <w:i/>
                <w:color w:val="000000"/>
                <w:sz w:val="22"/>
                <w:szCs w:val="22"/>
              </w:rPr>
            </w:pPr>
            <w:r w:rsidRPr="00F4082F">
              <w:rPr>
                <w:rFonts w:eastAsia="Times New Roman"/>
                <w:i/>
                <w:color w:val="000000"/>
                <w:sz w:val="22"/>
                <w:szCs w:val="22"/>
              </w:rPr>
              <w:t>___________________________________________________</w:t>
            </w:r>
          </w:p>
          <w:p w14:paraId="06FAA9F6"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Keywords:</w:t>
            </w:r>
          </w:p>
          <w:p w14:paraId="59570307" w14:textId="143647A2" w:rsidR="00C30472" w:rsidRPr="00F4082F" w:rsidRDefault="00BA74A8">
            <w:pPr>
              <w:pBdr>
                <w:top w:val="nil"/>
                <w:left w:val="nil"/>
                <w:bottom w:val="nil"/>
                <w:right w:val="nil"/>
                <w:between w:val="nil"/>
              </w:pBdr>
              <w:rPr>
                <w:rFonts w:eastAsia="Times New Roman"/>
                <w:i/>
                <w:iCs/>
                <w:color w:val="000000"/>
                <w:sz w:val="22"/>
                <w:szCs w:val="22"/>
              </w:rPr>
            </w:pPr>
            <w:r w:rsidRPr="00F4082F">
              <w:rPr>
                <w:rFonts w:eastAsia="Times New Roman"/>
                <w:i/>
                <w:iCs/>
                <w:color w:val="000000"/>
                <w:sz w:val="22"/>
                <w:szCs w:val="22"/>
              </w:rPr>
              <w:t xml:space="preserve">Postmodernism, relativism, </w:t>
            </w:r>
            <w:r w:rsidR="00626B0B">
              <w:rPr>
                <w:rFonts w:eastAsia="Times New Roman"/>
                <w:i/>
                <w:iCs/>
                <w:color w:val="000000"/>
                <w:sz w:val="22"/>
                <w:szCs w:val="22"/>
              </w:rPr>
              <w:t>absolutism</w:t>
            </w:r>
            <w:r w:rsidR="00F4082F" w:rsidRPr="00F4082F">
              <w:rPr>
                <w:rFonts w:eastAsia="Times New Roman"/>
                <w:i/>
                <w:iCs/>
                <w:color w:val="000000"/>
                <w:sz w:val="22"/>
                <w:szCs w:val="22"/>
              </w:rPr>
              <w:t>, Christian philosophy</w:t>
            </w:r>
          </w:p>
          <w:p w14:paraId="7A1C1A60"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Times New Roman"/>
                <w:color w:val="000000"/>
                <w:sz w:val="22"/>
                <w:szCs w:val="22"/>
              </w:rPr>
              <w:t>___________________________________________________________</w:t>
            </w:r>
          </w:p>
          <w:p w14:paraId="232CD83A" w14:textId="77777777" w:rsidR="00C30472" w:rsidRPr="00F4082F" w:rsidRDefault="00C30472">
            <w:pPr>
              <w:pBdr>
                <w:top w:val="nil"/>
                <w:left w:val="nil"/>
                <w:bottom w:val="nil"/>
                <w:right w:val="nil"/>
                <w:between w:val="nil"/>
              </w:pBdr>
              <w:jc w:val="both"/>
              <w:rPr>
                <w:rFonts w:eastAsia="EB Garamond"/>
                <w:color w:val="000000"/>
                <w:sz w:val="22"/>
                <w:szCs w:val="22"/>
              </w:rPr>
            </w:pPr>
          </w:p>
        </w:tc>
      </w:tr>
    </w:tbl>
    <w:p w14:paraId="322324AD" w14:textId="77777777" w:rsidR="00626B0B" w:rsidRDefault="00626B0B">
      <w:pPr>
        <w:jc w:val="both"/>
        <w:rPr>
          <w:b/>
        </w:rPr>
      </w:pPr>
    </w:p>
    <w:p w14:paraId="5A76EF67" w14:textId="30331115" w:rsidR="00C30472" w:rsidRDefault="001366A2">
      <w:pPr>
        <w:jc w:val="both"/>
        <w:rPr>
          <w:b/>
        </w:rPr>
      </w:pPr>
      <w:r>
        <w:rPr>
          <w:b/>
        </w:rPr>
        <w:t>PENDAHULUAN</w:t>
      </w:r>
    </w:p>
    <w:p w14:paraId="33DEDEDE" w14:textId="407DE4E5" w:rsidR="00EC38BA" w:rsidRPr="00EC38BA" w:rsidRDefault="00EC38BA" w:rsidP="005B38A1">
      <w:pPr>
        <w:jc w:val="both"/>
        <w:rPr>
          <w:lang w:val="sv-SE"/>
        </w:rPr>
      </w:pPr>
      <w:r w:rsidRPr="00EC38BA">
        <w:rPr>
          <w:lang w:val="sv-SE"/>
        </w:rPr>
        <w:t>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RPr="00EC38BA">
        <w:rPr>
          <w:rStyle w:val="ReferensiCatatanKaki"/>
          <w:lang w:val="sv-SE"/>
        </w:rPr>
        <w:footnoteReference w:id="1"/>
      </w:r>
      <w:r w:rsidRPr="00EC38BA">
        <w:rPr>
          <w:lang w:val="sv-SE"/>
        </w:rPr>
        <w:t xml:space="preserve"> Pergeseran ini tidak hanya mengguncang dunia filsafat, tetapi juga menimbulkan dampak signifikan bagi sosiologi dan teologi. Salah satu ciri sentral posmodernisme adalah relativisme epistemologis</w:t>
      </w:r>
      <w:r w:rsidR="00626B0B">
        <w:rPr>
          <w:lang w:val="sv-SE"/>
        </w:rPr>
        <w:t>,</w:t>
      </w:r>
      <w:r w:rsidRPr="00EC38BA">
        <w:rPr>
          <w:lang w:val="sv-SE"/>
        </w:rPr>
        <w:t xml:space="preserve"> pandangan yang menegaskan bahwa kebenaran selalu bergantung pada perspektif individu atau komunitas tertentu. Dalam kerangka ini, setiap klaim kebenaran dianggap sah sejauh </w:t>
      </w:r>
      <w:r w:rsidR="00626B0B">
        <w:rPr>
          <w:lang w:val="sv-SE"/>
        </w:rPr>
        <w:t>relevan</w:t>
      </w:r>
      <w:r w:rsidRPr="00EC38BA">
        <w:rPr>
          <w:lang w:val="sv-SE"/>
        </w:rPr>
        <w:t xml:space="preserve"> dalam konteks sosial tertentu, tanpa mengacu pada standar universal yang berlaku untuk semua.</w:t>
      </w:r>
      <w:r w:rsidRPr="00EC38BA">
        <w:rPr>
          <w:rStyle w:val="ReferensiCatatanKaki"/>
          <w:lang w:val="sv-SE"/>
        </w:rPr>
        <w:footnoteReference w:id="2"/>
      </w:r>
      <w:r w:rsidRPr="00EC38BA">
        <w:rPr>
          <w:lang w:val="sv-SE"/>
        </w:rPr>
        <w:t xml:space="preserve"> Pemahaman ini menggeser konsep kebenaran dari sifatnya yang tetap dan mutlak</w:t>
      </w:r>
      <w:r w:rsidR="005B38A1">
        <w:rPr>
          <w:lang w:val="sv-SE"/>
        </w:rPr>
        <w:t>,</w:t>
      </w:r>
      <w:r w:rsidRPr="00EC38BA">
        <w:rPr>
          <w:lang w:val="sv-SE"/>
        </w:rPr>
        <w:t xml:space="preserve"> yang selama berabad-abad menjadi pilar dalam filsafat klasik dan tradisi keagamaan</w:t>
      </w:r>
      <w:r w:rsidR="005B38A1">
        <w:rPr>
          <w:lang w:val="sv-SE"/>
        </w:rPr>
        <w:t>,</w:t>
      </w:r>
      <w:r w:rsidRPr="00EC38BA">
        <w:rPr>
          <w:lang w:val="sv-SE"/>
        </w:rPr>
        <w:t xml:space="preserve"> menjadi sesuatu</w:t>
      </w:r>
      <w:r w:rsidRPr="00F32776">
        <w:rPr>
          <w:rStyle w:val="ReferensiKomentar"/>
          <w:sz w:val="24"/>
          <w:szCs w:val="24"/>
          <w:lang w:val="sv-SE"/>
        </w:rPr>
        <w:t xml:space="preserve"> y</w:t>
      </w:r>
      <w:r w:rsidRPr="00EC38BA">
        <w:rPr>
          <w:lang w:val="sv-SE"/>
        </w:rPr>
        <w:t>ang lentur, cair, dan dapat dinegosiasikan.</w:t>
      </w:r>
    </w:p>
    <w:p w14:paraId="093696BE" w14:textId="77777777" w:rsidR="005B38A1" w:rsidRDefault="00EC38BA" w:rsidP="005B38A1">
      <w:pPr>
        <w:ind w:firstLine="851"/>
        <w:jc w:val="both"/>
        <w:rPr>
          <w:lang w:val="sv-SE"/>
        </w:rPr>
      </w:pPr>
      <w:r w:rsidRPr="00EC38BA">
        <w:rPr>
          <w:lang w:val="sv-SE"/>
        </w:rPr>
        <w:t>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RPr="00EC38BA">
        <w:rPr>
          <w:rStyle w:val="ReferensiCatatanKaki"/>
          <w:lang w:val="sv-SE"/>
        </w:rPr>
        <w:footnoteReference w:id="3"/>
      </w:r>
      <w:r w:rsidRPr="00EC38BA">
        <w:rPr>
          <w:lang w:val="sv-SE"/>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w:t>
      </w:r>
      <w:r w:rsidRPr="00EC38BA">
        <w:rPr>
          <w:lang w:val="sv-SE"/>
        </w:rPr>
        <w:lastRenderedPageBreak/>
        <w:t>untuk menegaskan kembali bahwa kebenaran Kristen bersifat transhistoris, melampaui batas budaya dan relativisme zaman.</w:t>
      </w:r>
    </w:p>
    <w:p w14:paraId="34E00501" w14:textId="77777777" w:rsidR="005B38A1" w:rsidRDefault="00EC38BA" w:rsidP="005B38A1">
      <w:pPr>
        <w:ind w:firstLine="851"/>
        <w:jc w:val="both"/>
        <w:rPr>
          <w:lang w:val="sv-SE"/>
        </w:rPr>
      </w:pPr>
      <w:r w:rsidRPr="00EC38BA">
        <w:rPr>
          <w:lang w:val="sv-SE"/>
        </w:rPr>
        <w:t>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posmodernisme.</w:t>
      </w:r>
      <w:r w:rsidRPr="00EC38BA">
        <w:rPr>
          <w:rStyle w:val="ReferensiCatatanKaki"/>
          <w:lang w:val="sv-SE"/>
        </w:rPr>
        <w:footnoteReference w:id="4"/>
      </w:r>
      <w:r w:rsidRPr="00EC38BA">
        <w:rPr>
          <w:lang w:val="sv-SE"/>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w:t>
      </w:r>
      <w:r w:rsidR="00626B0B">
        <w:rPr>
          <w:lang w:val="sv-SE"/>
        </w:rPr>
        <w:t>,</w:t>
      </w:r>
      <w:r w:rsidRPr="00EC38BA">
        <w:rPr>
          <w:lang w:val="sv-SE"/>
        </w:rPr>
        <w:t xml:space="preserve"> terutama dalam klaim objektivitas yang terlalu mutlak</w:t>
      </w:r>
      <w:r w:rsidR="005B38A1">
        <w:rPr>
          <w:lang w:val="sv-SE"/>
        </w:rPr>
        <w:t>,</w:t>
      </w:r>
      <w:r w:rsidRPr="00EC38BA">
        <w:rPr>
          <w:lang w:val="sv-SE"/>
        </w:rPr>
        <w:t xml:space="preserve"> penolakan total terhadap kebenaran objektif bertentangan secara langsung dengan inti Injil. Dalam perspektif Alkitab, kebenaran bukan sekadar kumpulan proposisi yang dapat 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RPr="00EC38BA">
        <w:rPr>
          <w:rStyle w:val="ReferensiCatatanKaki"/>
          <w:lang w:val="sv-SE"/>
        </w:rPr>
        <w:footnoteReference w:id="5"/>
      </w:r>
      <w:r w:rsidRPr="00EC38BA">
        <w:rPr>
          <w:lang w:val="sv-SE"/>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6F3F4A10" w14:textId="77777777" w:rsidR="005B38A1" w:rsidRDefault="00EC38BA" w:rsidP="005B38A1">
      <w:pPr>
        <w:ind w:firstLine="851"/>
        <w:jc w:val="both"/>
        <w:rPr>
          <w:lang w:val="sv-SE"/>
        </w:rPr>
      </w:pPr>
      <w:r w:rsidRPr="00EC38BA">
        <w:rPr>
          <w:lang w:val="sv-SE"/>
        </w:rPr>
        <w:t xml:space="preserve">Beriringan dengan menguatnya arus pemikiran yang menolak segala bentuk klaim kebenaran absolut, timbul pertanyaan mendasar bagi umat percaya: apakah gereja masa kini masih dapat menegaskan kemutlakan kebenaran Injil tanpa terjebak </w:t>
      </w:r>
      <w:r w:rsidR="00626B0B">
        <w:rPr>
          <w:lang w:val="sv-SE"/>
        </w:rPr>
        <w:t>dalam</w:t>
      </w:r>
      <w:r w:rsidRPr="00EC38BA">
        <w:rPr>
          <w:lang w:val="sv-SE"/>
        </w:rPr>
        <w:t xml:space="preserve"> kesan eksklusivisme yang dianggap usang atau tidak relevan dalam bingkai budaya posmodern?</w:t>
      </w:r>
      <w:r w:rsidRPr="00EC38BA">
        <w:rPr>
          <w:rStyle w:val="ReferensiCatatanKaki"/>
          <w:lang w:val="sv-SE"/>
        </w:rPr>
        <w:footnoteReference w:id="6"/>
      </w:r>
      <w:r w:rsidRPr="00EC38BA">
        <w:rPr>
          <w:lang w:val="sv-SE"/>
        </w:rPr>
        <w:t xml:space="preserve"> Lebih jauh, patutkah Injil dipandang sekadar sebagai salah satu narasi religius di antara beragam wacana spiritual yang secara epistemologis disejajarkan,</w:t>
      </w:r>
      <w:r w:rsidRPr="00EC38BA">
        <w:rPr>
          <w:rStyle w:val="ReferensiCatatanKaki"/>
          <w:lang w:val="sv-SE"/>
        </w:rPr>
        <w:footnoteReference w:id="7"/>
      </w:r>
      <w:r w:rsidRPr="00EC38BA">
        <w:rPr>
          <w:lang w:val="sv-SE"/>
        </w:rPr>
        <w:t xml:space="preserve"> ataukah Injil tetap memiliki otoritas ilahi yang unik, transenden, dan tidak tunduk pada konstruksi budaya </w:t>
      </w:r>
      <w:r w:rsidRPr="00EC38BA">
        <w:rPr>
          <w:lang w:val="sv-SE"/>
        </w:rPr>
        <w:lastRenderedPageBreak/>
        <w:t>manusia?</w:t>
      </w:r>
      <w:r w:rsidRPr="00EC38BA">
        <w:rPr>
          <w:rStyle w:val="ReferensiCatatanKaki"/>
          <w:lang w:val="sv-SE"/>
        </w:rPr>
        <w:footnoteReference w:id="8"/>
      </w:r>
      <w:r w:rsidRPr="00EC38BA">
        <w:rPr>
          <w:lang w:val="sv-SE"/>
        </w:rPr>
        <w:t xml:space="preserve"> Pada akhirnya, tantangan terbesar yang perlu dijawab adalah bagaimana gereja dapat </w:t>
      </w:r>
      <w:r w:rsidR="00626B0B">
        <w:rPr>
          <w:lang w:val="sv-SE"/>
        </w:rPr>
        <w:t>mengomunikasikan</w:t>
      </w:r>
      <w:r w:rsidRPr="00EC38BA">
        <w:rPr>
          <w:lang w:val="sv-SE"/>
        </w:rPr>
        <w:t xml:space="preserve"> kebenaran yang kekal dan tak berubah ini secara efektif, sembari menyesuaikan pendekatan dengan dinamika sosial dan paradigma pemikiran dunia yang terus mengalami perubahan.</w:t>
      </w:r>
      <w:r w:rsidRPr="00EC38BA">
        <w:rPr>
          <w:rStyle w:val="ReferensiCatatanKaki"/>
          <w:lang w:val="sv-SE"/>
        </w:rPr>
        <w:footnoteReference w:id="9"/>
      </w:r>
      <w:r w:rsidRPr="00EC38BA">
        <w:rPr>
          <w:lang w:val="sv-SE"/>
        </w:rPr>
        <w:t xml:space="preserve"> Penulis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w:t>
      </w:r>
      <w:r w:rsidR="00F32776" w:rsidRPr="00F32776">
        <w:rPr>
          <w:lang w:val="sv-SE"/>
        </w:rPr>
        <w:t>Beberapa penelitian terdahulu telah mengkaji hubungan antara pemikiran posmodern dan iman Kristen. Priyono dan Tindas dalam artikelnya "Otoritas Alkitab dalam Era Postmodern" menunjukkan bahwa relativisme, dekonstruksi makna, dan skeptisisme terhadap otoritas telah memengaruhi cara masyarakat memandang Kitab Suci, sehingga diperlukan pendekatan hermeneutika yang kontekstual dan pneumatologis untuk mempertahankan otoritas Alkitab.</w:t>
      </w:r>
      <w:r w:rsidR="00F32776">
        <w:rPr>
          <w:rStyle w:val="ReferensiCatatanKaki"/>
        </w:rPr>
        <w:footnoteReference w:id="10"/>
      </w:r>
      <w:r w:rsidR="007055E9">
        <w:rPr>
          <w:lang w:val="sv-SE"/>
        </w:rPr>
        <w:t xml:space="preserve"> Begitu pula </w:t>
      </w:r>
      <w:r w:rsidR="00F32776" w:rsidRPr="00F32776">
        <w:rPr>
          <w:lang w:val="sv-SE"/>
        </w:rPr>
        <w:t xml:space="preserve">Wahyu dan Nesimnasi </w:t>
      </w:r>
      <w:r w:rsidR="007055E9">
        <w:rPr>
          <w:lang w:val="sv-SE"/>
        </w:rPr>
        <w:t xml:space="preserve">mengungkapkan bahwa </w:t>
      </w:r>
      <w:r w:rsidR="00F32776" w:rsidRPr="00F32776">
        <w:rPr>
          <w:lang w:val="sv-SE"/>
        </w:rPr>
        <w:t>penafsiran Alkitab di era postmodern menegaskan bahwa gereja perlu mengembangkan hermeneutika yang mampu menjembatani kesetiaan terhadap Kitab Suci dengan tuntutan konteks budaya kontemporer. Penelitian tersebut berfokus pada strategi penafsiran dan relevansi pelayanan gereja di tengah pluralisme dan relativisme.</w:t>
      </w:r>
      <w:r w:rsidR="00F32776">
        <w:rPr>
          <w:rStyle w:val="ReferensiCatatanKaki"/>
        </w:rPr>
        <w:footnoteReference w:id="11"/>
      </w:r>
      <w:r w:rsidR="00AA4A67">
        <w:rPr>
          <w:lang w:val="sv-SE"/>
        </w:rPr>
        <w:t xml:space="preserve"> </w:t>
      </w:r>
    </w:p>
    <w:p w14:paraId="38CC7AFE" w14:textId="7B57B81E" w:rsidR="00C30472" w:rsidRPr="005B38A1" w:rsidRDefault="00F32776" w:rsidP="005B38A1">
      <w:pPr>
        <w:ind w:firstLine="851"/>
        <w:jc w:val="both"/>
        <w:rPr>
          <w:lang w:val="sv-SE"/>
        </w:rPr>
      </w:pPr>
      <w:r w:rsidRPr="00F32776">
        <w:rPr>
          <w:lang w:val="sv-SE"/>
        </w:rPr>
        <w:t>Meskipun penelitian-penelitian tersebut memberikan kontribusi yang penting dalam memahami dampak posmodernisme terhadap otoritas Alkitab, spiritualitas, hermeneutika, dan kehidupan gereja, belum banyak kajian yang secara khusus mengintegrasikan analisis filosofis mengenai relativisme epistemologis posmodern dengan refleksi teologis mengenai klaim Injil sebagai kebenaran absolut serta implikasinya bagi pelayanan gereja di Indonesia. Oleh karena itu, penelitian ini berupaya mengisi kesenjangan tersebut dengan memadukan analisis filosofis terhadap pemikiran posmodern dengan kajian teologis mengenai kebenaran Injil.</w:t>
      </w:r>
      <w:r w:rsidR="00F840C1">
        <w:rPr>
          <w:lang w:val="sv-SE"/>
        </w:rPr>
        <w:t xml:space="preserve"> </w:t>
      </w:r>
      <w:r w:rsidRPr="00F32776">
        <w:rPr>
          <w:lang w:val="sv-SE"/>
        </w:rPr>
        <w:t xml:space="preserve">Kebaruan </w:t>
      </w:r>
      <w:r w:rsidR="00F840C1">
        <w:rPr>
          <w:lang w:val="sv-SE"/>
        </w:rPr>
        <w:t xml:space="preserve">dari </w:t>
      </w:r>
      <w:r w:rsidRPr="00F32776">
        <w:rPr>
          <w:lang w:val="sv-SE"/>
        </w:rPr>
        <w:t xml:space="preserve">penelitian ini terletak pada dua aspek. </w:t>
      </w:r>
      <w:r w:rsidRPr="00655A28">
        <w:rPr>
          <w:i/>
          <w:iCs/>
          <w:lang w:val="sv-SE"/>
        </w:rPr>
        <w:t>Pertama</w:t>
      </w:r>
      <w:r w:rsidRPr="00F32776">
        <w:rPr>
          <w:lang w:val="sv-SE"/>
        </w:rPr>
        <w:t xml:space="preserve">, penelitian ini mengintegrasikan pendekatan filosofis dan teologis dalam menganalisis tantangan relativisme epistemologis terhadap klaim kebenaran absolut Injil. </w:t>
      </w:r>
      <w:r w:rsidRPr="00655A28">
        <w:rPr>
          <w:i/>
          <w:iCs/>
          <w:lang w:val="sv-SE"/>
        </w:rPr>
        <w:t>Kedua,</w:t>
      </w:r>
      <w:r w:rsidRPr="00F32776">
        <w:rPr>
          <w:lang w:val="sv-SE"/>
        </w:rPr>
        <w:t xml:space="preserve"> penelitian ini menawarkan formulasi respons teologis yang kontekstual bagi gereja Indonesia, sehingga kemutlakan Injil dapat dipertahankan tanpa mengabaikan kebutuhan komunikasi yang relevan dalam konteks budaya posmodern.</w:t>
      </w:r>
    </w:p>
    <w:p w14:paraId="7C6B0941" w14:textId="77777777" w:rsidR="005B38A1" w:rsidRDefault="005B38A1">
      <w:pPr>
        <w:tabs>
          <w:tab w:val="left" w:pos="284"/>
        </w:tabs>
        <w:jc w:val="both"/>
        <w:rPr>
          <w:b/>
          <w:lang w:val="sv-SE"/>
        </w:rPr>
      </w:pPr>
    </w:p>
    <w:p w14:paraId="179730E0" w14:textId="6A0928B1" w:rsidR="00C30472" w:rsidRPr="00F32776" w:rsidRDefault="001366A2">
      <w:pPr>
        <w:tabs>
          <w:tab w:val="left" w:pos="284"/>
        </w:tabs>
        <w:jc w:val="both"/>
        <w:rPr>
          <w:b/>
          <w:lang w:val="sv-SE"/>
        </w:rPr>
      </w:pPr>
      <w:r w:rsidRPr="00F32776">
        <w:rPr>
          <w:b/>
          <w:lang w:val="sv-SE"/>
        </w:rPr>
        <w:t>METODE PENELITIAN</w:t>
      </w:r>
    </w:p>
    <w:p w14:paraId="010E5DEE" w14:textId="77777777" w:rsidR="005B38A1" w:rsidRDefault="00EC38BA" w:rsidP="005B38A1">
      <w:pPr>
        <w:jc w:val="both"/>
        <w:rPr>
          <w:lang w:val="sv-SE"/>
        </w:rPr>
      </w:pPr>
      <w:r w:rsidRPr="00EC38BA">
        <w:rPr>
          <w:lang w:val="sv-SE"/>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w:t>
      </w:r>
      <w:r w:rsidRPr="00EC38BA">
        <w:t xml:space="preserve">Creswell menjelaskan bahwa penelitian kualitatif merupakan sarana yang tepat untuk memahami ide-ide abstrak maupun konsep-konsep yang berkembang dalam ruang lingkup filsafat dan teologi: </w:t>
      </w:r>
      <w:r w:rsidRPr="00EC38BA">
        <w:rPr>
          <w:i/>
          <w:iCs/>
        </w:rPr>
        <w:t xml:space="preserve">“Qualitative research is an approach for exploring and understanding the meaning individuals or groups ascribe to a social or human problem. It often relies on text and image data, has unique steps in data analysis, and draws on diverse </w:t>
      </w:r>
      <w:r w:rsidRPr="00EC38BA">
        <w:rPr>
          <w:i/>
          <w:iCs/>
        </w:rPr>
        <w:lastRenderedPageBreak/>
        <w:t>theoretical lenses.”</w:t>
      </w:r>
      <w:r w:rsidRPr="00EC38BA">
        <w:rPr>
          <w:rStyle w:val="ReferensiCatatanKaki"/>
          <w:i/>
          <w:iCs/>
        </w:rPr>
        <w:footnoteReference w:id="12"/>
      </w:r>
      <w:r w:rsidRPr="00EC38BA">
        <w:t xml:space="preserve"> </w:t>
      </w:r>
      <w:r w:rsidRPr="00EC38BA">
        <w:rPr>
          <w:lang w:val="sv-SE"/>
        </w:rPr>
        <w:t xml:space="preserve">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w:t>
      </w:r>
      <w:r w:rsidR="00626B0B">
        <w:rPr>
          <w:lang w:val="sv-SE"/>
        </w:rPr>
        <w:t>menyintesis</w:t>
      </w:r>
      <w:r w:rsidRPr="00EC38BA">
        <w:rPr>
          <w:lang w:val="sv-SE"/>
        </w:rPr>
        <w:t xml:space="preserve"> gagasan yang relevan, sehingga dapat digunakan untuk menjawab persoalan konseptual dan teoretis.</w:t>
      </w:r>
      <w:r w:rsidRPr="00EC38BA">
        <w:rPr>
          <w:rStyle w:val="ReferensiCatatanKaki"/>
          <w:lang w:val="sv-SE"/>
        </w:rPr>
        <w:footnoteReference w:id="13"/>
      </w:r>
      <w:r w:rsidRPr="00EC38BA">
        <w:rPr>
          <w:lang w:val="sv-SE"/>
        </w:rPr>
        <w:t xml:space="preserve"> Pernyataan ini menegaskan relevansi studi pustaka bagi penelitian yang berorientasi konseptual-teologis. </w:t>
      </w:r>
    </w:p>
    <w:p w14:paraId="6D97A113" w14:textId="3FE55068" w:rsidR="001366A2" w:rsidRPr="00EC38BA" w:rsidRDefault="00EC38BA" w:rsidP="005B38A1">
      <w:pPr>
        <w:ind w:firstLine="851"/>
        <w:jc w:val="both"/>
        <w:rPr>
          <w:lang w:val="sv-SE"/>
        </w:rPr>
      </w:pPr>
      <w:r w:rsidRPr="00EC38BA">
        <w:rPr>
          <w:lang w:val="sv-SE"/>
        </w:rPr>
        <w:t>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w:t>
      </w:r>
      <w:r w:rsidR="00EB4986">
        <w:rPr>
          <w:lang w:val="sv-SE"/>
        </w:rPr>
        <w:t>t</w:t>
      </w:r>
      <w:r w:rsidRPr="00EC38BA">
        <w:rPr>
          <w:lang w:val="sv-SE"/>
        </w:rPr>
        <w:t>modern menghadirkan tantangan sekaligus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14:paraId="6C4811C0" w14:textId="77777777" w:rsidR="00C30472" w:rsidRPr="00F32776" w:rsidRDefault="00C30472">
      <w:pPr>
        <w:jc w:val="both"/>
        <w:rPr>
          <w:b/>
          <w:lang w:val="sv-SE"/>
        </w:rPr>
      </w:pPr>
    </w:p>
    <w:p w14:paraId="23DDDC07" w14:textId="77777777" w:rsidR="00C30472" w:rsidRPr="00F32776" w:rsidRDefault="001366A2">
      <w:pPr>
        <w:jc w:val="both"/>
        <w:rPr>
          <w:b/>
          <w:lang w:val="sv-SE"/>
        </w:rPr>
      </w:pPr>
      <w:r w:rsidRPr="00F32776">
        <w:rPr>
          <w:b/>
          <w:lang w:val="sv-SE"/>
        </w:rPr>
        <w:t>HASIL DAN PEMBAHASAN</w:t>
      </w:r>
    </w:p>
    <w:p w14:paraId="7C0E611F" w14:textId="77777777" w:rsidR="00813C21" w:rsidRPr="00813C21" w:rsidRDefault="00813C21" w:rsidP="005B38A1">
      <w:pPr>
        <w:jc w:val="both"/>
        <w:rPr>
          <w:lang w:val="sv-SE"/>
        </w:rPr>
      </w:pPr>
      <w:r w:rsidRPr="00813C21">
        <w:rPr>
          <w:lang w:val="sv-SE"/>
        </w:rPr>
        <w:t>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RPr="00813C21">
        <w:rPr>
          <w:i/>
          <w:iCs/>
          <w:lang w:val="sv-SE"/>
        </w:rPr>
        <w:t>grand narratives</w:t>
      </w:r>
      <w:r w:rsidRPr="00813C21">
        <w:rPr>
          <w:lang w:val="sv-SE"/>
        </w:rPr>
        <w:t>),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14:paraId="4EB0DA4C" w14:textId="77777777" w:rsidR="00813C21" w:rsidRPr="00813C21" w:rsidRDefault="00813C21" w:rsidP="005B38A1">
      <w:pPr>
        <w:ind w:firstLine="851"/>
        <w:jc w:val="both"/>
        <w:rPr>
          <w:lang w:val="sv-SE"/>
        </w:rPr>
      </w:pPr>
      <w:r w:rsidRPr="00813C21">
        <w:rPr>
          <w:lang w:val="sv-SE"/>
        </w:rPr>
        <w:t xml:space="preserve">Dari perspektif teologi Kristen, penolakan posmodernisme terhadap narasi besar memiliki implikasi serius, terutama terhadap kebenaran Injil yang secara esensial bersifat </w:t>
      </w:r>
      <w:r w:rsidRPr="00813C21">
        <w:rPr>
          <w:lang w:val="sv-SE"/>
        </w:rPr>
        <w:lastRenderedPageBreak/>
        <w:t>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14:paraId="71B36F25" w14:textId="77777777" w:rsidR="00813C21" w:rsidRPr="00813C21" w:rsidRDefault="00813C21" w:rsidP="00813C21">
      <w:pPr>
        <w:ind w:firstLine="720"/>
        <w:jc w:val="both"/>
        <w:rPr>
          <w:lang w:val="sv-SE"/>
        </w:rPr>
      </w:pPr>
    </w:p>
    <w:p w14:paraId="0BBBE0F8" w14:textId="44E26DC5" w:rsidR="00813C21" w:rsidRPr="00813C21" w:rsidRDefault="00813C21" w:rsidP="00813C21">
      <w:pPr>
        <w:jc w:val="both"/>
        <w:rPr>
          <w:b/>
          <w:bCs/>
          <w:lang w:val="sv-SE"/>
        </w:rPr>
      </w:pPr>
      <w:r w:rsidRPr="00813C21">
        <w:rPr>
          <w:b/>
          <w:bCs/>
          <w:lang w:val="sv-SE"/>
        </w:rPr>
        <w:t xml:space="preserve">Posmodernisme dan </w:t>
      </w:r>
      <w:r w:rsidR="005B38A1">
        <w:rPr>
          <w:b/>
          <w:bCs/>
          <w:lang w:val="sv-SE"/>
        </w:rPr>
        <w:t>R</w:t>
      </w:r>
      <w:r w:rsidRPr="00813C21">
        <w:rPr>
          <w:b/>
          <w:bCs/>
          <w:lang w:val="sv-SE"/>
        </w:rPr>
        <w:t xml:space="preserve">elativisme: </w:t>
      </w:r>
      <w:r w:rsidR="005B38A1">
        <w:rPr>
          <w:b/>
          <w:bCs/>
          <w:lang w:val="sv-SE"/>
        </w:rPr>
        <w:t>S</w:t>
      </w:r>
      <w:r w:rsidRPr="00813C21">
        <w:rPr>
          <w:b/>
          <w:bCs/>
          <w:lang w:val="sv-SE"/>
        </w:rPr>
        <w:t xml:space="preserve">ebuah </w:t>
      </w:r>
      <w:r w:rsidR="005B38A1">
        <w:rPr>
          <w:b/>
          <w:bCs/>
          <w:lang w:val="sv-SE"/>
        </w:rPr>
        <w:t>A</w:t>
      </w:r>
      <w:r w:rsidRPr="00813C21">
        <w:rPr>
          <w:b/>
          <w:bCs/>
          <w:lang w:val="sv-SE"/>
        </w:rPr>
        <w:t xml:space="preserve">nalisis </w:t>
      </w:r>
      <w:r w:rsidR="005B38A1">
        <w:rPr>
          <w:b/>
          <w:bCs/>
          <w:lang w:val="sv-SE"/>
        </w:rPr>
        <w:t>F</w:t>
      </w:r>
      <w:r w:rsidRPr="00813C21">
        <w:rPr>
          <w:b/>
          <w:bCs/>
          <w:lang w:val="sv-SE"/>
        </w:rPr>
        <w:t>ilosofis</w:t>
      </w:r>
    </w:p>
    <w:p w14:paraId="41B24DC1" w14:textId="77777777" w:rsidR="00813C21" w:rsidRPr="00813C21" w:rsidRDefault="00813C21" w:rsidP="005B38A1">
      <w:pPr>
        <w:jc w:val="both"/>
        <w:rPr>
          <w:lang w:val="sv-SE"/>
        </w:rPr>
      </w:pPr>
      <w:r w:rsidRPr="00813C21">
        <w:rPr>
          <w:lang w:val="sv-SE"/>
        </w:rPr>
        <w:t>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RPr="00813C21">
        <w:rPr>
          <w:rStyle w:val="ReferensiCatatanKaki"/>
          <w:lang w:val="sv-SE"/>
        </w:rPr>
        <w:footnoteReference w:id="14"/>
      </w:r>
    </w:p>
    <w:p w14:paraId="7EACE725" w14:textId="77777777" w:rsidR="005B38A1" w:rsidRDefault="00813C21" w:rsidP="005B38A1">
      <w:pPr>
        <w:ind w:firstLine="851"/>
        <w:jc w:val="both"/>
        <w:rPr>
          <w:lang w:val="sv-SE"/>
        </w:rPr>
      </w:pPr>
      <w:r w:rsidRPr="00813C21">
        <w:rPr>
          <w:lang w:val="sv-SE"/>
        </w:rPr>
        <w:t xml:space="preserve">Jean-François Lyotard menyebut kondisi posmodern sebagai </w:t>
      </w:r>
      <w:r w:rsidRPr="00813C21">
        <w:rPr>
          <w:i/>
          <w:iCs/>
          <w:lang w:val="sv-SE"/>
        </w:rPr>
        <w:t>incredulity toward metanarratives</w:t>
      </w:r>
      <w:r w:rsidRPr="00813C21">
        <w:rPr>
          <w:lang w:val="sv-SE"/>
        </w:rPr>
        <w:t>, yakni ketidakpercayaan terhadap narasi besar yang berpretensi memiliki otoritas universal atas kebenaran.</w:t>
      </w:r>
      <w:r w:rsidRPr="00813C21">
        <w:rPr>
          <w:rStyle w:val="ReferensiCatatanKaki"/>
          <w:lang w:val="sv-SE"/>
        </w:rPr>
        <w:footnoteReference w:id="15"/>
      </w:r>
      <w:r w:rsidRPr="00813C21">
        <w:rPr>
          <w:lang w:val="sv-SE"/>
        </w:rPr>
        <w:t xml:space="preserve"> Dalam terang teologi, penolakan terhadap metanarasi ini menantang kekristenan untuk menegaskan kembali </w:t>
      </w:r>
      <w:r w:rsidR="00626B0B">
        <w:rPr>
          <w:lang w:val="sv-SE"/>
        </w:rPr>
        <w:t>bahwa Injil bukan sekadar wacana rasional atau narasi historis, melainkan</w:t>
      </w:r>
      <w:r w:rsidRPr="00813C21">
        <w:rPr>
          <w:lang w:val="sv-SE"/>
        </w:rPr>
        <w:t xml:space="preserve"> kebenaran ilahi yang melampaui relativisme.</w:t>
      </w:r>
      <w:r w:rsidRPr="00813C21">
        <w:rPr>
          <w:rStyle w:val="ReferensiCatatanKaki"/>
          <w:lang w:val="sv-SE"/>
        </w:rPr>
        <w:footnoteReference w:id="16"/>
      </w:r>
      <w:r w:rsidRPr="00813C21">
        <w:rPr>
          <w:lang w:val="sv-SE"/>
        </w:rPr>
        <w:t xml:space="preserve"> Dengan demikian, pos</w:t>
      </w:r>
      <w:r w:rsidR="00DB3C6F">
        <w:rPr>
          <w:lang w:val="sv-SE"/>
        </w:rPr>
        <w:t>t</w:t>
      </w:r>
      <w:r w:rsidRPr="00813C21">
        <w:rPr>
          <w:lang w:val="sv-SE"/>
        </w:rPr>
        <w:t>modernisme menjadi medan pergumulan bagi iman Kristen untuk menghadirkan Injil secara kontekstual, namun tetap setia pada klaim kebenaran absolut yang bersumber dari wahyu Allah.</w:t>
      </w:r>
      <w:r w:rsidRPr="00813C21">
        <w:rPr>
          <w:rStyle w:val="ReferensiCatatanKaki"/>
          <w:lang w:val="sv-SE"/>
        </w:rPr>
        <w:footnoteReference w:id="17"/>
      </w:r>
    </w:p>
    <w:p w14:paraId="4DFB74E5" w14:textId="77777777" w:rsidR="005B38A1" w:rsidRDefault="00813C21" w:rsidP="005B38A1">
      <w:pPr>
        <w:ind w:firstLine="851"/>
        <w:jc w:val="both"/>
        <w:rPr>
          <w:lang w:val="sv-SE"/>
        </w:rPr>
      </w:pPr>
      <w:r w:rsidRPr="00813C21">
        <w:rPr>
          <w:lang w:val="sv-SE"/>
        </w:rPr>
        <w:t>Dalam konteks era postmodern, hermeneutika ditandai oleh penolakan terhadap klaim kebenaran universal dan dominasi relativisme. Teks, termasuk Kitab Suci, kerap dipandang 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RPr="00813C21">
        <w:rPr>
          <w:rStyle w:val="ReferensiCatatanKaki"/>
          <w:lang w:val="sv-SE"/>
        </w:rPr>
        <w:footnoteReference w:id="18"/>
      </w:r>
      <w:r w:rsidRPr="00813C21">
        <w:rPr>
          <w:lang w:val="sv-SE"/>
        </w:rPr>
        <w:t xml:space="preserve"> Namun, di tengah arus tersebut, gereja dipanggil untuk menegaskan kembali fondasi teologisnya bahwa Alkitab adalah pewahyuan ilahi yang 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14:paraId="1A8163D3" w14:textId="77777777" w:rsidR="005B38A1" w:rsidRDefault="00813C21" w:rsidP="005B38A1">
      <w:pPr>
        <w:ind w:firstLine="851"/>
        <w:jc w:val="both"/>
        <w:rPr>
          <w:lang w:val="sv-SE"/>
        </w:rPr>
      </w:pPr>
      <w:r w:rsidRPr="00813C21">
        <w:rPr>
          <w:lang w:val="sv-SE"/>
        </w:rPr>
        <w:t>Jacques Derrida menambahkan kritik melalui gagasan dekonstruksi. Menurutnya, bahasa tidak pernah mampu mengungkapkan makna secara final, melainkan selalu terbuka terhadap penafsiran yang beragam.</w:t>
      </w:r>
      <w:r w:rsidRPr="00813C21">
        <w:rPr>
          <w:rStyle w:val="ReferensiCatatanKaki"/>
          <w:lang w:val="sv-SE"/>
        </w:rPr>
        <w:footnoteReference w:id="19"/>
      </w:r>
      <w:r w:rsidRPr="00813C21">
        <w:rPr>
          <w:lang w:val="sv-SE"/>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w:t>
      </w:r>
      <w:r w:rsidRPr="00813C21">
        <w:rPr>
          <w:lang w:val="sv-SE"/>
        </w:rPr>
        <w:lastRenderedPageBreak/>
        <w:t>klaim kebenaran sering kali tidak berdiri netral, melainkan menjadi alat legitimasi bagi struktur kekuasaan tertentu.</w:t>
      </w:r>
      <w:r w:rsidRPr="00813C21">
        <w:rPr>
          <w:rStyle w:val="ReferensiCatatanKaki"/>
          <w:lang w:val="sv-SE"/>
        </w:rPr>
        <w:footnoteReference w:id="20"/>
      </w:r>
      <w:r w:rsidRPr="00813C21">
        <w:rPr>
          <w:lang w:val="sv-SE"/>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14:paraId="704D101B" w14:textId="2C440D8C" w:rsidR="005B38A1" w:rsidRDefault="00813C21" w:rsidP="005B38A1">
      <w:pPr>
        <w:ind w:firstLine="851"/>
        <w:jc w:val="both"/>
        <w:rPr>
          <w:lang w:val="sv-SE"/>
        </w:rPr>
      </w:pPr>
      <w:r w:rsidRPr="00813C21">
        <w:rPr>
          <w:lang w:val="sv-SE"/>
        </w:rPr>
        <w:t>Secara filosofis, relativisme epistemologis menjadi landasan utama posmodernisme. Relativisme ini menyatakan bahwa kebenaran tidak bersifat transenden ataupun universal, tetapi selalu dipengaruhi oleh perspektif individu maupun komunitas tertentu.</w:t>
      </w:r>
      <w:r w:rsidRPr="00813C21">
        <w:rPr>
          <w:rStyle w:val="ReferensiCatatanKaki"/>
          <w:lang w:val="sv-SE"/>
        </w:rPr>
        <w:footnoteReference w:id="21"/>
      </w:r>
      <w:r w:rsidRPr="00813C21">
        <w:rPr>
          <w:lang w:val="sv-SE"/>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w:t>
      </w:r>
      <w:r w:rsidR="00CF59E1">
        <w:rPr>
          <w:rStyle w:val="ReferensiCatatanKaki"/>
          <w:lang w:val="sv-SE"/>
        </w:rPr>
        <w:footnoteReference w:id="22"/>
      </w:r>
      <w:r w:rsidRPr="00813C21">
        <w:rPr>
          <w:lang w:val="sv-SE"/>
        </w:rPr>
        <w:t xml:space="preserve"> Jika kebenaran hanya dipahami sebagai produk konstruksi sosial, maka klaim iman Kristen yang menegaskan Kristus sebagai kebenaran absolut (Yoh. 14:6) dipandang problematis dalam kerangka posmodern.</w:t>
      </w:r>
      <w:r w:rsidRPr="00813C21">
        <w:rPr>
          <w:rStyle w:val="ReferensiCatatanKaki"/>
          <w:lang w:val="sv-SE"/>
        </w:rPr>
        <w:footnoteReference w:id="23"/>
      </w:r>
      <w:r w:rsidRPr="00813C21">
        <w:rPr>
          <w:lang w:val="sv-SE"/>
        </w:rPr>
        <w:t xml:space="preserve"> Injil sebagai kabar keselamatan unik kehilangan posisinya yang transenden dan direduksi menjadi sekadar salah satu narasi di antara sekian banyak narasi religius lainnya.</w:t>
      </w:r>
    </w:p>
    <w:p w14:paraId="04610ADB" w14:textId="56010948" w:rsidR="00813C21" w:rsidRPr="00813C21" w:rsidRDefault="00813C21" w:rsidP="005B38A1">
      <w:pPr>
        <w:ind w:firstLine="851"/>
        <w:jc w:val="both"/>
        <w:rPr>
          <w:lang w:val="sv-SE"/>
        </w:rPr>
      </w:pPr>
      <w:r w:rsidRPr="00813C21">
        <w:rPr>
          <w:lang w:val="sv-SE"/>
        </w:rPr>
        <w:t xml:space="preserve">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w:t>
      </w:r>
      <w:r w:rsidR="004E7D86">
        <w:rPr>
          <w:lang w:val="sv-SE"/>
        </w:rPr>
        <w:t>mengomunikasikannya</w:t>
      </w:r>
      <w:r w:rsidRPr="00813C21">
        <w:rPr>
          <w:lang w:val="sv-SE"/>
        </w:rPr>
        <w:t xml:space="preserve"> secara kontekstual kepada dunia yang semakin plural.</w:t>
      </w:r>
      <w:r w:rsidRPr="00813C21">
        <w:rPr>
          <w:rStyle w:val="ReferensiCatatanKaki"/>
          <w:lang w:val="sv-SE"/>
        </w:rPr>
        <w:footnoteReference w:id="24"/>
      </w:r>
    </w:p>
    <w:p w14:paraId="19EA1D12" w14:textId="77777777" w:rsidR="00813C21" w:rsidRPr="00813C21" w:rsidRDefault="00813C21" w:rsidP="00813C21">
      <w:pPr>
        <w:ind w:firstLine="360"/>
        <w:jc w:val="both"/>
        <w:rPr>
          <w:lang w:val="sv-SE"/>
        </w:rPr>
      </w:pPr>
    </w:p>
    <w:p w14:paraId="456A0724" w14:textId="6A835061" w:rsidR="00813C21" w:rsidRPr="00813C21" w:rsidRDefault="00813C21" w:rsidP="00813C21">
      <w:pPr>
        <w:jc w:val="both"/>
        <w:rPr>
          <w:b/>
          <w:bCs/>
          <w:lang w:val="sv-SE"/>
        </w:rPr>
      </w:pPr>
      <w:r w:rsidRPr="00813C21">
        <w:rPr>
          <w:b/>
          <w:bCs/>
          <w:lang w:val="sv-SE"/>
        </w:rPr>
        <w:t xml:space="preserve">Konfrontasi </w:t>
      </w:r>
      <w:r w:rsidR="005B38A1">
        <w:rPr>
          <w:b/>
          <w:bCs/>
          <w:lang w:val="sv-SE"/>
        </w:rPr>
        <w:t>d</w:t>
      </w:r>
      <w:r w:rsidRPr="00813C21">
        <w:rPr>
          <w:b/>
          <w:bCs/>
          <w:lang w:val="sv-SE"/>
        </w:rPr>
        <w:t xml:space="preserve">engan </w:t>
      </w:r>
      <w:r w:rsidR="005B38A1">
        <w:rPr>
          <w:b/>
          <w:bCs/>
          <w:lang w:val="sv-SE"/>
        </w:rPr>
        <w:t>k</w:t>
      </w:r>
      <w:r w:rsidRPr="00813C21">
        <w:rPr>
          <w:b/>
          <w:bCs/>
          <w:lang w:val="sv-SE"/>
        </w:rPr>
        <w:t xml:space="preserve">ebenaran Injil </w:t>
      </w:r>
    </w:p>
    <w:p w14:paraId="0FA0D47C" w14:textId="3AB4FE44" w:rsidR="00813C21" w:rsidRPr="00813C21" w:rsidRDefault="00813C21" w:rsidP="005B38A1">
      <w:pPr>
        <w:jc w:val="both"/>
        <w:rPr>
          <w:lang w:val="sv-SE"/>
        </w:rPr>
      </w:pPr>
      <w:r w:rsidRPr="00813C21">
        <w:rPr>
          <w:lang w:val="sv-SE"/>
        </w:rPr>
        <w:t>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RPr="00813C21">
        <w:rPr>
          <w:rStyle w:val="ReferensiCatatanKaki"/>
          <w:lang w:val="sv-SE"/>
        </w:rPr>
        <w:footnoteReference w:id="25"/>
      </w:r>
    </w:p>
    <w:p w14:paraId="72685D43" w14:textId="77777777" w:rsidR="005B38A1" w:rsidRDefault="00813C21" w:rsidP="005B38A1">
      <w:pPr>
        <w:ind w:firstLine="851"/>
        <w:jc w:val="both"/>
        <w:rPr>
          <w:lang w:val="sv-SE"/>
        </w:rPr>
      </w:pPr>
      <w:r w:rsidRPr="00813C21">
        <w:rPr>
          <w:lang w:val="sv-SE"/>
        </w:rPr>
        <w:t xml:space="preserve">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w:t>
      </w:r>
      <w:r w:rsidRPr="00813C21">
        <w:rPr>
          <w:lang w:val="sv-SE"/>
        </w:rPr>
        <w:lastRenderedPageBreak/>
        <w:t>karena itu, iman Kristen menolak pandangan relativisme yang menganggap kebenaran sebagai sesuatu yang berubah-ubah sesuai konteks manusia, karena kebenaran telah dimeteraikan dalam diri Kristus yang kekal.</w:t>
      </w:r>
      <w:r w:rsidRPr="00813C21">
        <w:rPr>
          <w:rStyle w:val="ReferensiCatatanKaki"/>
          <w:lang w:val="sv-SE"/>
        </w:rPr>
        <w:footnoteReference w:id="26"/>
      </w:r>
    </w:p>
    <w:p w14:paraId="0932572F" w14:textId="77777777" w:rsidR="005B38A1" w:rsidRDefault="00813C21" w:rsidP="005B38A1">
      <w:pPr>
        <w:ind w:firstLine="851"/>
        <w:jc w:val="both"/>
        <w:rPr>
          <w:lang w:val="sv-SE"/>
        </w:rPr>
      </w:pPr>
      <w:r w:rsidRPr="00813C21">
        <w:rPr>
          <w:lang w:val="sv-SE"/>
        </w:rPr>
        <w:t>Dengan demikian, pengakuan iman bahwa Yesus adalah “kebenaran” menegaskan karakter unik iman Kristen yang bersandar pada relasi dengan Allah Tritunggal. Kebenaran tidak hanya menyangkut kepastian pengetahuan, tetapi juga menyentuh aspek eksistensial manusia</w:t>
      </w:r>
      <w:r w:rsidR="00626B0B">
        <w:rPr>
          <w:lang w:val="sv-SE"/>
        </w:rPr>
        <w:t>,</w:t>
      </w:r>
      <w:r w:rsidRPr="00813C21">
        <w:rPr>
          <w:lang w:val="sv-SE"/>
        </w:rPr>
        <w:t xml:space="preserve"> bagaimana manusia hidup, beriman, dan diarahkan kepada Allah. Kebenaran tidak hanya menyangkut kepastian pengetahuan, tetapi juga menyentuh aspek eksistensial manusia— bagaimana manusia hidup, beriman, dan diarahkan kepada Allah. Kristus bukan hanya pemberita kebenaran, tetapi Ia sendiri adalah Kebenaran itu, sehingga setiap pengakuan akan kebenaran pada akhirnya harus berpusat pada Dia.</w:t>
      </w:r>
      <w:r w:rsidRPr="00813C21">
        <w:rPr>
          <w:rStyle w:val="ReferensiCatatanKaki"/>
          <w:lang w:val="sv-SE"/>
        </w:rPr>
        <w:footnoteReference w:id="27"/>
      </w:r>
    </w:p>
    <w:p w14:paraId="241B391C" w14:textId="77777777" w:rsidR="005B38A1" w:rsidRDefault="00813C21" w:rsidP="005B38A1">
      <w:pPr>
        <w:ind w:firstLine="851"/>
        <w:jc w:val="both"/>
        <w:rPr>
          <w:lang w:val="sv-SE"/>
        </w:rPr>
      </w:pPr>
      <w:r w:rsidRPr="00813C21">
        <w:rPr>
          <w:lang w:val="sv-SE"/>
        </w:rPr>
        <w:t>Selanjutnya</w:t>
      </w:r>
      <w:r w:rsidR="00626B0B">
        <w:rPr>
          <w:lang w:val="sv-SE"/>
        </w:rPr>
        <w:t>,</w:t>
      </w:r>
      <w:r w:rsidRPr="00813C21">
        <w:rPr>
          <w:lang w:val="sv-SE"/>
        </w:rPr>
        <w:t xml:space="preserve">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RPr="00813C21">
        <w:rPr>
          <w:rStyle w:val="ReferensiCatatanKaki"/>
          <w:lang w:val="sv-SE"/>
        </w:rPr>
        <w:footnoteReference w:id="28"/>
      </w:r>
      <w:r w:rsidRPr="00813C21">
        <w:rPr>
          <w:lang w:val="sv-SE"/>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RPr="00813C21">
        <w:rPr>
          <w:rStyle w:val="ReferensiCatatanKaki"/>
          <w:lang w:val="sv-SE"/>
        </w:rPr>
        <w:footnoteReference w:id="29"/>
      </w:r>
    </w:p>
    <w:p w14:paraId="164A4BD4" w14:textId="77777777" w:rsidR="005B38A1" w:rsidRDefault="00813C21" w:rsidP="005B38A1">
      <w:pPr>
        <w:ind w:firstLine="851"/>
        <w:jc w:val="both"/>
        <w:rPr>
          <w:lang w:val="sv-SE"/>
        </w:rPr>
      </w:pPr>
      <w:r w:rsidRPr="00813C21">
        <w:rPr>
          <w:lang w:val="sv-SE"/>
        </w:rPr>
        <w:t>Dengan demikian, pernyataan Petrus sekaligus menjadi penolakan terhadap pluralisme religius yang beranggapan bahwa semua agama pada dasarnya sama dan dapat membawa kepada keselamatan. Pandangan seperti itu mereduksi karya Kristus menjadi relatif di antara banyak jalan, padahal Injil menegaskan bahwa Kristus adalah satu-satunya jalan keselamatan yang sah dan ditetapkan Allah.</w:t>
      </w:r>
      <w:r w:rsidRPr="00813C21">
        <w:rPr>
          <w:rStyle w:val="ReferensiCatatanKaki"/>
          <w:lang w:val="sv-SE"/>
        </w:rPr>
        <w:footnoteReference w:id="30"/>
      </w:r>
    </w:p>
    <w:p w14:paraId="4AF696CF" w14:textId="71045B03" w:rsidR="005B38A1" w:rsidRDefault="00813C21" w:rsidP="005B38A1">
      <w:pPr>
        <w:ind w:firstLine="851"/>
        <w:jc w:val="both"/>
        <w:rPr>
          <w:lang w:val="sv-SE"/>
        </w:rPr>
      </w:pPr>
      <w:r w:rsidRPr="00813C21">
        <w:rPr>
          <w:lang w:val="sv-SE"/>
        </w:rPr>
        <w:t>Posmodernisme dengan prinsip relativismenya menolak klaim-klaim kebenaran universal dan cenderung menyingkirkan keberadaan metanarasi. Dalam kerangka ini, 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RPr="00813C21">
        <w:rPr>
          <w:rStyle w:val="ReferensiCatatanKaki"/>
          <w:lang w:val="sv-SE"/>
        </w:rPr>
        <w:footnoteReference w:id="31"/>
      </w:r>
      <w:r w:rsidRPr="00813C21">
        <w:rPr>
          <w:lang w:val="sv-SE"/>
        </w:rPr>
        <w:t xml:space="preserve"> Sebaliknya, iman Kristen berakar pada sebuah metanarasi yang bersumber dari pewahyuan Allah sendiri</w:t>
      </w:r>
      <w:r w:rsidR="00626B0B">
        <w:rPr>
          <w:lang w:val="sv-SE"/>
        </w:rPr>
        <w:t>,</w:t>
      </w:r>
      <w:r w:rsidRPr="00813C21">
        <w:rPr>
          <w:lang w:val="sv-SE"/>
        </w:rPr>
        <w:t xml:space="preserve"> yakni karya penyelamatan yang berpuncak dalam inkarnasi, kematian, dan kebangkitan Kristus.</w:t>
      </w:r>
      <w:r w:rsidRPr="00813C21">
        <w:rPr>
          <w:rStyle w:val="ReferensiCatatanKaki"/>
          <w:lang w:val="sv-SE"/>
        </w:rPr>
        <w:footnoteReference w:id="32"/>
      </w:r>
      <w:r w:rsidRPr="00813C21">
        <w:rPr>
          <w:lang w:val="sv-SE"/>
        </w:rPr>
        <w:t xml:space="preserve"> Metanarasi ini tidak lahir dari spekulasi manusia, melainkan memiliki dasar ilahi dan otoritas mutlak yang melampaui relativisme posmodern.</w:t>
      </w:r>
      <w:r w:rsidRPr="00813C21">
        <w:rPr>
          <w:rStyle w:val="ReferensiCatatanKaki"/>
          <w:lang w:val="sv-SE"/>
        </w:rPr>
        <w:footnoteReference w:id="33"/>
      </w:r>
      <w:r w:rsidRPr="00813C21">
        <w:rPr>
          <w:lang w:val="sv-SE"/>
        </w:rPr>
        <w:t xml:space="preserve"> Oleh sebab itu, kebenaran Injil tetap berdiri teguh sebagai realitas </w:t>
      </w:r>
      <w:r w:rsidRPr="00813C21">
        <w:rPr>
          <w:lang w:val="sv-SE"/>
        </w:rPr>
        <w:lastRenderedPageBreak/>
        <w:t>objektif dan universal yang menantang setiap pandangan dunia yang meniadakan kepastian kebenaran mutlak.</w:t>
      </w:r>
      <w:r w:rsidRPr="00813C21">
        <w:rPr>
          <w:rStyle w:val="ReferensiCatatanKaki"/>
          <w:lang w:val="sv-SE"/>
        </w:rPr>
        <w:footnoteReference w:id="34"/>
      </w:r>
    </w:p>
    <w:p w14:paraId="55EB4698" w14:textId="77777777" w:rsidR="005B38A1" w:rsidRDefault="00813C21" w:rsidP="005B38A1">
      <w:pPr>
        <w:ind w:firstLine="851"/>
        <w:jc w:val="both"/>
        <w:rPr>
          <w:lang w:val="sv-SE"/>
        </w:rPr>
      </w:pPr>
      <w:r w:rsidRPr="00813C21">
        <w:rPr>
          <w:lang w:val="sv-SE"/>
        </w:rPr>
        <w:t>Dari sudut pandang teologi Kristen, kebenaran tidak dapat direduksi hanya pada konsensus sosial atau konstruksi budaya. Kebenaran bersifat ontologis, berakar pada natur Allah yang kudus, benar, dan tidak berubah.</w:t>
      </w:r>
      <w:r w:rsidRPr="00813C21">
        <w:rPr>
          <w:rStyle w:val="ReferensiCatatanKaki"/>
          <w:lang w:val="sv-SE"/>
        </w:rPr>
        <w:footnoteReference w:id="35"/>
      </w:r>
      <w:r w:rsidRPr="00813C21">
        <w:rPr>
          <w:lang w:val="sv-SE"/>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RPr="00813C21">
        <w:rPr>
          <w:rStyle w:val="ReferensiCatatanKaki"/>
          <w:lang w:val="sv-SE"/>
        </w:rPr>
        <w:footnoteReference w:id="36"/>
      </w:r>
    </w:p>
    <w:p w14:paraId="52B98B05" w14:textId="77777777" w:rsidR="005B38A1" w:rsidRDefault="00813C21" w:rsidP="005B38A1">
      <w:pPr>
        <w:ind w:firstLine="851"/>
        <w:jc w:val="both"/>
        <w:rPr>
          <w:lang w:val="sv-SE"/>
        </w:rPr>
      </w:pPr>
      <w:r w:rsidRPr="00813C21">
        <w:rPr>
          <w:lang w:val="sv-SE"/>
        </w:rPr>
        <w:t>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RPr="00813C21">
        <w:rPr>
          <w:rStyle w:val="ReferensiCatatanKaki"/>
          <w:lang w:val="sv-SE"/>
        </w:rPr>
        <w:footnoteReference w:id="37"/>
      </w:r>
      <w:r w:rsidRPr="00813C21">
        <w:rPr>
          <w:lang w:val="sv-SE"/>
        </w:rPr>
        <w:t xml:space="preserve"> Dalam konteks inilah gereja dipanggil untuk menyatakan kembali bahwa kebenaran Injil bersifat kosmik dan tidak terbatas pada komunitas Kristen saja, melainkan berlaku bagi seluruh ciptaan.</w:t>
      </w:r>
      <w:r w:rsidRPr="00813C21">
        <w:rPr>
          <w:rStyle w:val="ReferensiCatatanKaki"/>
          <w:lang w:val="sv-SE"/>
        </w:rPr>
        <w:footnoteReference w:id="38"/>
      </w:r>
      <w:r w:rsidRPr="00813C21">
        <w:rPr>
          <w:lang w:val="sv-SE"/>
        </w:rPr>
        <w:t xml:space="preserve"> Hal ini menegaskan dimensi publik Injil yang harus dihadirkan di tengah dunia.</w:t>
      </w:r>
    </w:p>
    <w:p w14:paraId="6DAC0499" w14:textId="26598113" w:rsidR="00813C21" w:rsidRPr="00813C21" w:rsidRDefault="00813C21" w:rsidP="005B38A1">
      <w:pPr>
        <w:ind w:firstLine="851"/>
        <w:jc w:val="both"/>
        <w:rPr>
          <w:lang w:val="sv-SE"/>
        </w:rPr>
      </w:pPr>
      <w:r w:rsidRPr="00813C21">
        <w:rPr>
          <w:lang w:val="sv-SE"/>
        </w:rPr>
        <w:t>Dengan demikian, konfrontasi antara Injil dan relativisme posmodern bukan hanya persoalan filsafat, melainkan juga ujian iman gereja. Gereja dituntut untuk memberitakan Injil bukan sebagai teori abstrak, melainkan sebagai kebenaran yang hidup, dinamis, dan transformatif.</w:t>
      </w:r>
      <w:r w:rsidRPr="00813C21">
        <w:rPr>
          <w:rStyle w:val="ReferensiCatatanKaki"/>
          <w:lang w:val="sv-SE"/>
        </w:rPr>
        <w:footnoteReference w:id="39"/>
      </w:r>
      <w:r w:rsidRPr="00813C21">
        <w:rPr>
          <w:lang w:val="sv-SE"/>
        </w:rPr>
        <w:t xml:space="preserve"> Hanya di dalam Kristus manusia memperoleh keselamatan, sehingga pemberitaan Injil harus dilakukan dengan keyakinan penuh akan otoritas dan kuasanya.</w:t>
      </w:r>
      <w:r w:rsidRPr="00813C21">
        <w:rPr>
          <w:rStyle w:val="ReferensiCatatanKaki"/>
          <w:lang w:val="sv-SE"/>
        </w:rPr>
        <w:footnoteReference w:id="40"/>
      </w:r>
      <w:r w:rsidRPr="00813C21">
        <w:rPr>
          <w:lang w:val="sv-SE"/>
        </w:rPr>
        <w:t xml:space="preserve"> Dengan sikap tersebut, gereja bukan saja mampu bertahan dalam arus relativisme, tetapi juga memberi kesaksian nyata tentang Allah yang hidup dan bekerja dalam sejarah manusia.</w:t>
      </w:r>
      <w:r w:rsidRPr="00813C21">
        <w:rPr>
          <w:rStyle w:val="ReferensiCatatanKaki"/>
          <w:lang w:val="sv-SE"/>
        </w:rPr>
        <w:footnoteReference w:id="41"/>
      </w:r>
    </w:p>
    <w:p w14:paraId="7B3963A7" w14:textId="77777777" w:rsidR="00813C21" w:rsidRPr="00813C21" w:rsidRDefault="00813C21" w:rsidP="00813C21">
      <w:pPr>
        <w:ind w:firstLine="360"/>
        <w:jc w:val="both"/>
        <w:rPr>
          <w:lang w:val="sv-SE"/>
        </w:rPr>
      </w:pPr>
    </w:p>
    <w:p w14:paraId="63B10A75" w14:textId="50CE068F" w:rsidR="00813C21" w:rsidRPr="00813C21" w:rsidRDefault="00813C21" w:rsidP="00813C21">
      <w:pPr>
        <w:jc w:val="both"/>
        <w:rPr>
          <w:b/>
          <w:bCs/>
          <w:lang w:val="sv-SE"/>
        </w:rPr>
      </w:pPr>
      <w:r w:rsidRPr="00813C21">
        <w:rPr>
          <w:b/>
          <w:bCs/>
          <w:lang w:val="sv-SE"/>
        </w:rPr>
        <w:t>Titik Temu dan Sumbangan Posmodernisme</w:t>
      </w:r>
    </w:p>
    <w:p w14:paraId="19EB1009" w14:textId="77777777" w:rsidR="00813C21" w:rsidRPr="00813C21" w:rsidRDefault="00813C21" w:rsidP="005B38A1">
      <w:pPr>
        <w:jc w:val="both"/>
        <w:rPr>
          <w:lang w:val="sv-SE"/>
        </w:rPr>
      </w:pPr>
      <w:r w:rsidRPr="00813C21">
        <w:rPr>
          <w:lang w:val="sv-SE"/>
        </w:rPr>
        <w:t>Dalam dinamika pemikiran kontemporer, posmodernisme kerap dipandang sebagai tantangan serius bagi iman Kristen, terutama karena sikapnya yang menolak klaim 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RPr="00813C21">
        <w:rPr>
          <w:rStyle w:val="ReferensiCatatanKaki"/>
          <w:lang w:val="sv-SE"/>
        </w:rPr>
        <w:footnoteReference w:id="42"/>
      </w:r>
    </w:p>
    <w:p w14:paraId="6A1B980E" w14:textId="77777777" w:rsidR="005B38A1" w:rsidRDefault="00813C21" w:rsidP="005B38A1">
      <w:pPr>
        <w:ind w:firstLine="851"/>
        <w:jc w:val="both"/>
        <w:rPr>
          <w:lang w:val="sv-SE"/>
        </w:rPr>
      </w:pPr>
      <w:r w:rsidRPr="00813C21">
        <w:rPr>
          <w:lang w:val="sv-SE"/>
        </w:rPr>
        <w:t xml:space="preserve">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w:t>
      </w:r>
      <w:r w:rsidRPr="00813C21">
        <w:rPr>
          <w:lang w:val="sv-SE"/>
        </w:rPr>
        <w:lastRenderedPageBreak/>
        <w:t>relasi sejati. Justru melalui bentuk narasi, Injil dapat dikomunikasikan dengan cara yang kontekstual, sehingga lebih mudah dimengerti dan dihayati oleh generasi posmodern.</w:t>
      </w:r>
      <w:r w:rsidRPr="00813C21">
        <w:rPr>
          <w:rStyle w:val="ReferensiCatatanKaki"/>
          <w:lang w:val="sv-SE"/>
        </w:rPr>
        <w:footnoteReference w:id="43"/>
      </w:r>
    </w:p>
    <w:p w14:paraId="0A1D0EDC" w14:textId="77777777" w:rsidR="005B38A1" w:rsidRDefault="00813C21" w:rsidP="005B38A1">
      <w:pPr>
        <w:ind w:firstLine="851"/>
        <w:jc w:val="both"/>
        <w:rPr>
          <w:lang w:val="sv-SE"/>
        </w:rPr>
      </w:pPr>
      <w:r w:rsidRPr="00813C21">
        <w:rPr>
          <w:lang w:val="sv-SE"/>
        </w:rPr>
        <w:t>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RPr="00813C21">
        <w:rPr>
          <w:rStyle w:val="ReferensiCatatanKaki"/>
          <w:lang w:val="sv-SE"/>
        </w:rPr>
        <w:footnoteReference w:id="44"/>
      </w:r>
    </w:p>
    <w:p w14:paraId="03F92F5D" w14:textId="77777777" w:rsidR="005B38A1" w:rsidRDefault="00813C21" w:rsidP="005B38A1">
      <w:pPr>
        <w:ind w:firstLine="851"/>
        <w:jc w:val="both"/>
        <w:rPr>
          <w:lang w:val="sv-SE"/>
        </w:rPr>
      </w:pPr>
      <w:r w:rsidRPr="00813C21">
        <w:rPr>
          <w:lang w:val="sv-SE"/>
        </w:rPr>
        <w:t>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RPr="00813C21">
        <w:rPr>
          <w:rStyle w:val="ReferensiCatatanKaki"/>
          <w:lang w:val="sv-SE"/>
        </w:rPr>
        <w:footnoteReference w:id="45"/>
      </w:r>
    </w:p>
    <w:p w14:paraId="4E90FA75" w14:textId="77777777" w:rsidR="005B38A1" w:rsidRDefault="00813C21" w:rsidP="005B38A1">
      <w:pPr>
        <w:ind w:firstLine="851"/>
        <w:jc w:val="both"/>
        <w:rPr>
          <w:lang w:val="sv-SE"/>
        </w:rPr>
      </w:pPr>
      <w:r w:rsidRPr="00813C21">
        <w:rPr>
          <w:lang w:val="sv-SE"/>
        </w:rPr>
        <w:t>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Kristen menempatkan perjumpaan eksistensial dengan Allah Tritunggal sebagai pusat kehidupan iman, bukan sekadar pengakuan dogmatis formal semata.</w:t>
      </w:r>
      <w:r w:rsidRPr="00813C21">
        <w:rPr>
          <w:rStyle w:val="ReferensiCatatanKaki"/>
          <w:lang w:val="sv-SE"/>
        </w:rPr>
        <w:footnoteReference w:id="46"/>
      </w:r>
    </w:p>
    <w:p w14:paraId="6BAF5CD6" w14:textId="77777777" w:rsidR="005B38A1" w:rsidRDefault="00813C21" w:rsidP="005B38A1">
      <w:pPr>
        <w:ind w:firstLine="851"/>
        <w:jc w:val="both"/>
        <w:rPr>
          <w:lang w:val="sv-SE"/>
        </w:rPr>
      </w:pPr>
      <w:r w:rsidRPr="00813C21">
        <w:rPr>
          <w:lang w:val="sv-SE"/>
        </w:rPr>
        <w:t>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RPr="00813C21">
        <w:rPr>
          <w:rStyle w:val="ReferensiCatatanKaki"/>
          <w:lang w:val="sv-SE"/>
        </w:rPr>
        <w:footnoteReference w:id="47"/>
      </w:r>
      <w:r w:rsidRPr="00813C21">
        <w:rPr>
          <w:lang w:val="sv-SE"/>
        </w:rPr>
        <w:t xml:space="preserve"> Perspektif ini memberi ruang bagi gereja untuk berdialog dengan posmodernisme, tanpa kehilangan keunikan Injil sebagai kebenaran Allah yang menyapa manusia dalam sejarah.</w:t>
      </w:r>
    </w:p>
    <w:p w14:paraId="5B7A7F32" w14:textId="77777777" w:rsidR="005B38A1" w:rsidRDefault="00813C21" w:rsidP="005B38A1">
      <w:pPr>
        <w:ind w:firstLine="851"/>
        <w:jc w:val="both"/>
        <w:rPr>
          <w:lang w:val="sv-SE"/>
        </w:rPr>
      </w:pPr>
      <w:r w:rsidRPr="00813C21">
        <w:rPr>
          <w:lang w:val="sv-SE"/>
        </w:rPr>
        <w:t>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RPr="00813C21">
        <w:rPr>
          <w:rStyle w:val="ReferensiCatatanKaki"/>
          <w:lang w:val="sv-SE"/>
        </w:rPr>
        <w:footnoteReference w:id="48"/>
      </w:r>
      <w:r w:rsidRPr="00813C21">
        <w:rPr>
          <w:lang w:val="sv-SE"/>
        </w:rPr>
        <w:t xml:space="preserve"> Dengan demikian, kerangka posmodern tentang relasionalitas dapat dipakai sebagai sarana untuk menekankan bahwa Injil adalah kabar baik yang menghidupkan, bukan sekadar sistem kepercayaan statis.</w:t>
      </w:r>
    </w:p>
    <w:p w14:paraId="3598DB44" w14:textId="77777777" w:rsidR="005B38A1" w:rsidRDefault="00813C21" w:rsidP="005B38A1">
      <w:pPr>
        <w:ind w:firstLine="851"/>
        <w:jc w:val="both"/>
        <w:rPr>
          <w:lang w:val="sv-SE"/>
        </w:rPr>
      </w:pPr>
      <w:r w:rsidRPr="00813C21">
        <w:rPr>
          <w:lang w:val="sv-SE"/>
        </w:rPr>
        <w:t xml:space="preserve">Gereja perlu mengembangkan pendekatan yang menegaskan relasi kasih sebagai wujud iman yang sejati. Konteks posmodern yang mengutamakan pengalaman relasional </w:t>
      </w:r>
      <w:r w:rsidRPr="00813C21">
        <w:rPr>
          <w:lang w:val="sv-SE"/>
        </w:rPr>
        <w:lastRenderedPageBreak/>
        <w:t>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RPr="00813C21">
        <w:rPr>
          <w:rStyle w:val="ReferensiCatatanKaki"/>
          <w:lang w:val="sv-SE"/>
        </w:rPr>
        <w:footnoteReference w:id="49"/>
      </w:r>
      <w:r w:rsidRPr="00813C21">
        <w:rPr>
          <w:lang w:val="sv-SE"/>
        </w:rPr>
        <w:t xml:space="preserve"> Dengan demikian, gereja dapat bersaksi secara relevan bahwa Injil adalah panggilan untuk hidup dalam kasih yang menghubungkan manusia dengan Allah dan sesamanya, serta membawa transformasi dalam seluruh dimensi kehidupan.</w:t>
      </w:r>
    </w:p>
    <w:p w14:paraId="6FF9A2CF" w14:textId="77777777" w:rsidR="005B38A1" w:rsidRDefault="00813C21" w:rsidP="005B38A1">
      <w:pPr>
        <w:ind w:firstLine="851"/>
        <w:jc w:val="both"/>
        <w:rPr>
          <w:lang w:val="sv-SE"/>
        </w:rPr>
      </w:pPr>
      <w:r w:rsidRPr="00813C21">
        <w:rPr>
          <w:lang w:val="sv-SE"/>
        </w:rPr>
        <w:t xml:space="preserve">Kritik posmodern terhadap hegemoni wacana dan praktik dominasi kuasa sesungguhnya memberikan koreksi yang signifikan bagi gereja. Dalam sejarahnya, gereja kerap tergoda untuk jatuh pada sikap </w:t>
      </w:r>
      <w:r w:rsidR="00626B0B">
        <w:rPr>
          <w:lang w:val="sv-SE"/>
        </w:rPr>
        <w:t>triumfalisme</w:t>
      </w:r>
      <w:r w:rsidRPr="00813C21">
        <w:rPr>
          <w:lang w:val="sv-SE"/>
        </w:rPr>
        <w:t>,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RPr="00813C21">
        <w:rPr>
          <w:rStyle w:val="ReferensiCatatanKaki"/>
          <w:lang w:val="sv-SE"/>
        </w:rPr>
        <w:footnoteReference w:id="50"/>
      </w:r>
    </w:p>
    <w:p w14:paraId="2FEFC6C2" w14:textId="77777777" w:rsidR="005B38A1" w:rsidRDefault="00813C21" w:rsidP="005B38A1">
      <w:pPr>
        <w:ind w:firstLine="851"/>
        <w:jc w:val="both"/>
        <w:rPr>
          <w:lang w:val="sv-SE"/>
        </w:rPr>
      </w:pPr>
      <w:r w:rsidRPr="00813C21">
        <w:rPr>
          <w:lang w:val="sv-SE"/>
        </w:rPr>
        <w:t>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RPr="00813C21">
        <w:rPr>
          <w:rStyle w:val="ReferensiCatatanKaki"/>
          <w:lang w:val="sv-SE"/>
        </w:rPr>
        <w:footnoteReference w:id="51"/>
      </w:r>
      <w:r w:rsidRPr="00813C21">
        <w:rPr>
          <w:lang w:val="sv-SE"/>
        </w:rPr>
        <w:t xml:space="preserve"> Dalam kerangka ini, posmodernisme menjadi tantangan sekaligus peluang: tantangan karena ia mengkritisi klaim kebenaran tunggal yang bersifat hegemonik, tetapi juga peluang karena ia mendorong gereja untuk menampilkan wajah Injil yang membebaskan, bukan menindas.</w:t>
      </w:r>
      <w:r w:rsidRPr="00813C21">
        <w:rPr>
          <w:rStyle w:val="ReferensiCatatanKaki"/>
          <w:lang w:val="sv-SE"/>
        </w:rPr>
        <w:footnoteReference w:id="52"/>
      </w:r>
      <w:r w:rsidRPr="00813C21">
        <w:rPr>
          <w:lang w:val="sv-SE"/>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RPr="00813C21">
        <w:rPr>
          <w:rStyle w:val="ReferensiCatatanKaki"/>
          <w:lang w:val="sv-SE"/>
        </w:rPr>
        <w:footnoteReference w:id="53"/>
      </w:r>
      <w:r w:rsidRPr="00813C21">
        <w:rPr>
          <w:lang w:val="sv-SE"/>
        </w:rPr>
        <w:t xml:space="preserve"> Dalam terang ini, gereja dipanggil mengikuti teladan Kristus yang merendahkan diri-Nya dan mengosongkan kemuliaan-Nya (kenosis), agar berita Injil sungguh-sungguh hadir sebagai tanda kasih dan anugerah Allah yang menyelamatkan.</w:t>
      </w:r>
      <w:r w:rsidRPr="00813C21">
        <w:rPr>
          <w:rStyle w:val="ReferensiCatatanKaki"/>
          <w:lang w:val="sv-SE"/>
        </w:rPr>
        <w:footnoteReference w:id="54"/>
      </w:r>
    </w:p>
    <w:p w14:paraId="718E517E" w14:textId="77777777" w:rsidR="005B38A1" w:rsidRDefault="00813C21" w:rsidP="005B38A1">
      <w:pPr>
        <w:ind w:firstLine="851"/>
        <w:jc w:val="both"/>
        <w:rPr>
          <w:lang w:val="sv-SE"/>
        </w:rPr>
      </w:pPr>
      <w:r w:rsidRPr="00813C21">
        <w:rPr>
          <w:lang w:val="sv-SE"/>
        </w:rPr>
        <w:t>Pendekatan teologis yang peka terhadap budaya menegaskan bahwa pemberitaan Injil tidak boleh dilepaskan dari konteks kehidupan masyarakat. Injil memang bersumber dari Allah dan memiliki kebenaran yang mutlak, tetapi cara penyampaiannya perlu disesuaikan 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RPr="00813C21">
        <w:rPr>
          <w:rStyle w:val="ReferensiCatatanKaki"/>
          <w:lang w:val="sv-SE"/>
        </w:rPr>
        <w:footnoteReference w:id="55"/>
      </w:r>
    </w:p>
    <w:p w14:paraId="0B031A14" w14:textId="77777777" w:rsidR="005B38A1" w:rsidRDefault="00813C21" w:rsidP="005B38A1">
      <w:pPr>
        <w:ind w:firstLine="851"/>
        <w:jc w:val="both"/>
        <w:rPr>
          <w:lang w:val="sv-SE"/>
        </w:rPr>
      </w:pPr>
      <w:r w:rsidRPr="00813C21">
        <w:rPr>
          <w:lang w:val="sv-SE"/>
        </w:rPr>
        <w:t xml:space="preserve">Dalam kerangka ini, posmodernisme dapat dipandang secara kritis sekaligus positif. Di satu sisi, posmodernisme menantang klaim kebenaran yang bersifat absolut. Namun di sisi lain, ia membuka peluang bagi gereja untuk </w:t>
      </w:r>
      <w:r w:rsidR="00626B0B">
        <w:rPr>
          <w:lang w:val="sv-SE"/>
        </w:rPr>
        <w:t>mengomunikasikan</w:t>
      </w:r>
      <w:r w:rsidRPr="00813C21">
        <w:rPr>
          <w:lang w:val="sv-SE"/>
        </w:rPr>
        <w:t xml:space="preserve"> Injil dengan cara yang lebih kreatif, dialogis, dan kontekstual. Tantangan relativisme justru mendorong </w:t>
      </w:r>
      <w:r w:rsidRPr="00813C21">
        <w:rPr>
          <w:lang w:val="sv-SE"/>
        </w:rPr>
        <w:lastRenderedPageBreak/>
        <w:t>umat Kristen untuk kembali menegaskan bahwa kebenaran Injil tidak sekadar teori, tetapi kuasa yang mengubah hidup.</w:t>
      </w:r>
      <w:r w:rsidRPr="00813C21">
        <w:rPr>
          <w:rStyle w:val="ReferensiCatatanKaki"/>
          <w:lang w:val="sv-SE"/>
        </w:rPr>
        <w:footnoteReference w:id="56"/>
      </w:r>
    </w:p>
    <w:p w14:paraId="6586D643" w14:textId="571CE828" w:rsidR="00813C21" w:rsidRPr="00813C21" w:rsidRDefault="00813C21" w:rsidP="005B38A1">
      <w:pPr>
        <w:ind w:firstLine="851"/>
        <w:jc w:val="both"/>
        <w:rPr>
          <w:lang w:val="sv-SE"/>
        </w:rPr>
      </w:pPr>
      <w:r w:rsidRPr="00813C21">
        <w:rPr>
          <w:lang w:val="sv-SE"/>
        </w:rPr>
        <w:t>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RPr="00813C21">
        <w:rPr>
          <w:rStyle w:val="ReferensiCatatanKaki"/>
          <w:lang w:val="sv-SE"/>
        </w:rPr>
        <w:footnoteReference w:id="57"/>
      </w:r>
    </w:p>
    <w:p w14:paraId="00D6BFC8" w14:textId="77777777" w:rsidR="00813C21" w:rsidRPr="00813C21" w:rsidRDefault="00813C21" w:rsidP="00813C21">
      <w:pPr>
        <w:ind w:firstLine="720"/>
        <w:jc w:val="both"/>
        <w:rPr>
          <w:lang w:val="sv-SE"/>
        </w:rPr>
      </w:pPr>
    </w:p>
    <w:p w14:paraId="4987FD4C" w14:textId="2232CE87" w:rsidR="00813C21" w:rsidRPr="00813C21" w:rsidRDefault="00813C21" w:rsidP="00813C21">
      <w:pPr>
        <w:jc w:val="both"/>
        <w:rPr>
          <w:b/>
          <w:bCs/>
          <w:lang w:val="sv-SE"/>
        </w:rPr>
      </w:pPr>
      <w:r w:rsidRPr="00813C21">
        <w:rPr>
          <w:b/>
          <w:bCs/>
          <w:lang w:val="sv-SE"/>
        </w:rPr>
        <w:t>Respons Teologis Gereja terhadap Tantangan Posmodern</w:t>
      </w:r>
    </w:p>
    <w:p w14:paraId="010D3BCF" w14:textId="77777777" w:rsidR="00813C21" w:rsidRPr="00813C21" w:rsidRDefault="00813C21" w:rsidP="005B38A1">
      <w:pPr>
        <w:jc w:val="both"/>
        <w:rPr>
          <w:lang w:val="sv-SE"/>
        </w:rPr>
      </w:pPr>
      <w:r w:rsidRPr="00813C21">
        <w:rPr>
          <w:lang w:val="sv-SE"/>
        </w:rPr>
        <w:t>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RPr="00813C21">
        <w:rPr>
          <w:rStyle w:val="ReferensiCatatanKaki"/>
          <w:lang w:val="sv-SE"/>
        </w:rPr>
        <w:footnoteReference w:id="58"/>
      </w:r>
    </w:p>
    <w:p w14:paraId="6A954F63" w14:textId="77777777" w:rsidR="005B38A1" w:rsidRDefault="00813C21" w:rsidP="005B38A1">
      <w:pPr>
        <w:ind w:firstLine="851"/>
        <w:jc w:val="both"/>
        <w:rPr>
          <w:lang w:val="sv-SE"/>
        </w:rPr>
      </w:pPr>
      <w:r w:rsidRPr="00813C21">
        <w:rPr>
          <w:lang w:val="sv-SE"/>
        </w:rPr>
        <w:t>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cerita Allah yang masuk ke dalam sejarah manusia, yang mengundang partisipasi dan transformasi.</w:t>
      </w:r>
      <w:r w:rsidRPr="00813C21">
        <w:rPr>
          <w:rStyle w:val="ReferensiCatatanKaki"/>
          <w:lang w:val="sv-SE"/>
        </w:rPr>
        <w:footnoteReference w:id="59"/>
      </w:r>
    </w:p>
    <w:p w14:paraId="46CBF595" w14:textId="77777777" w:rsidR="005B38A1" w:rsidRDefault="00813C21" w:rsidP="005B38A1">
      <w:pPr>
        <w:ind w:firstLine="851"/>
        <w:jc w:val="both"/>
        <w:rPr>
          <w:lang w:val="sv-SE"/>
        </w:rPr>
      </w:pPr>
      <w:r w:rsidRPr="00813C21">
        <w:rPr>
          <w:lang w:val="sv-SE"/>
        </w:rPr>
        <w:t>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RPr="00813C21">
        <w:rPr>
          <w:rStyle w:val="ReferensiCatatanKaki"/>
          <w:lang w:val="sv-SE"/>
        </w:rPr>
        <w:footnoteReference w:id="60"/>
      </w:r>
      <w:r w:rsidRPr="00813C21">
        <w:rPr>
          <w:lang w:val="sv-SE"/>
        </w:rPr>
        <w:t xml:space="preserve"> </w:t>
      </w:r>
    </w:p>
    <w:p w14:paraId="5D84B1AF" w14:textId="6CB3BFA4" w:rsidR="00813C21" w:rsidRPr="005B38A1" w:rsidRDefault="00813C21" w:rsidP="005B38A1">
      <w:pPr>
        <w:ind w:firstLine="851"/>
        <w:jc w:val="both"/>
        <w:rPr>
          <w:lang w:val="sv-SE"/>
        </w:rPr>
      </w:pPr>
      <w:r w:rsidRPr="00813C21">
        <w:rPr>
          <w:lang w:val="sv-SE"/>
        </w:rPr>
        <w:t xml:space="preserve">Beberapa langkah teologis yang dapat ditawarkan adalah: </w:t>
      </w:r>
      <w:r w:rsidR="00626B0B">
        <w:rPr>
          <w:lang w:val="sv-SE"/>
        </w:rPr>
        <w:t xml:space="preserve">a) </w:t>
      </w:r>
      <w:r w:rsidRPr="00813C21">
        <w:rPr>
          <w:rFonts w:eastAsia="Times New Roman"/>
          <w:b/>
          <w:bCs/>
          <w:lang w:val="sv-SE" w:eastAsia="en-ID"/>
        </w:rPr>
        <w:t>Menegaskan kembali otoritas Kitab Suci</w:t>
      </w:r>
      <w:r w:rsidRPr="00813C21">
        <w:rPr>
          <w:rFonts w:eastAsia="Times New Roman"/>
          <w:lang w:val="sv-SE" w:eastAsia="en-ID"/>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r w:rsidR="00626B0B">
        <w:rPr>
          <w:lang w:val="sv-SE"/>
        </w:rPr>
        <w:t xml:space="preserve"> b) </w:t>
      </w:r>
      <w:r w:rsidRPr="00813C21">
        <w:rPr>
          <w:rFonts w:eastAsia="Times New Roman"/>
          <w:b/>
          <w:bCs/>
          <w:lang w:val="sv-SE" w:eastAsia="en-ID"/>
        </w:rPr>
        <w:t>Mengembangkan apologetika naratif</w:t>
      </w:r>
      <w:r w:rsidRPr="00813C21">
        <w:rPr>
          <w:rFonts w:eastAsia="Times New Roman"/>
          <w:lang w:val="sv-SE" w:eastAsia="en-ID"/>
        </w:rPr>
        <w:t xml:space="preserve">,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w:t>
      </w:r>
      <w:r w:rsidRPr="00813C21">
        <w:rPr>
          <w:rFonts w:eastAsia="Times New Roman"/>
          <w:lang w:val="sv-SE" w:eastAsia="en-ID"/>
        </w:rPr>
        <w:lastRenderedPageBreak/>
        <w:t>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r w:rsidR="005B38A1">
        <w:rPr>
          <w:lang w:val="sv-SE"/>
        </w:rPr>
        <w:t xml:space="preserve"> c) </w:t>
      </w:r>
      <w:r w:rsidRPr="00813C21">
        <w:rPr>
          <w:rFonts w:eastAsia="Times New Roman"/>
          <w:b/>
          <w:bCs/>
          <w:lang w:val="sv-SE" w:eastAsia="en-ID"/>
        </w:rPr>
        <w:t>Mengintegrasikan dimensi relasional Injil</w:t>
      </w:r>
      <w:r w:rsidRPr="00813C21">
        <w:rPr>
          <w:rFonts w:eastAsia="Times New Roman"/>
          <w:lang w:val="sv-SE" w:eastAsia="en-ID"/>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r w:rsidR="005B38A1">
        <w:rPr>
          <w:lang w:val="sv-SE"/>
        </w:rPr>
        <w:t xml:space="preserve"> d) </w:t>
      </w:r>
      <w:r w:rsidRPr="00813C21">
        <w:rPr>
          <w:rFonts w:eastAsia="Times New Roman"/>
          <w:b/>
          <w:bCs/>
          <w:lang w:val="sv-SE" w:eastAsia="en-ID"/>
        </w:rPr>
        <w:t>Menerapkan inkulturasi teologis</w:t>
      </w:r>
      <w:r w:rsidRPr="00813C21">
        <w:rPr>
          <w:rFonts w:eastAsia="Times New Roman"/>
          <w:lang w:val="sv-SE" w:eastAsia="en-ID"/>
        </w:rPr>
        <w:t>,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14:paraId="46A1729F" w14:textId="77777777" w:rsidR="00813C21" w:rsidRPr="00813C21" w:rsidRDefault="00813C21" w:rsidP="00813C21">
      <w:pPr>
        <w:ind w:left="720"/>
        <w:jc w:val="both"/>
        <w:rPr>
          <w:rFonts w:eastAsia="Times New Roman"/>
          <w:lang w:val="sv-SE" w:eastAsia="en-ID"/>
        </w:rPr>
      </w:pPr>
    </w:p>
    <w:p w14:paraId="3AB714C1" w14:textId="23FF3987" w:rsidR="00813C21" w:rsidRPr="00813C21" w:rsidRDefault="00813C21" w:rsidP="00813C21">
      <w:pPr>
        <w:jc w:val="both"/>
        <w:rPr>
          <w:rFonts w:eastAsia="Times New Roman"/>
          <w:b/>
          <w:bCs/>
          <w:lang w:val="sv-SE" w:eastAsia="en-ID"/>
        </w:rPr>
      </w:pPr>
      <w:r w:rsidRPr="00813C21">
        <w:rPr>
          <w:rFonts w:eastAsia="Times New Roman"/>
          <w:b/>
          <w:bCs/>
          <w:lang w:val="sv-SE" w:eastAsia="en-ID"/>
        </w:rPr>
        <w:t xml:space="preserve">Implikasi </w:t>
      </w:r>
      <w:r w:rsidR="005B38A1">
        <w:rPr>
          <w:rFonts w:eastAsia="Times New Roman"/>
          <w:b/>
          <w:bCs/>
          <w:lang w:val="sv-SE" w:eastAsia="en-ID"/>
        </w:rPr>
        <w:t>b</w:t>
      </w:r>
      <w:r w:rsidRPr="00813C21">
        <w:rPr>
          <w:rFonts w:eastAsia="Times New Roman"/>
          <w:b/>
          <w:bCs/>
          <w:lang w:val="sv-SE" w:eastAsia="en-ID"/>
        </w:rPr>
        <w:t>agi Teologi dan Misi Gereja</w:t>
      </w:r>
    </w:p>
    <w:p w14:paraId="1CA40589" w14:textId="77777777" w:rsidR="00813C21" w:rsidRPr="00813C21" w:rsidRDefault="00813C21" w:rsidP="005B38A1">
      <w:pPr>
        <w:jc w:val="both"/>
        <w:rPr>
          <w:rFonts w:eastAsia="Times New Roman"/>
          <w:lang w:val="sv-SE" w:eastAsia="en-ID"/>
        </w:rPr>
      </w:pPr>
      <w:r w:rsidRPr="00813C21">
        <w:rPr>
          <w:rFonts w:eastAsia="Times New Roman"/>
          <w:lang w:val="sv-SE" w:eastAsia="en-ID"/>
        </w:rPr>
        <w:t>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RPr="00813C21">
        <w:rPr>
          <w:rStyle w:val="ReferensiCatatanKaki"/>
          <w:rFonts w:eastAsia="Times New Roman"/>
          <w:lang w:val="sv-SE" w:eastAsia="en-ID"/>
        </w:rPr>
        <w:footnoteReference w:id="61"/>
      </w:r>
      <w:r w:rsidRPr="00813C21">
        <w:rPr>
          <w:rFonts w:eastAsia="Times New Roman"/>
          <w:lang w:val="sv-SE" w:eastAsia="en-ID"/>
        </w:rPr>
        <w:t xml:space="preserve"> Dengan demikian, iman Kristen berdiri teguh pada dasar yang transenden dan tidak berubah, sekalipun dunia terus mengalami perubahan paradigma.</w:t>
      </w:r>
      <w:r w:rsidRPr="00813C21">
        <w:rPr>
          <w:rStyle w:val="ReferensiCatatanKaki"/>
          <w:rFonts w:eastAsia="Times New Roman"/>
          <w:lang w:val="sv-SE" w:eastAsia="en-ID"/>
        </w:rPr>
        <w:footnoteReference w:id="62"/>
      </w:r>
    </w:p>
    <w:p w14:paraId="22C2195E" w14:textId="77777777" w:rsidR="005B38A1" w:rsidRDefault="00813C21" w:rsidP="005B38A1">
      <w:pPr>
        <w:ind w:firstLine="851"/>
        <w:jc w:val="both"/>
        <w:rPr>
          <w:rFonts w:eastAsia="Times New Roman"/>
          <w:lang w:val="sv-SE" w:eastAsia="en-ID"/>
        </w:rPr>
      </w:pPr>
      <w:r w:rsidRPr="00813C21">
        <w:rPr>
          <w:rFonts w:eastAsia="Times New Roman"/>
          <w:lang w:val="sv-SE" w:eastAsia="en-ID"/>
        </w:rPr>
        <w:t>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agar para murid bukan hanya menjadi pendengar firman, tetapi pelaku firman yang menghadirkan nilai-nilai Kerajaan Allah di tengah dunia.</w:t>
      </w:r>
      <w:r w:rsidRPr="00813C21">
        <w:rPr>
          <w:rStyle w:val="ReferensiCatatanKaki"/>
          <w:rFonts w:eastAsia="Times New Roman"/>
          <w:lang w:val="sv-SE" w:eastAsia="en-ID"/>
        </w:rPr>
        <w:footnoteReference w:id="63"/>
      </w:r>
    </w:p>
    <w:p w14:paraId="1E38CC41" w14:textId="77777777" w:rsidR="005B38A1" w:rsidRDefault="00813C21" w:rsidP="005B38A1">
      <w:pPr>
        <w:ind w:firstLine="851"/>
        <w:jc w:val="both"/>
        <w:rPr>
          <w:rFonts w:eastAsia="Times New Roman"/>
          <w:lang w:val="sv-SE" w:eastAsia="en-ID"/>
        </w:rPr>
      </w:pPr>
      <w:r w:rsidRPr="00813C21">
        <w:rPr>
          <w:rFonts w:eastAsia="Times New Roman"/>
          <w:lang w:val="sv-SE" w:eastAsia="en-ID"/>
        </w:rPr>
        <w:t>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RPr="00813C21">
        <w:rPr>
          <w:rStyle w:val="ReferensiCatatanKaki"/>
          <w:rFonts w:eastAsia="Times New Roman"/>
          <w:lang w:val="sv-SE" w:eastAsia="en-ID"/>
        </w:rPr>
        <w:footnoteReference w:id="64"/>
      </w:r>
    </w:p>
    <w:p w14:paraId="0EFBD4A8" w14:textId="77777777" w:rsidR="005B38A1" w:rsidRDefault="00813C21" w:rsidP="005B38A1">
      <w:pPr>
        <w:ind w:firstLine="851"/>
        <w:jc w:val="both"/>
        <w:rPr>
          <w:rFonts w:eastAsia="Times New Roman"/>
          <w:lang w:val="sv-SE" w:eastAsia="en-ID"/>
        </w:rPr>
      </w:pPr>
      <w:r w:rsidRPr="00813C21">
        <w:rPr>
          <w:rFonts w:eastAsia="Times New Roman"/>
          <w:lang w:val="sv-SE" w:eastAsia="en-ID"/>
        </w:rPr>
        <w:lastRenderedPageBreak/>
        <w:t>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RPr="00813C21">
        <w:rPr>
          <w:rStyle w:val="ReferensiCatatanKaki"/>
          <w:rFonts w:eastAsia="Times New Roman"/>
          <w:lang w:val="sv-SE" w:eastAsia="en-ID"/>
        </w:rPr>
        <w:footnoteReference w:id="65"/>
      </w:r>
    </w:p>
    <w:p w14:paraId="114EB3F7" w14:textId="6E19D72B" w:rsidR="00C30472" w:rsidRPr="005B38A1" w:rsidRDefault="00813C21" w:rsidP="005B38A1">
      <w:pPr>
        <w:ind w:firstLine="851"/>
        <w:jc w:val="both"/>
        <w:rPr>
          <w:rFonts w:eastAsia="Times New Roman"/>
          <w:lang w:val="sv-SE" w:eastAsia="en-ID"/>
        </w:rPr>
      </w:pPr>
      <w:r w:rsidRPr="00813C21">
        <w:rPr>
          <w:rFonts w:eastAsia="Times New Roman"/>
          <w:lang w:val="sv-SE" w:eastAsia="en-ID"/>
        </w:rPr>
        <w:t>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RPr="00813C21">
        <w:rPr>
          <w:rStyle w:val="ReferensiCatatanKaki"/>
          <w:rFonts w:eastAsia="Times New Roman"/>
          <w:lang w:val="sv-SE" w:eastAsia="en-ID"/>
        </w:rPr>
        <w:footnoteReference w:id="66"/>
      </w:r>
    </w:p>
    <w:p w14:paraId="135ABFC8" w14:textId="77777777" w:rsidR="00C30472" w:rsidRPr="00F32776" w:rsidRDefault="00C30472">
      <w:pPr>
        <w:jc w:val="both"/>
        <w:rPr>
          <w:lang w:val="sv-SE"/>
        </w:rPr>
      </w:pPr>
    </w:p>
    <w:p w14:paraId="1B7C2636" w14:textId="77777777" w:rsidR="00C30472" w:rsidRPr="00F32776" w:rsidRDefault="001366A2">
      <w:pPr>
        <w:tabs>
          <w:tab w:val="left" w:pos="284"/>
        </w:tabs>
        <w:jc w:val="both"/>
        <w:rPr>
          <w:b/>
          <w:lang w:val="sv-SE"/>
        </w:rPr>
      </w:pPr>
      <w:r w:rsidRPr="00F32776">
        <w:rPr>
          <w:b/>
          <w:lang w:val="sv-SE"/>
        </w:rPr>
        <w:t>KESIMPULAN</w:t>
      </w:r>
    </w:p>
    <w:p w14:paraId="709C1A60" w14:textId="4F600F49" w:rsidR="003929F5" w:rsidRPr="003929F5" w:rsidRDefault="003929F5" w:rsidP="005B38A1">
      <w:pPr>
        <w:jc w:val="both"/>
        <w:rPr>
          <w:lang w:val="sv-SE"/>
        </w:rPr>
      </w:pPr>
      <w:r w:rsidRPr="003929F5">
        <w:rPr>
          <w:lang w:val="sv-SE"/>
        </w:rPr>
        <w:t>Pertemuan antara posmodernisme dan Kekristenan menampilkan suatu dialektika yang menuntut respons teologis yang kritis sekaligus konstruktif. Relativisme epistemologis yang melekat dalam posmodernisme jelas bertentangan dengan pengakuan iman Kristen 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14:paraId="227DEEE5" w14:textId="77777777" w:rsidR="00C30472" w:rsidRPr="00F32776" w:rsidRDefault="00C30472">
      <w:pPr>
        <w:rPr>
          <w:b/>
          <w:lang w:val="sv-SE"/>
        </w:rPr>
      </w:pPr>
    </w:p>
    <w:p w14:paraId="6B71F03F" w14:textId="706077EA" w:rsidR="00C30472" w:rsidRPr="005B38A1" w:rsidRDefault="001366A2" w:rsidP="005B38A1">
      <w:pPr>
        <w:rPr>
          <w:b/>
          <w:lang w:val="sv-SE"/>
        </w:rPr>
      </w:pPr>
      <w:r w:rsidRPr="00F32776">
        <w:rPr>
          <w:b/>
          <w:lang w:val="sv-SE"/>
        </w:rPr>
        <w:t xml:space="preserve">DAFTAR PUSTAKA </w:t>
      </w:r>
    </w:p>
    <w:p w14:paraId="737A9104" w14:textId="0ED04805" w:rsidR="00CF59E1" w:rsidRPr="00CF59E1" w:rsidRDefault="002E779E" w:rsidP="00B61FB5">
      <w:pPr>
        <w:widowControl w:val="0"/>
        <w:autoSpaceDE w:val="0"/>
        <w:autoSpaceDN w:val="0"/>
        <w:adjustRightInd w:val="0"/>
        <w:ind w:left="851" w:hanging="851"/>
        <w:rPr>
          <w:noProof/>
        </w:rPr>
      </w:pPr>
      <w:r>
        <w:fldChar w:fldCharType="begin" w:fldLock="1"/>
      </w:r>
      <w:r w:rsidRPr="00F32776">
        <w:rPr>
          <w:lang w:val="sv-SE"/>
        </w:rPr>
        <w:instrText xml:space="preserve">ADDIN Mendeley Bibliography CSL_BIBLIOGRAPHY </w:instrText>
      </w:r>
      <w:r>
        <w:fldChar w:fldCharType="separate"/>
      </w:r>
      <w:r w:rsidR="00CF59E1" w:rsidRPr="00CF59E1">
        <w:rPr>
          <w:noProof/>
        </w:rPr>
        <w:t xml:space="preserve">Alister E. McGrath. </w:t>
      </w:r>
      <w:r w:rsidR="00CF59E1" w:rsidRPr="00CF59E1">
        <w:rPr>
          <w:i/>
          <w:iCs/>
          <w:noProof/>
        </w:rPr>
        <w:t>Christian theology : an introduction</w:t>
      </w:r>
      <w:r w:rsidR="00CF59E1" w:rsidRPr="00CF59E1">
        <w:rPr>
          <w:noProof/>
        </w:rPr>
        <w:t>. Chichester: Wiley, Blackwell, 2017.</w:t>
      </w:r>
    </w:p>
    <w:p w14:paraId="401A45C2"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Alvin Plantinga. </w:t>
      </w:r>
      <w:r w:rsidRPr="00CF59E1">
        <w:rPr>
          <w:i/>
          <w:iCs/>
          <w:noProof/>
        </w:rPr>
        <w:t xml:space="preserve">Warranted Christian Belief </w:t>
      </w:r>
      <w:r w:rsidRPr="00CF59E1">
        <w:rPr>
          <w:noProof/>
        </w:rPr>
        <w:t>. New York: Oxford University Press, 2000.</w:t>
      </w:r>
    </w:p>
    <w:p w14:paraId="4AF2EE54"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Carson, D. A. </w:t>
      </w:r>
      <w:r w:rsidRPr="00CF59E1">
        <w:rPr>
          <w:i/>
          <w:iCs/>
          <w:noProof/>
        </w:rPr>
        <w:t>Kristen di Tengah Era Postmodern</w:t>
      </w:r>
      <w:r w:rsidRPr="00CF59E1">
        <w:rPr>
          <w:noProof/>
        </w:rPr>
        <w:t>. Surabaya: Momentum, 2003.</w:t>
      </w:r>
    </w:p>
    <w:p w14:paraId="64ADF7F6" w14:textId="77777777" w:rsidR="00CF59E1" w:rsidRPr="00CF59E1" w:rsidRDefault="00CF59E1" w:rsidP="00B61FB5">
      <w:pPr>
        <w:widowControl w:val="0"/>
        <w:autoSpaceDE w:val="0"/>
        <w:autoSpaceDN w:val="0"/>
        <w:adjustRightInd w:val="0"/>
        <w:ind w:left="851" w:hanging="851"/>
        <w:rPr>
          <w:noProof/>
        </w:rPr>
      </w:pPr>
      <w:r w:rsidRPr="00CF59E1">
        <w:rPr>
          <w:noProof/>
        </w:rPr>
        <w:t>———. “The gagging of God: Christianity.” Michigan: Zondervan, 2009.</w:t>
      </w:r>
    </w:p>
    <w:p w14:paraId="010E8458"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 </w:t>
      </w:r>
      <w:r w:rsidRPr="00CF59E1">
        <w:rPr>
          <w:i/>
          <w:iCs/>
          <w:noProof/>
        </w:rPr>
        <w:t>The Gagging of God: Christianity Confronts Pluralism</w:t>
      </w:r>
      <w:r w:rsidRPr="00CF59E1">
        <w:rPr>
          <w:noProof/>
        </w:rPr>
        <w:t>. Grand Rapids: Zondervan, 2020.</w:t>
      </w:r>
    </w:p>
    <w:p w14:paraId="24F7CDA2"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Conn, Harvie M.. </w:t>
      </w:r>
      <w:r w:rsidRPr="00CF59E1">
        <w:rPr>
          <w:i/>
          <w:iCs/>
          <w:noProof/>
        </w:rPr>
        <w:t>Eternal word and changing worlds: theology, anthropology, and mission in trialogue</w:t>
      </w:r>
      <w:r w:rsidRPr="00CF59E1">
        <w:rPr>
          <w:noProof/>
        </w:rPr>
        <w:t>. Grand Rapids, Mich.: Zondervan, 1984.</w:t>
      </w:r>
    </w:p>
    <w:p w14:paraId="51987307" w14:textId="77777777" w:rsidR="00CF59E1" w:rsidRPr="00CF59E1" w:rsidRDefault="00CF59E1" w:rsidP="00B61FB5">
      <w:pPr>
        <w:widowControl w:val="0"/>
        <w:autoSpaceDE w:val="0"/>
        <w:autoSpaceDN w:val="0"/>
        <w:adjustRightInd w:val="0"/>
        <w:ind w:left="851" w:hanging="851"/>
        <w:rPr>
          <w:noProof/>
        </w:rPr>
      </w:pPr>
      <w:r w:rsidRPr="00CF59E1">
        <w:rPr>
          <w:noProof/>
        </w:rPr>
        <w:t>Darmaputera, Eka. “Pergulatan Kehadiran Kristen di Indonesia.” Jakarta: BPK Gunung Mulia, 2005.</w:t>
      </w:r>
    </w:p>
    <w:p w14:paraId="6081BB34"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David J. Bosch. </w:t>
      </w:r>
      <w:r w:rsidRPr="00CF59E1">
        <w:rPr>
          <w:i/>
          <w:iCs/>
          <w:noProof/>
        </w:rPr>
        <w:t>Transforming Mission: Paradigm Shifts in Theology of Mission</w:t>
      </w:r>
      <w:r w:rsidRPr="00CF59E1">
        <w:rPr>
          <w:noProof/>
        </w:rPr>
        <w:t>. Maryknoll: Orbis Books, 2011.</w:t>
      </w:r>
    </w:p>
    <w:p w14:paraId="6BF7B25F"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Eka Darmaputera. </w:t>
      </w:r>
      <w:r w:rsidRPr="00CF59E1">
        <w:rPr>
          <w:i/>
          <w:iCs/>
          <w:noProof/>
        </w:rPr>
        <w:t>Pergulatan kehadiran Kristen di Indonesia: teks-teks terpilih Eka Darmaputera</w:t>
      </w:r>
      <w:r w:rsidRPr="00CF59E1">
        <w:rPr>
          <w:noProof/>
        </w:rPr>
        <w:t>. Jakarta: BPK Gunung Mulia , 2005.</w:t>
      </w:r>
    </w:p>
    <w:p w14:paraId="1882E9B7"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F. F. Bruce. </w:t>
      </w:r>
      <w:r w:rsidRPr="00CF59E1">
        <w:rPr>
          <w:i/>
          <w:iCs/>
          <w:noProof/>
        </w:rPr>
        <w:t>The Book of the Acts</w:t>
      </w:r>
      <w:r w:rsidRPr="00CF59E1">
        <w:rPr>
          <w:noProof/>
        </w:rPr>
        <w:t xml:space="preserve">. </w:t>
      </w:r>
      <w:r w:rsidRPr="00CF59E1">
        <w:rPr>
          <w:i/>
          <w:iCs/>
          <w:noProof/>
        </w:rPr>
        <w:t>The Book of the Acts</w:t>
      </w:r>
      <w:r w:rsidRPr="00CF59E1">
        <w:rPr>
          <w:noProof/>
        </w:rPr>
        <w:t>. Grand Rapids: Eerdmans, 1988.</w:t>
      </w:r>
    </w:p>
    <w:p w14:paraId="714CC70D" w14:textId="77777777" w:rsidR="00CF59E1" w:rsidRPr="00CF59E1" w:rsidRDefault="00CF59E1" w:rsidP="00B61FB5">
      <w:pPr>
        <w:widowControl w:val="0"/>
        <w:autoSpaceDE w:val="0"/>
        <w:autoSpaceDN w:val="0"/>
        <w:adjustRightInd w:val="0"/>
        <w:ind w:left="851" w:hanging="851"/>
        <w:rPr>
          <w:noProof/>
        </w:rPr>
      </w:pPr>
      <w:r w:rsidRPr="00CF59E1">
        <w:rPr>
          <w:noProof/>
        </w:rPr>
        <w:lastRenderedPageBreak/>
        <w:t xml:space="preserve">Grenz, Stanley J. </w:t>
      </w:r>
      <w:r w:rsidRPr="00CF59E1">
        <w:rPr>
          <w:i/>
          <w:iCs/>
          <w:noProof/>
        </w:rPr>
        <w:t>Teologi Postmodernisme: Membaca Budaya dengan Kacamata Injil</w:t>
      </w:r>
      <w:r w:rsidRPr="00CF59E1">
        <w:rPr>
          <w:noProof/>
        </w:rPr>
        <w:t>. Jakarta: BPK Gunung Mulia, 2002.</w:t>
      </w:r>
    </w:p>
    <w:p w14:paraId="297D390E"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Hadiwijono, Harun. </w:t>
      </w:r>
      <w:r w:rsidRPr="00CF59E1">
        <w:rPr>
          <w:i/>
          <w:iCs/>
          <w:noProof/>
        </w:rPr>
        <w:t>Iman Kristen</w:t>
      </w:r>
      <w:r w:rsidRPr="00CF59E1">
        <w:rPr>
          <w:noProof/>
        </w:rPr>
        <w:t>. Jakarta: BPK Gunung Mulia, 2021.</w:t>
      </w:r>
    </w:p>
    <w:p w14:paraId="4402A753"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Herman Bavinck. </w:t>
      </w:r>
      <w:r w:rsidRPr="00CF59E1">
        <w:rPr>
          <w:i/>
          <w:iCs/>
          <w:noProof/>
        </w:rPr>
        <w:t xml:space="preserve">Reformed Dogmatics </w:t>
      </w:r>
      <w:r w:rsidRPr="00CF59E1">
        <w:rPr>
          <w:noProof/>
        </w:rPr>
        <w:t>. Vol. 1. Grand Rapids: Baker Academic, 2003.</w:t>
      </w:r>
    </w:p>
    <w:p w14:paraId="34DA01CE"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Hick, John. </w:t>
      </w:r>
      <w:r w:rsidRPr="00CF59E1">
        <w:rPr>
          <w:i/>
          <w:iCs/>
          <w:noProof/>
        </w:rPr>
        <w:t>An Interpretation of Religion: Human Responses to the Transcendent</w:t>
      </w:r>
      <w:r w:rsidRPr="00CF59E1">
        <w:rPr>
          <w:noProof/>
        </w:rPr>
        <w:t>. New Haven, CT: Yale University Press, 1989.</w:t>
      </w:r>
    </w:p>
    <w:p w14:paraId="2A840FD5"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J. Richard Middleton, Brian J. Walsh. </w:t>
      </w:r>
      <w:r w:rsidRPr="00CF59E1">
        <w:rPr>
          <w:i/>
          <w:iCs/>
          <w:noProof/>
        </w:rPr>
        <w:t>Kebenaran Subversif: Membaca Alkitab dalam Dunia Postmodern</w:t>
      </w:r>
      <w:r w:rsidRPr="00CF59E1">
        <w:rPr>
          <w:noProof/>
        </w:rPr>
        <w:t>. Jakarta: BPK Gunung Mulia, 2010.</w:t>
      </w:r>
    </w:p>
    <w:p w14:paraId="2760299C"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Jacques Derrida. </w:t>
      </w:r>
      <w:r w:rsidRPr="00CF59E1">
        <w:rPr>
          <w:i/>
          <w:iCs/>
          <w:noProof/>
        </w:rPr>
        <w:t xml:space="preserve">Of Grammatology </w:t>
      </w:r>
      <w:r w:rsidRPr="00CF59E1">
        <w:rPr>
          <w:noProof/>
        </w:rPr>
        <w:t>. Baltimore: Johns Hopkins University Press, 1976.</w:t>
      </w:r>
    </w:p>
    <w:p w14:paraId="2F29073C"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John R. W. Stott. </w:t>
      </w:r>
      <w:r w:rsidRPr="00CF59E1">
        <w:rPr>
          <w:i/>
          <w:iCs/>
          <w:noProof/>
        </w:rPr>
        <w:t xml:space="preserve">The message of Acts </w:t>
      </w:r>
      <w:r w:rsidRPr="00CF59E1">
        <w:rPr>
          <w:noProof/>
        </w:rPr>
        <w:t>. Leicester: Inter-Varsity Press, 2020.</w:t>
      </w:r>
    </w:p>
    <w:p w14:paraId="5407602A"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John W. Creswell. </w:t>
      </w:r>
      <w:r w:rsidRPr="00CF59E1">
        <w:rPr>
          <w:i/>
          <w:iCs/>
          <w:noProof/>
        </w:rPr>
        <w:t>Second Edition Qualitative Inquiry &amp; Research Design Choosing Among Five Approaches</w:t>
      </w:r>
      <w:r w:rsidRPr="00CF59E1">
        <w:rPr>
          <w:noProof/>
        </w:rPr>
        <w:t xml:space="preserve">. </w:t>
      </w:r>
      <w:r w:rsidRPr="00CF59E1">
        <w:rPr>
          <w:i/>
          <w:iCs/>
          <w:noProof/>
        </w:rPr>
        <w:t>Sage</w:t>
      </w:r>
      <w:r w:rsidRPr="00CF59E1">
        <w:rPr>
          <w:noProof/>
        </w:rPr>
        <w:t>. California: Sage Publications, Inc., 2007.</w:t>
      </w:r>
    </w:p>
    <w:p w14:paraId="3A00FD28"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Joseph P. Natoli, dan Linda Hutcheon. </w:t>
      </w:r>
      <w:r w:rsidRPr="00CF59E1">
        <w:rPr>
          <w:i/>
          <w:iCs/>
          <w:noProof/>
        </w:rPr>
        <w:t>A Postmodern reader</w:t>
      </w:r>
      <w:r w:rsidRPr="00CF59E1">
        <w:rPr>
          <w:noProof/>
        </w:rPr>
        <w:t>. State University of New York Press, 1993.</w:t>
      </w:r>
    </w:p>
    <w:p w14:paraId="52FCAF76"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Karl Barth. </w:t>
      </w:r>
      <w:r w:rsidRPr="00CF59E1">
        <w:rPr>
          <w:i/>
          <w:iCs/>
          <w:noProof/>
        </w:rPr>
        <w:t xml:space="preserve">Church Dogmatics The Doctrine of the Word of God, Volume 1, Part 2 </w:t>
      </w:r>
      <w:r w:rsidRPr="00CF59E1">
        <w:rPr>
          <w:noProof/>
        </w:rPr>
        <w:t>. Vol. 1. Edinburgh: T&amp;T Clark Internasional, 1936.</w:t>
      </w:r>
    </w:p>
    <w:p w14:paraId="42E42A18"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Kevin J. Vanhoozer. </w:t>
      </w:r>
      <w:r w:rsidRPr="00CF59E1">
        <w:rPr>
          <w:i/>
          <w:iCs/>
          <w:noProof/>
        </w:rPr>
        <w:t>Is There a Meaning in This Text? The Bible, the Reader, and the Morality of Literary Knowledge</w:t>
      </w:r>
      <w:r w:rsidRPr="00CF59E1">
        <w:rPr>
          <w:noProof/>
        </w:rPr>
        <w:t>. Grand Rapids: Zondervan, 1998.</w:t>
      </w:r>
    </w:p>
    <w:p w14:paraId="462FA798"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Kevin J. Vanhoozer, Charles A. Andersonand Michael J. Sleasman. </w:t>
      </w:r>
      <w:r w:rsidRPr="00CF59E1">
        <w:rPr>
          <w:i/>
          <w:iCs/>
          <w:noProof/>
        </w:rPr>
        <w:t xml:space="preserve">Everyday Theology (Cultural Exegesis): How to Read Cultural Texts and Interpret Trends </w:t>
      </w:r>
      <w:r w:rsidRPr="00CF59E1">
        <w:rPr>
          <w:noProof/>
        </w:rPr>
        <w:t>. USA: Baker Academic , 2007.</w:t>
      </w:r>
    </w:p>
    <w:p w14:paraId="2D3D59FF"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Kleden, Budi. </w:t>
      </w:r>
      <w:r w:rsidRPr="00CF59E1">
        <w:rPr>
          <w:i/>
          <w:iCs/>
          <w:noProof/>
        </w:rPr>
        <w:t>Kristologi dalam Konteks Papua</w:t>
      </w:r>
      <w:r w:rsidRPr="00CF59E1">
        <w:rPr>
          <w:noProof/>
        </w:rPr>
        <w:t>. Yogyakarta: Kanisius, 2015.</w:t>
      </w:r>
    </w:p>
    <w:p w14:paraId="25B25512"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LAI 1974. </w:t>
      </w:r>
      <w:r w:rsidRPr="00CF59E1">
        <w:rPr>
          <w:i/>
          <w:iCs/>
          <w:noProof/>
        </w:rPr>
        <w:t>Alkitab Terjemahan Baru</w:t>
      </w:r>
      <w:r w:rsidRPr="00CF59E1">
        <w:rPr>
          <w:noProof/>
        </w:rPr>
        <w:t>. Jakarta: LEMBAGA ALKITAB INDONESIA, 2018.</w:t>
      </w:r>
    </w:p>
    <w:p w14:paraId="45764751"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Lubis, Akhyar. </w:t>
      </w:r>
      <w:r w:rsidRPr="00CF59E1">
        <w:rPr>
          <w:i/>
          <w:iCs/>
          <w:noProof/>
        </w:rPr>
        <w:t>Postmodernisme</w:t>
      </w:r>
      <w:r w:rsidRPr="00CF59E1">
        <w:rPr>
          <w:noProof/>
        </w:rPr>
        <w:t>. Jakarta: Rajawali Pres, 2014.</w:t>
      </w:r>
    </w:p>
    <w:p w14:paraId="659AB59B"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Lyotard, Jean-François. </w:t>
      </w:r>
      <w:r w:rsidRPr="00CF59E1">
        <w:rPr>
          <w:i/>
          <w:iCs/>
          <w:noProof/>
        </w:rPr>
        <w:t>Kondisi Postmodern</w:t>
      </w:r>
      <w:r w:rsidRPr="00CF59E1">
        <w:rPr>
          <w:noProof/>
        </w:rPr>
        <w:t>. Yogyakarta: Kanisius, 2009.</w:t>
      </w:r>
    </w:p>
    <w:p w14:paraId="7B35EA93"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 </w:t>
      </w:r>
      <w:r w:rsidRPr="00CF59E1">
        <w:rPr>
          <w:i/>
          <w:iCs/>
          <w:noProof/>
        </w:rPr>
        <w:t>The Postmodern Condition: A Report on Knowledge</w:t>
      </w:r>
      <w:r w:rsidRPr="00CF59E1">
        <w:rPr>
          <w:noProof/>
        </w:rPr>
        <w:t>. Minneapolis: University of Minnesota Press, 1984.</w:t>
      </w:r>
    </w:p>
    <w:p w14:paraId="5E74FF7D"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Marlon Butarbutar. “Kristologi Biblika Menurut Kaum Reformed sebagai Salah Satu Dasar Apologetika dalam Menghadapi Pengajaran Gnostik di Era Postmodern.” </w:t>
      </w:r>
      <w:r w:rsidRPr="00CF59E1">
        <w:rPr>
          <w:i/>
          <w:iCs/>
          <w:noProof/>
        </w:rPr>
        <w:t>Scripta</w:t>
      </w:r>
      <w:r w:rsidRPr="00CF59E1">
        <w:rPr>
          <w:noProof/>
        </w:rPr>
        <w:t xml:space="preserve"> 6, no. 2 (Juni 2018): 116–28. https://doi.org/10.47154/SCRIPTA.V6I2.49.</w:t>
      </w:r>
    </w:p>
    <w:p w14:paraId="497A4270" w14:textId="77777777" w:rsidR="00CF59E1" w:rsidRPr="00CF59E1" w:rsidRDefault="00CF59E1" w:rsidP="00B61FB5">
      <w:pPr>
        <w:widowControl w:val="0"/>
        <w:autoSpaceDE w:val="0"/>
        <w:autoSpaceDN w:val="0"/>
        <w:adjustRightInd w:val="0"/>
        <w:ind w:left="851" w:hanging="851"/>
        <w:rPr>
          <w:noProof/>
        </w:rPr>
      </w:pPr>
      <w:r w:rsidRPr="00CF59E1">
        <w:rPr>
          <w:noProof/>
        </w:rPr>
        <w:t>McGrath, Alister E. “Christian Theology: An Introduction, 5th Edition: An Introduction,” 2011, 539.</w:t>
      </w:r>
    </w:p>
    <w:p w14:paraId="7253AF55"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Michel Foucault. </w:t>
      </w:r>
      <w:r w:rsidRPr="00CF59E1">
        <w:rPr>
          <w:i/>
          <w:iCs/>
          <w:noProof/>
        </w:rPr>
        <w:t>Power/Knowledge: Selected Interviews and Other Writings 1972–1977</w:t>
      </w:r>
      <w:r w:rsidRPr="00CF59E1">
        <w:rPr>
          <w:noProof/>
        </w:rPr>
        <w:t>. New York: Pantheon Books, 1980.</w:t>
      </w:r>
    </w:p>
    <w:p w14:paraId="0F7A3842"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MS, Kaelan. </w:t>
      </w:r>
      <w:r w:rsidRPr="00CF59E1">
        <w:rPr>
          <w:i/>
          <w:iCs/>
          <w:noProof/>
        </w:rPr>
        <w:t>Metode Penelitian Kualitatif Bidang Filsafat</w:t>
      </w:r>
      <w:r w:rsidRPr="00CF59E1">
        <w:rPr>
          <w:noProof/>
        </w:rPr>
        <w:t>. Yogyakarta.: Paradigma, 2005.</w:t>
      </w:r>
    </w:p>
    <w:p w14:paraId="5ECCF080"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N. T. Wright. </w:t>
      </w:r>
      <w:r w:rsidRPr="00CF59E1">
        <w:rPr>
          <w:i/>
          <w:iCs/>
          <w:noProof/>
        </w:rPr>
        <w:t xml:space="preserve">Following Jesus: Biblical Reflections on Discipleship </w:t>
      </w:r>
      <w:r w:rsidRPr="00CF59E1">
        <w:rPr>
          <w:noProof/>
        </w:rPr>
        <w:t>. Grand Rapids: Eerdmans, 1995.</w:t>
      </w:r>
    </w:p>
    <w:p w14:paraId="77334500"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 </w:t>
      </w:r>
      <w:r w:rsidRPr="00CF59E1">
        <w:rPr>
          <w:i/>
          <w:iCs/>
          <w:noProof/>
        </w:rPr>
        <w:t>Simply Jesus : a new vision of who he was, what he did, and why he matters</w:t>
      </w:r>
      <w:r w:rsidRPr="00CF59E1">
        <w:rPr>
          <w:noProof/>
        </w:rPr>
        <w:t>. HarperOne, 2011.</w:t>
      </w:r>
    </w:p>
    <w:p w14:paraId="04EAFD6D"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Newbigin, Lesslie. </w:t>
      </w:r>
      <w:r w:rsidRPr="00CF59E1">
        <w:rPr>
          <w:i/>
          <w:iCs/>
          <w:noProof/>
        </w:rPr>
        <w:t>The Gospel in a Pluralist Society</w:t>
      </w:r>
      <w:r w:rsidRPr="00CF59E1">
        <w:rPr>
          <w:noProof/>
        </w:rPr>
        <w:t>. London: SPCK, 2022.</w:t>
      </w:r>
    </w:p>
    <w:p w14:paraId="4608EBC8"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Oakes, Edward T. “SIMPLY CHRISTIAN: WHY CHRISTIANITY MAKES SENSE .” </w:t>
      </w:r>
      <w:r w:rsidRPr="00CF59E1">
        <w:rPr>
          <w:i/>
          <w:iCs/>
          <w:noProof/>
        </w:rPr>
        <w:t>A Monthly Journal of Religion and Public Life</w:t>
      </w:r>
      <w:r w:rsidRPr="00CF59E1">
        <w:rPr>
          <w:noProof/>
        </w:rPr>
        <w:t>, no. 169 (Januari 2007): 56–57.</w:t>
      </w:r>
    </w:p>
    <w:p w14:paraId="5F4A1F70"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Obehetan, Yeheskiel, dan Febrianto Sutomo Rompis. “Analisis Kritis terhadap Strategi Misi Kontekstualisasi Paulus dalam 1 Korintus 9:20 bagi Tantangan Penginjilan di Era Postmodern.” </w:t>
      </w:r>
      <w:r w:rsidRPr="00CF59E1">
        <w:rPr>
          <w:i/>
          <w:iCs/>
          <w:noProof/>
        </w:rPr>
        <w:t>LUXNOS: JURNAL SEKOLAH TINGGI TEOLOGI PELITA DUNIA</w:t>
      </w:r>
      <w:r w:rsidRPr="00CF59E1">
        <w:rPr>
          <w:noProof/>
        </w:rPr>
        <w:t xml:space="preserve"> 11, no. 2 (2025): 359–71. https://luxnos.sttpd.ac.id/index.php/20_luxnos_20/article/view/obehetan2025.</w:t>
      </w:r>
    </w:p>
    <w:p w14:paraId="39A4E5FA"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Priest, Robert J. “Missionary Elenctics: Conscience and Culture.” </w:t>
      </w:r>
      <w:r w:rsidRPr="00CF59E1">
        <w:rPr>
          <w:i/>
          <w:iCs/>
          <w:noProof/>
        </w:rPr>
        <w:t>Missiology</w:t>
      </w:r>
      <w:r w:rsidRPr="00CF59E1">
        <w:rPr>
          <w:noProof/>
        </w:rPr>
        <w:t xml:space="preserve"> 22, no. 3 (Juli 1994): 291–315. https://doi.org/10.1177/009182969402200301.</w:t>
      </w:r>
    </w:p>
    <w:p w14:paraId="06177CF1"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Priyono, Budi, dan Arnold Tindas. “Otoritas Alkitab dalam Era Postmodern.” </w:t>
      </w:r>
      <w:r w:rsidRPr="00CF59E1">
        <w:rPr>
          <w:i/>
          <w:iCs/>
          <w:noProof/>
        </w:rPr>
        <w:t xml:space="preserve">Tri Tunggal: </w:t>
      </w:r>
      <w:r w:rsidRPr="00CF59E1">
        <w:rPr>
          <w:i/>
          <w:iCs/>
          <w:noProof/>
        </w:rPr>
        <w:lastRenderedPageBreak/>
        <w:t>Jurnal Pendidikan Kristen dan Katolik</w:t>
      </w:r>
      <w:r w:rsidRPr="00CF59E1">
        <w:rPr>
          <w:noProof/>
        </w:rPr>
        <w:t xml:space="preserve"> 3, no. 2 (April 2025): 16–37. https://doi.org/10.61132/TRITUNGGAL.V3I2.1112.</w:t>
      </w:r>
    </w:p>
    <w:p w14:paraId="4E20EA37"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R. W. L. Moberly. </w:t>
      </w:r>
      <w:r w:rsidRPr="00CF59E1">
        <w:rPr>
          <w:i/>
          <w:iCs/>
          <w:noProof/>
        </w:rPr>
        <w:t>The Science of Sustainable Development. Local Livelihoods and the Global Environment (Sayer, Campbell 2004)</w:t>
      </w:r>
      <w:r w:rsidRPr="00CF59E1">
        <w:rPr>
          <w:noProof/>
        </w:rPr>
        <w:t xml:space="preserve">. </w:t>
      </w:r>
      <w:r w:rsidRPr="00CF59E1">
        <w:rPr>
          <w:i/>
          <w:iCs/>
          <w:noProof/>
        </w:rPr>
        <w:t>Ecology and Society</w:t>
      </w:r>
      <w:r w:rsidRPr="00CF59E1">
        <w:rPr>
          <w:noProof/>
        </w:rPr>
        <w:t>. Cambridge: Cambridge University Press, 2000.</w:t>
      </w:r>
    </w:p>
    <w:p w14:paraId="5FC61074"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Reid Hensarling. </w:t>
      </w:r>
      <w:r w:rsidRPr="00CF59E1">
        <w:rPr>
          <w:i/>
          <w:iCs/>
          <w:noProof/>
        </w:rPr>
        <w:t>Biblical Gospel : Its Significance And Impact In Spiritual Renewal</w:t>
      </w:r>
      <w:r w:rsidRPr="00CF59E1">
        <w:rPr>
          <w:noProof/>
        </w:rPr>
        <w:t>. Bloomington: Westbow Press, 2012.</w:t>
      </w:r>
    </w:p>
    <w:p w14:paraId="4C720F20"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Stanley J. Grenz. </w:t>
      </w:r>
      <w:r w:rsidRPr="00CF59E1">
        <w:rPr>
          <w:i/>
          <w:iCs/>
          <w:noProof/>
        </w:rPr>
        <w:t xml:space="preserve">A Primer on Postmodernism </w:t>
      </w:r>
      <w:r w:rsidRPr="00CF59E1">
        <w:rPr>
          <w:noProof/>
        </w:rPr>
        <w:t xml:space="preserve">. </w:t>
      </w:r>
      <w:r w:rsidRPr="00CF59E1">
        <w:rPr>
          <w:i/>
          <w:iCs/>
          <w:noProof/>
        </w:rPr>
        <w:t xml:space="preserve">Grand Rapids </w:t>
      </w:r>
      <w:r w:rsidRPr="00CF59E1">
        <w:rPr>
          <w:noProof/>
        </w:rPr>
        <w:t>. Michigan: Grand Rapids, 1996.</w:t>
      </w:r>
    </w:p>
    <w:p w14:paraId="4EBB286C" w14:textId="77777777" w:rsidR="00CF59E1" w:rsidRPr="00CF59E1" w:rsidRDefault="00CF59E1" w:rsidP="00B61FB5">
      <w:pPr>
        <w:widowControl w:val="0"/>
        <w:autoSpaceDE w:val="0"/>
        <w:autoSpaceDN w:val="0"/>
        <w:adjustRightInd w:val="0"/>
        <w:ind w:left="851" w:hanging="851"/>
        <w:rPr>
          <w:noProof/>
        </w:rPr>
      </w:pPr>
      <w:r w:rsidRPr="00CF59E1">
        <w:rPr>
          <w:noProof/>
        </w:rPr>
        <w:t>Stephen B. Bevans, SVD. “Models of Contextual Theology.” Maryknoll, New York, USA: Orbis Books, 2002.</w:t>
      </w:r>
    </w:p>
    <w:p w14:paraId="7D0AA35A"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Stott, John R. W. 1921-2011. </w:t>
      </w:r>
      <w:r w:rsidRPr="00CF59E1">
        <w:rPr>
          <w:i/>
          <w:iCs/>
          <w:noProof/>
        </w:rPr>
        <w:t>The contemporary christian  an urgent plea for double listening</w:t>
      </w:r>
      <w:r w:rsidRPr="00CF59E1">
        <w:rPr>
          <w:noProof/>
        </w:rPr>
        <w:t>. [Leicester]: Inter-Varsity Press, 1993.</w:t>
      </w:r>
    </w:p>
    <w:p w14:paraId="1C29B805"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Susabda, Yakub B. </w:t>
      </w:r>
      <w:r w:rsidRPr="00CF59E1">
        <w:rPr>
          <w:i/>
          <w:iCs/>
          <w:noProof/>
        </w:rPr>
        <w:t>Konseling Pastoral: Sebuah Pengantar</w:t>
      </w:r>
      <w:r w:rsidRPr="00CF59E1">
        <w:rPr>
          <w:noProof/>
        </w:rPr>
        <w:t>. Malang: Gandum Mas, 1997.</w:t>
      </w:r>
    </w:p>
    <w:p w14:paraId="07856944" w14:textId="77777777" w:rsidR="00CF59E1" w:rsidRPr="00CF59E1" w:rsidRDefault="00CF59E1" w:rsidP="00B61FB5">
      <w:pPr>
        <w:widowControl w:val="0"/>
        <w:autoSpaceDE w:val="0"/>
        <w:autoSpaceDN w:val="0"/>
        <w:adjustRightInd w:val="0"/>
        <w:ind w:left="851" w:hanging="851"/>
        <w:rPr>
          <w:noProof/>
        </w:rPr>
      </w:pPr>
      <w:r w:rsidRPr="00CF59E1">
        <w:rPr>
          <w:i/>
          <w:iCs/>
          <w:noProof/>
        </w:rPr>
        <w:t>Theologia Crucis: Salib Kristus</w:t>
      </w:r>
      <w:r w:rsidRPr="00CF59E1">
        <w:rPr>
          <w:noProof/>
        </w:rPr>
        <w:t>. Jakarta: Reformed Institute, 2006.</w:t>
      </w:r>
    </w:p>
    <w:p w14:paraId="24241A31"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Thomas F Torrance. </w:t>
      </w:r>
      <w:r w:rsidRPr="00CF59E1">
        <w:rPr>
          <w:i/>
          <w:iCs/>
          <w:noProof/>
        </w:rPr>
        <w:t>Reality &amp; evangelical theology : the realism of Christian revelation</w:t>
      </w:r>
      <w:r w:rsidRPr="00CF59E1">
        <w:rPr>
          <w:noProof/>
        </w:rPr>
        <w:t>. Wipf and Stock Publishers, 2003.</w:t>
      </w:r>
    </w:p>
    <w:p w14:paraId="180D7E07" w14:textId="77777777" w:rsidR="00CF59E1" w:rsidRPr="00CF59E1" w:rsidRDefault="00CF59E1" w:rsidP="00B61FB5">
      <w:pPr>
        <w:widowControl w:val="0"/>
        <w:autoSpaceDE w:val="0"/>
        <w:autoSpaceDN w:val="0"/>
        <w:adjustRightInd w:val="0"/>
        <w:ind w:left="851" w:hanging="851"/>
        <w:rPr>
          <w:noProof/>
        </w:rPr>
      </w:pPr>
      <w:r w:rsidRPr="00CF59E1">
        <w:rPr>
          <w:noProof/>
        </w:rPr>
        <w:t xml:space="preserve">Wahyu dan Nesimnasi. “Penafsiran Alkitab di Era Postmodern: Tantangan dan Peluang bagi Gereja Kontemporer.” </w:t>
      </w:r>
      <w:r w:rsidRPr="00CF59E1">
        <w:rPr>
          <w:i/>
          <w:iCs/>
          <w:noProof/>
        </w:rPr>
        <w:t>Cerdika: Jurnal Ilmiah Indonesia 5</w:t>
      </w:r>
      <w:r w:rsidRPr="00CF59E1">
        <w:rPr>
          <w:noProof/>
        </w:rPr>
        <w:t xml:space="preserve"> 5, no. 1 (2025): 45–58.</w:t>
      </w:r>
    </w:p>
    <w:p w14:paraId="1556306D" w14:textId="3CFBD2BE" w:rsidR="00F32776" w:rsidRDefault="002E779E" w:rsidP="00B61FB5">
      <w:pPr>
        <w:widowControl w:val="0"/>
        <w:autoSpaceDE w:val="0"/>
        <w:autoSpaceDN w:val="0"/>
        <w:adjustRightInd w:val="0"/>
        <w:ind w:left="851" w:hanging="851"/>
      </w:pPr>
      <w:r>
        <w:fldChar w:fldCharType="end"/>
      </w:r>
    </w:p>
    <w:sectPr w:rsidR="00F32776">
      <w:headerReference w:type="even" r:id="rId11"/>
      <w:footerReference w:type="even" r:id="rId12"/>
      <w:footerReference w:type="default" r:id="rId13"/>
      <w:headerReference w:type="first" r:id="rId14"/>
      <w:footerReference w:type="first" r:id="rId15"/>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B6A42" w14:textId="77777777" w:rsidR="00037A20" w:rsidRDefault="00037A20">
      <w:r>
        <w:separator/>
      </w:r>
    </w:p>
  </w:endnote>
  <w:endnote w:type="continuationSeparator" w:id="0">
    <w:p w14:paraId="6ADCA849" w14:textId="77777777" w:rsidR="00037A20" w:rsidRDefault="00037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BE4A9D07-186A-4195-B4D1-FB65540DEC33}"/>
    <w:embedBold r:id="rId2" w:fontKey="{B76D13C1-DC40-46B2-B571-7C9CE46FCDEA}"/>
  </w:font>
  <w:font w:name="Calibri">
    <w:panose1 w:val="020F0502020204030204"/>
    <w:charset w:val="00"/>
    <w:family w:val="swiss"/>
    <w:pitch w:val="variable"/>
    <w:sig w:usb0="E4002EFF" w:usb1="C200247B" w:usb2="00000009" w:usb3="00000000" w:csb0="000001FF" w:csb1="00000000"/>
    <w:embedRegular r:id="rId3" w:fontKey="{DBDEC2ED-E3D6-4C10-B586-692F03DA990C}"/>
    <w:embedBold r:id="rId4" w:fontKey="{39861C27-8D42-4FD9-82BA-96C224428F0A}"/>
    <w:embedItalic r:id="rId5" w:fontKey="{992518EF-10DA-485C-9044-2AA2FE67BA18}"/>
  </w:font>
  <w:font w:name="Calisto MT">
    <w:panose1 w:val="02040603050505030304"/>
    <w:charset w:val="00"/>
    <w:family w:val="roman"/>
    <w:pitch w:val="variable"/>
    <w:sig w:usb0="00000003" w:usb1="00000000" w:usb2="00000000" w:usb3="00000000" w:csb0="00000001" w:csb1="00000000"/>
    <w:embedRegular r:id="rId6" w:fontKey="{A057E4F3-AC31-4E3A-B46D-A07E662C1F27}"/>
    <w:embedBold r:id="rId7" w:fontKey="{E525009D-5681-420B-B442-E05F329713DB}"/>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35B2B1AC-EAAE-4EAF-8263-1CE78A2B0384}"/>
    <w:embedItalic r:id="rId9" w:fontKey="{8A45824B-AD43-4576-94E4-623C13F64FF9}"/>
  </w:font>
  <w:font w:name="Lustria">
    <w:altName w:val="Calibri"/>
    <w:charset w:val="00"/>
    <w:family w:val="auto"/>
    <w:pitch w:val="default"/>
    <w:embedRegular r:id="rId10" w:fontKey="{0FA2938E-8567-4ED1-A912-2F2A11F0A017}"/>
    <w:embedBold r:id="rId11" w:fontKey="{CAEEB04F-32C3-44E2-B964-5B984FF71600}"/>
    <w:embedItalic r:id="rId12" w:fontKey="{71F0C53B-8D71-4EAD-B30F-3D1B3934B9FB}"/>
  </w:font>
  <w:font w:name="EB Garamond">
    <w:altName w:val="Calibri"/>
    <w:charset w:val="00"/>
    <w:family w:val="auto"/>
    <w:pitch w:val="variable"/>
    <w:sig w:usb0="E00002FF" w:usb1="02000413" w:usb2="00000000" w:usb3="00000000" w:csb0="0000019F" w:csb1="00000000"/>
    <w:embedRegular r:id="rId13" w:fontKey="{1ABE69E3-94A7-46FE-A870-146EF16B8B9F}"/>
  </w:font>
  <w:font w:name="Calibri Light">
    <w:panose1 w:val="020F0302020204030204"/>
    <w:charset w:val="00"/>
    <w:family w:val="swiss"/>
    <w:pitch w:val="variable"/>
    <w:sig w:usb0="E4002EFF" w:usb1="C200247B" w:usb2="00000009" w:usb3="00000000" w:csb0="000001FF" w:csb1="00000000"/>
    <w:embedRegular r:id="rId14" w:fontKey="{FE81E20C-B1CB-4971-A914-A504426A2DD3}"/>
  </w:font>
  <w:font w:name="Cambria">
    <w:panose1 w:val="02040503050406030204"/>
    <w:charset w:val="00"/>
    <w:family w:val="roman"/>
    <w:pitch w:val="variable"/>
    <w:sig w:usb0="E00006FF" w:usb1="420024FF" w:usb2="02000000" w:usb3="00000000" w:csb0="0000019F" w:csb1="00000000"/>
    <w:embedRegular r:id="rId15" w:fontKey="{4ABE7501-36DE-4079-814E-0932BB4C1F27}"/>
    <w:embedBoldItalic r:id="rId16" w:fontKey="{155CEAD9-47F6-4176-960A-78AD88BF8B6D}"/>
  </w:font>
  <w:font w:name="Garamond">
    <w:panose1 w:val="02020404030301010803"/>
    <w:charset w:val="00"/>
    <w:family w:val="roman"/>
    <w:pitch w:val="variable"/>
    <w:sig w:usb0="00000287" w:usb1="00000000" w:usb2="00000000" w:usb3="00000000" w:csb0="0000009F" w:csb1="00000000"/>
    <w:embedRegular r:id="rId17" w:fontKey="{32FB3D99-F400-4CD9-85BD-35FC8C11CEC4}"/>
  </w:font>
  <w:font w:name="Corben">
    <w:charset w:val="00"/>
    <w:family w:val="auto"/>
    <w:pitch w:val="default"/>
    <w:embedRegular r:id="rId18" w:fontKey="{4A22CEA9-9CF5-49A7-80A3-FD1D86987BC9}"/>
  </w:font>
  <w:font w:name="Verdana">
    <w:panose1 w:val="020B0604030504040204"/>
    <w:charset w:val="00"/>
    <w:family w:val="swiss"/>
    <w:pitch w:val="variable"/>
    <w:sig w:usb0="A00006FF" w:usb1="4000205B" w:usb2="00000010" w:usb3="00000000" w:csb0="0000019F" w:csb1="00000000"/>
    <w:embedRegular r:id="rId19" w:fontKey="{C3F2F370-BABA-4175-B966-8C096D5C1A11}"/>
    <w:embedBold r:id="rId20" w:fontKey="{0C27780E-FBA9-4B57-8357-1133A4F5C6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1366A2" w:rsidRDefault="001366A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1366A2" w:rsidRDefault="001366A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1366A2" w:rsidRDefault="001366A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65A36" w14:textId="77777777" w:rsidR="00037A20" w:rsidRDefault="00037A20">
      <w:r>
        <w:separator/>
      </w:r>
    </w:p>
  </w:footnote>
  <w:footnote w:type="continuationSeparator" w:id="0">
    <w:p w14:paraId="09E79237" w14:textId="77777777" w:rsidR="00037A20" w:rsidRDefault="00037A20">
      <w:r>
        <w:continuationSeparator/>
      </w:r>
    </w:p>
  </w:footnote>
  <w:footnote w:id="1">
    <w:p w14:paraId="478CA429" w14:textId="11320204"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","type":"book"},"uris":["http://www.mendeley.com/documents/?uuid=09da716a-bcd2-484d-b39f-fbb81f8ea6c9"]}],"mendeley":{"formattedCitation":"Stanley J. Grenz, &lt;i&gt;A Primer on Postmodernism &lt;/i&gt;, &lt;i&gt;Grand Rapids &lt;/i&gt; (Michigan: Grand Rapids, 1996).","plainTextFormattedCitation":"Stanley J. Grenz, A Primer on Postmodernism , Grand Rapids  (Michigan: Grand Rapids, 1996).","previouslyFormattedCitation":"Stanley J. Grenz, &lt;i&gt;A Primer on Postmodernism &lt;/i&gt;, &lt;i&gt;Grand Rapids &lt;/i&gt; (Michigan: Grand Rapids, 1996), 2–5, diakses Agustus 12, 2025, https://www.google.co.id/books/edition/A_Primer_on_Postmodernism/gBTTKIqz5mEC?hl=id&amp;gbpv=1&amp;dq=Stanley+J.+Grenz,+A+Primer+on+Postmodernism&amp;pg=PA191&amp;printsec=frontcover."},"properties":{"noteIndex":1},"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Stanley J. Grenz, </w:t>
      </w:r>
      <w:r w:rsidR="00CF59E1" w:rsidRPr="00CF59E1">
        <w:rPr>
          <w:rFonts w:ascii="Times New Roman" w:hAnsi="Times New Roman" w:cs="Times New Roman"/>
          <w:i/>
          <w:noProof/>
        </w:rPr>
        <w:t xml:space="preserve">A Primer on Postmodernism </w:t>
      </w:r>
      <w:r w:rsidR="00CF59E1" w:rsidRPr="00CF59E1">
        <w:rPr>
          <w:rFonts w:ascii="Times New Roman" w:hAnsi="Times New Roman" w:cs="Times New Roman"/>
          <w:noProof/>
        </w:rPr>
        <w:t xml:space="preserve">, </w:t>
      </w:r>
      <w:r w:rsidR="00CF59E1" w:rsidRPr="00CF59E1">
        <w:rPr>
          <w:rFonts w:ascii="Times New Roman" w:hAnsi="Times New Roman" w:cs="Times New Roman"/>
          <w:i/>
          <w:noProof/>
        </w:rPr>
        <w:t xml:space="preserve">Grand Rapids </w:t>
      </w:r>
      <w:r w:rsidR="00CF59E1" w:rsidRPr="00CF59E1">
        <w:rPr>
          <w:rFonts w:ascii="Times New Roman" w:hAnsi="Times New Roman" w:cs="Times New Roman"/>
          <w:noProof/>
        </w:rPr>
        <w:t xml:space="preserve"> (Michigan: Grand Rapids, 1996).</w:t>
      </w:r>
      <w:r w:rsidRPr="00C71822">
        <w:rPr>
          <w:rFonts w:ascii="Times New Roman" w:hAnsi="Times New Roman" w:cs="Times New Roman"/>
        </w:rPr>
        <w:fldChar w:fldCharType="end"/>
      </w:r>
    </w:p>
  </w:footnote>
  <w:footnote w:id="2">
    <w:p w14:paraId="79829E0B" w14:textId="2B5ED267"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{"citationItems":[{"id":"ITEM-1","itemData":{"ISBN":"9780816611737","author":[{"dropping-particle":"","family":"Lyotard","given":"Jean-François","non-dropping-particle":"","parse-names":false,"suffix":""}],"id":"ITEM-1","issued":{"date-parts":[["1984"]]},"publisher":"University of Minnesota Press","publisher-place":"Minneapolis","title":"The Postmodern Condition: A Report on Knowledge","type":"book"},"uris":["http://www.mendeley.com/documents/?uuid=d4a617ef-50da-4676-b973-aeb71a5942f4"]}],"mendeley":{"formattedCitation":"Jean-François Lyotard, &lt;i&gt;The Postmodern Condition: A Report on Knowledge&lt;/i&gt; (Minneapolis: University of Minnesota Press, 1984).","plainTextFormattedCitation":"Jean-François Lyotard, The Postmodern Condition: A Report on Knowledge (Minneapolis: University of Minnesota Press, 1984).","previouslyFormattedCitation":"Jean-François Lyotard, &lt;i&gt;The Postmodern Condition: A Report on Knowledge&lt;/i&gt; (Minneapolis: University of Minnesota Press, 1984), 71."},"properties":{"noteIndex":2},"schema":"https://github.com/citation-style-language/schema/raw/master/csl-citation.json"}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Jean-François Lyotard, </w:t>
      </w:r>
      <w:r w:rsidR="00CF59E1" w:rsidRPr="00CF59E1">
        <w:rPr>
          <w:rFonts w:ascii="Times New Roman" w:hAnsi="Times New Roman" w:cs="Times New Roman"/>
          <w:i/>
          <w:noProof/>
        </w:rPr>
        <w:t>The Postmodern Condition: A Report on Knowledge</w:t>
      </w:r>
      <w:r w:rsidR="00CF59E1" w:rsidRPr="00CF59E1">
        <w:rPr>
          <w:rFonts w:ascii="Times New Roman" w:hAnsi="Times New Roman" w:cs="Times New Roman"/>
          <w:noProof/>
        </w:rPr>
        <w:t xml:space="preserve"> (Minneapolis: University of Minnesota Press, 1984).</w:t>
      </w:r>
      <w:r w:rsidRPr="00C71822">
        <w:rPr>
          <w:rFonts w:ascii="Times New Roman" w:hAnsi="Times New Roman" w:cs="Times New Roman"/>
        </w:rPr>
        <w:fldChar w:fldCharType="end"/>
      </w:r>
    </w:p>
  </w:footnote>
  <w:footnote w:id="3">
    <w:p w14:paraId="22F61471" w14:textId="4DA17528"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Christianity","type":"article"},"uris":["http://www.mendeley.com/documents/?uuid=89b2848b-0974-4f14-8bfa-2817e5076fb4"]}],"mendeley":{"formattedCitation":"D. A. Carson, “The gagging of God: Christianity” (Michigan: Zondervan, 2009).","plainTextFormattedCitation":"D. A. Carson, “The gagging of God: Christianity” (Michigan: Zondervan, 2009).","previouslyFormattedCitation":"D.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Chr."},"properties":{"noteIndex":3},"schema":"https://github.com/citation-style-language/schema/raw/master/csl-citation.json"}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D. A. Carson, “The gagging of God: Christianity” (Michigan: Zondervan, 2009).</w:t>
      </w:r>
      <w:r w:rsidRPr="00C71822">
        <w:rPr>
          <w:rFonts w:ascii="Times New Roman" w:hAnsi="Times New Roman" w:cs="Times New Roman"/>
        </w:rPr>
        <w:fldChar w:fldCharType="end"/>
      </w:r>
    </w:p>
  </w:footnote>
  <w:footnote w:id="4">
    <w:p w14:paraId="557B040C" w14:textId="37424AD9"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{"citationItems":[{"id":"ITEM-1","itemData":{"ISBN":"9780801031670","author":[{"dropping-particle":"","family":"Kevin J. Vanhoozer","given":"Charles A. Andersonand Michael J. Sleasman","non-dropping-particle":"","parse-names":false,"suffix":""}],"id":"ITEM-1","issued":{"date-parts":[["2007"]]},"publisher":"Baker Academic ","publisher-place":"USA","title":"Everyday Theology (Cultural Exegesis): How to Read Cultural Texts and Interpret Trends ","type":"book"},"uris":["http://www.mendeley.com/documents/?uuid=b7f69b18-b906-4685-a4c1-aa62024386b3"]}],"mendeley":{"formattedCitation":"Charles A. Andersonand Michael J. Sleasman Kevin J. Vanhoozer, &lt;i&gt;Everyday Theology (Cultural Exegesis): How to Read Cultural Texts and Interpret Trends &lt;/i&gt; (USA: Baker Academic , 2007).","plainTextFormattedCitation":"Charles A. Andersonand Michael J. Sleasman Kevin J. Vanhoozer, Everyday Theology (Cultural Exegesis): How to Read Cultural Texts and Interpret Trends  (USA: Baker Academic , 2007).","previouslyFormattedCitation":"Charles A. Andersonand Michael J. Sleasman Kevin J. Vanhoozer, &lt;i&gt;Everyday Theology (Cultural Exegesis): How to Read Cultural Texts and Interpret Trends &lt;/i&gt;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Trends&amp;f=false."},"properties":{"noteIndex":4},"schema":"https://github.com/citation-style-language/schema/raw/master/csl-citation.json"}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Charles A. Andersonand Michael J. Sleasman Kevin J. Vanhoozer, </w:t>
      </w:r>
      <w:r w:rsidR="00CF59E1" w:rsidRPr="00CF59E1">
        <w:rPr>
          <w:rFonts w:ascii="Times New Roman" w:hAnsi="Times New Roman" w:cs="Times New Roman"/>
          <w:i/>
          <w:noProof/>
        </w:rPr>
        <w:t xml:space="preserve">Everyday Theology (Cultural Exegesis): How to Read Cultural Texts and Interpret Trends </w:t>
      </w:r>
      <w:r w:rsidR="00CF59E1" w:rsidRPr="00CF59E1">
        <w:rPr>
          <w:rFonts w:ascii="Times New Roman" w:hAnsi="Times New Roman" w:cs="Times New Roman"/>
          <w:noProof/>
        </w:rPr>
        <w:t xml:space="preserve"> (USA: Baker Academic , 2007).</w:t>
      </w:r>
      <w:r w:rsidRPr="00C71822">
        <w:rPr>
          <w:rFonts w:ascii="Times New Roman" w:hAnsi="Times New Roman" w:cs="Times New Roman"/>
        </w:rPr>
        <w:fldChar w:fldCharType="end"/>
      </w:r>
    </w:p>
  </w:footnote>
  <w:footnote w:id="5">
    <w:p w14:paraId="6B5727C2" w14:textId="203BC38C"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Christianity","type":"article"},"uris":["http://www.mendeley.com/documents/?uuid=89b2848b-0974-4f14-8bfa-2817e5076fb4"]}],"mendeley":{"formattedCitation":"Carson, “The gagging of God: Christianity.”","plainTextFormattedCitation":"Carson, “The gagging of God: Christianity.”","previouslyFormattedCitation":"Carson, “The gagging of God: Christianity.”"},"properties":{"noteIndex":5},"schema":"https://github.com/citation-style-language/schema/raw/master/csl-citation.json"}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6">
    <w:p w14:paraId="099D30CB" w14:textId="137EE491"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","type":"book"},"uris":["http://www.mendeley.com/documents/?uuid=09da716a-bcd2-484d-b39f-fbb81f8ea6c9"]}],"mendeley":{"formattedCitation":"Stanley J. Grenz, &lt;i&gt;A Primer on Postmodernism &lt;/i&gt;.","plainTextFormattedCitation":"Stanley J. Grenz, A Primer on Postmodernism .","previouslyFormattedCitation":"Stanley J. Grenz, &lt;i&gt;A Primer on Postmodernism &lt;/i&gt;."},"properties":{"noteIndex":6},"schema":"https://github.com/citation-style-language/schema/raw/master/csl-citation.json"}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7">
    <w:p w14:paraId="6E65A433" w14:textId="0F6B34A3"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{"citationItems":[{"id":"ITEM-1","itemData":{"ISBN":"9780300042481","author":[{"dropping-particle":"","family":"Hick","given":"John","non-dropping-particle":"","parse-names":false,"suffix":""}],"id":"ITEM-1","issued":{"date-parts":[["1989"]]},"publisher":"Yale University Press","publisher-place":"New Haven, CT","title":"An Interpretation of Religion: Human Responses to the Transcendent","type":"book"},"uris":["http://www.mendeley.com/documents/?uuid=44dbf19f-d80a-4d53-8d21-ac87c6479011"]}],"mendeley":{"formattedCitation":"John Hick, &lt;i&gt;An Interpretation of Religion: Human Responses to the Transcendent&lt;/i&gt; (New Haven, CT: Yale University Press, 1989).","plainTextFormattedCitation":"John Hick, An Interpretation of Religion: Human Responses to the Transcendent (New Haven, CT: Yale University Press, 1989).","previouslyFormattedCitation":"John Hick, &lt;i&gt;An Interpretation of Religion: Human Responses to the Transcendent&lt;/i&gt; (New Haven, CT: Yale University Press, 1989), 233–236."},"properties":{"noteIndex":7},"schema":"https://github.com/citation-style-language/schema/raw/master/csl-citation.json"}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John Hick, </w:t>
      </w:r>
      <w:r w:rsidR="00CF59E1" w:rsidRPr="00CF59E1">
        <w:rPr>
          <w:rFonts w:ascii="Times New Roman" w:hAnsi="Times New Roman" w:cs="Times New Roman"/>
          <w:i/>
          <w:noProof/>
        </w:rPr>
        <w:t>An Interpretation of Religion: Human Responses to the Transcendent</w:t>
      </w:r>
      <w:r w:rsidR="00CF59E1" w:rsidRPr="00CF59E1">
        <w:rPr>
          <w:rFonts w:ascii="Times New Roman" w:hAnsi="Times New Roman" w:cs="Times New Roman"/>
          <w:noProof/>
        </w:rPr>
        <w:t xml:space="preserve"> (New Haven, CT: Yale University Press, 1989).</w:t>
      </w:r>
      <w:r w:rsidRPr="00C71822">
        <w:rPr>
          <w:rFonts w:ascii="Times New Roman" w:hAnsi="Times New Roman" w:cs="Times New Roman"/>
        </w:rPr>
        <w:fldChar w:fldCharType="end"/>
      </w:r>
    </w:p>
  </w:footnote>
  <w:footnote w:id="8">
    <w:p w14:paraId="4C592B2B" w14:textId="34097036"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Society","type":"book"},"uris":["http://www.mendeley.com/documents/?uuid=e9f1e4e2-7d4d-4db7-9f65-4f1553722aad"]}],"mendeley":{"formattedCitation":"Lesslie Newbigin, &lt;i&gt;The Gospel in a Pluralist Society&lt;/i&gt; (London: SPCK, 2022).","plainTextFormattedCitation":"Lesslie Newbigin, The Gospel in a Pluralist Society (London: SPCK, 2022).","previouslyFormattedCitation":"Lesslie Newbigin, &lt;i&gt;The Gospel in a Pluralist Society&lt;/i&gt; (London: SPCK, 2022), 1–3."},"properties":{"noteIndex":8},"schema":"https://github.com/citation-style-language/schema/raw/master/csl-citation.json"}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Lesslie Newbigin, </w:t>
      </w:r>
      <w:r w:rsidR="00CF59E1" w:rsidRPr="00CF59E1">
        <w:rPr>
          <w:rFonts w:ascii="Times New Roman" w:hAnsi="Times New Roman" w:cs="Times New Roman"/>
          <w:i/>
          <w:noProof/>
        </w:rPr>
        <w:t>The Gospel in a Pluralist Society</w:t>
      </w:r>
      <w:r w:rsidR="00CF59E1" w:rsidRPr="00CF59E1">
        <w:rPr>
          <w:rFonts w:ascii="Times New Roman" w:hAnsi="Times New Roman" w:cs="Times New Roman"/>
          <w:noProof/>
        </w:rPr>
        <w:t xml:space="preserve"> (London: SPCK, 2022).</w:t>
      </w:r>
      <w:r w:rsidRPr="00C71822">
        <w:rPr>
          <w:rFonts w:ascii="Times New Roman" w:hAnsi="Times New Roman" w:cs="Times New Roman"/>
        </w:rPr>
        <w:fldChar w:fldCharType="end"/>
      </w:r>
    </w:p>
  </w:footnote>
  <w:footnote w:id="9">
    <w:p w14:paraId="13D9E72B" w14:textId="01576C72"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Mission","type":"book"},"uris":["http://www.mendeley.com/documents/?uuid=731c5fd6-3512-43e5-a825-78d4babceac1"]}],"mendeley":{"formattedCitation":"David J. Bosch, &lt;i&gt;Transforming Mission: Paradigm Shifts in Theology of Mission&lt;/i&gt; (Maryknoll: Orbis Books, 2011).","plainTextFormattedCitation":"David J. Bosch, Transforming Mission: Paradigm Shifts in Theology of Mission (Maryknoll: Orbis Books, 2011).","previouslyFormattedCitation":"David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2011)%2C&amp;f=false."},"properties":{"noteIndex":9},"schema":"https://github.com/citation-style-language/schema/raw/master/csl-citation.json"}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David J. Bosch, </w:t>
      </w:r>
      <w:r w:rsidR="00CF59E1" w:rsidRPr="00CF59E1">
        <w:rPr>
          <w:rFonts w:ascii="Times New Roman" w:hAnsi="Times New Roman" w:cs="Times New Roman"/>
          <w:i/>
          <w:noProof/>
        </w:rPr>
        <w:t>Transforming Mission: Paradigm Shifts in Theology of Mission</w:t>
      </w:r>
      <w:r w:rsidR="00CF59E1" w:rsidRPr="00CF59E1">
        <w:rPr>
          <w:rFonts w:ascii="Times New Roman" w:hAnsi="Times New Roman" w:cs="Times New Roman"/>
          <w:noProof/>
        </w:rPr>
        <w:t xml:space="preserve"> (Maryknoll: Orbis Books, 2011).</w:t>
      </w:r>
      <w:r w:rsidRPr="00C71822">
        <w:rPr>
          <w:rFonts w:ascii="Times New Roman" w:hAnsi="Times New Roman" w:cs="Times New Roman"/>
        </w:rPr>
        <w:fldChar w:fldCharType="end"/>
      </w:r>
    </w:p>
  </w:footnote>
  <w:footnote w:id="10">
    <w:p w14:paraId="66607AD5" w14:textId="2B52E31D" w:rsidR="00F32776" w:rsidRPr="005A49D9" w:rsidRDefault="00F32776" w:rsidP="00B61FB5">
      <w:pPr>
        <w:pStyle w:val="TeksCatatanKaki"/>
        <w:ind w:firstLine="851"/>
      </w:pPr>
      <w:r>
        <w:rPr>
          <w:rStyle w:val="ReferensiCatatanKaki"/>
        </w:rPr>
        <w:footnoteRef/>
      </w:r>
      <w:r w:rsidRPr="005A49D9">
        <w:t xml:space="preserve"> </w:t>
      </w:r>
      <w:r>
        <w:fldChar w:fldCharType="begin" w:fldLock="1"/>
      </w:r>
      <w:r w:rsidR="00CF59E1">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Katolik","id":"ITEM-1","issue":"2","issued":{"date-parts":[["2025","4"]]},"page":"16-37","publisher":"Asosiasi Riset Ilmu Manajemen dan Bisnis Indonesia","title":"Otoritas Alkitab dalam Era Postmodern","type":"article-journal","volume":"3"},"uris":["http://www.mendeley.com/documents/?uuid=8f8b63c1-eef8-4d28-b9c0-acaf091dad36"]}],"mendeley":{"formattedCitation":"Budi Priyono dan Arnold Tindas, “Otoritas Alkitab dalam Era Postmodern,” &lt;i&gt;Tri Tunggal: Jurnal Pendidikan Kristen dan Katolik&lt;/i&gt; 3, no. 2 (April 2025): 16–37, https://doi.org/10.61132/TRITUNGGAL.V3I2.1112.","plainTextFormattedCitation":"Budi Priyono dan Arnold Tindas, “Otoritas Alkitab dalam Era Postmodern,” Tri Tunggal: Jurnal Pendidikan Kristen dan Katolik 3, no. 2 (April 2025): 16–37, https://doi.org/10.61132/TRITUNGGAL.V3I2.1112.","previouslyFormattedCitation":"Budi Priyono dan Arnold Tindas, “Otoritas Alkitab dalam Era Postmodern,” &lt;i&gt;Tri Tunggal: Jurnal Pendidikan Kristen dan Katolik&lt;/i&gt; 3, no. 2 (April 25, 2025): 16–37, diakses Agustus 20, 2025, https://journal.aripafi.or.id/index.php/tritunggal/article/view/1112."},"properties":{"noteIndex":10},"schema":"https://github.com/citation-style-language/schema/raw/master/csl-citation.json"}</w:instrText>
      </w:r>
      <w:r>
        <w:fldChar w:fldCharType="separate"/>
      </w:r>
      <w:r w:rsidR="00CF59E1" w:rsidRPr="00CF59E1">
        <w:rPr>
          <w:noProof/>
        </w:rPr>
        <w:t xml:space="preserve">Budi Priyono dan Arnold Tindas, “Otoritas Alkitab dalam Era Postmodern,” </w:t>
      </w:r>
      <w:r w:rsidR="00CF59E1" w:rsidRPr="00CF59E1">
        <w:rPr>
          <w:i/>
          <w:noProof/>
        </w:rPr>
        <w:t>Tri Tunggal: Jurnal Pendidikan Kristen dan Katolik</w:t>
      </w:r>
      <w:r w:rsidR="00CF59E1" w:rsidRPr="00CF59E1">
        <w:rPr>
          <w:noProof/>
        </w:rPr>
        <w:t xml:space="preserve"> 3, no. 2 (April 2025): 16–37, https://doi.org/10.61132/TRITUNGGAL.V3I2.1112.</w:t>
      </w:r>
      <w:r>
        <w:fldChar w:fldCharType="end"/>
      </w:r>
    </w:p>
  </w:footnote>
  <w:footnote w:id="11">
    <w:p w14:paraId="1E551D97" w14:textId="571AD09D" w:rsidR="00F32776" w:rsidRPr="007B11D5" w:rsidRDefault="00F32776" w:rsidP="00B61FB5">
      <w:pPr>
        <w:pStyle w:val="TeksCatatanKaki"/>
        <w:ind w:firstLine="851"/>
        <w:rPr>
          <w:lang w:val="en-US"/>
        </w:rPr>
      </w:pPr>
      <w:r>
        <w:rPr>
          <w:rStyle w:val="ReferensiCatatanKaki"/>
        </w:rPr>
        <w:footnoteRef/>
      </w:r>
      <w:r w:rsidRPr="007B11D5">
        <w:t xml:space="preserve"> </w:t>
      </w:r>
      <w:r>
        <w:fldChar w:fldCharType="begin" w:fldLock="1"/>
      </w:r>
      <w:r w:rsidR="00CF59E1">
        <w:instrText>ADDIN CSL_CITATION {"citationItems":[{"id":"ITEM-1","itemData":{"author":[{"dropping-particle":"","family":"Wahyu dan Nesimnasi","given":"","non-dropping-particle":"","parse-names":false,"suffix":""}],"container-title":"Cerdika: Jurnal Ilmiah Indonesia 5","id":"ITEM-1","issue":"1","issued":{"date-parts":[["2025"]]},"page":"45–58","title":"Penafsiran Alkitab di Era Postmodern: Tantangan dan Peluang bagi Gereja Kontemporer","type":"article-journal","volume":"5"},"uris":["http://www.mendeley.com/documents/?uuid=21e09479-aeba-4dad-8fbd-15ee0034552d"]}],"mendeley":{"formattedCitation":"Wahyu dan Nesimnasi, “Penafsiran Alkitab di Era Postmodern: Tantangan dan Peluang bagi Gereja Kontemporer,” &lt;i&gt;Cerdika: Jurnal Ilmiah Indonesia 5&lt;/i&gt; 5, no. 1 (2025): 45–58.","plainTextFormattedCitation":"Wahyu dan Nesimnasi, “Penafsiran Alkitab di Era Postmodern: Tantangan dan Peluang bagi Gereja Kontemporer,” Cerdika: Jurnal Ilmiah Indonesia 5 5, no. 1 (2025): 45–58.","previouslyFormattedCitation":"Wahyu dan Nesimnasi, “Penafsiran Alkitab di Era Postmodern: Tantangan dan Peluang bagi Gereja Kontemporer,” &lt;i&gt;Cerdika: Jurnal Ilmiah Indonesia 5&lt;/i&gt; 5, no. 1 (2025): 45–58."},"properties":{"noteIndex":11},"schema":"https://github.com/citation-style-language/schema/raw/master/csl-citation.json"}</w:instrText>
      </w:r>
      <w:r>
        <w:fldChar w:fldCharType="separate"/>
      </w:r>
      <w:r w:rsidRPr="007B11D5">
        <w:rPr>
          <w:noProof/>
        </w:rPr>
        <w:t xml:space="preserve">Wahyu dan Nesimnasi, “Penafsiran Alkitab di Era Postmodern: Tantangan dan Peluang bagi Gereja Kontemporer,” </w:t>
      </w:r>
      <w:r w:rsidRPr="007B11D5">
        <w:rPr>
          <w:i/>
          <w:noProof/>
        </w:rPr>
        <w:t>Cerdika: Jurnal Ilmiah Indonesia 5</w:t>
      </w:r>
      <w:r w:rsidRPr="007B11D5">
        <w:rPr>
          <w:noProof/>
        </w:rPr>
        <w:t xml:space="preserve"> 5, no. 1 (2025): 45–58.</w:t>
      </w:r>
      <w:r>
        <w:fldChar w:fldCharType="end"/>
      </w:r>
    </w:p>
  </w:footnote>
  <w:footnote w:id="12">
    <w:p w14:paraId="51388034" w14:textId="21D7D1B9"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{"citationItems":[{"id":"ITEM-1","itemData":{"ISBN":"9781412916073","author":[{"dropping-particle":"","family":"John W. Creswell","given":"","non-dropping-particle":"","parse-names":false,"suffix":""}],"container-title":"Sage","id":"ITEM-1","issued":{"date-parts":[["2007"]]},"number-of-pages":"395 hal","publisher":"Sage Publications, Inc.","publisher-place":"California","title":"Second Edition Qualitative Inquiry &amp; Research Design Choosing Among Five Approaches","type":"book"},"uris":["http://www.mendeley.com/documents/?uuid=de4ac8db-e5ed-4524-99d8-87797ee47304"]}],"mendeley":{"formattedCitation":"John W. Creswell, &lt;i&gt;Second Edition Qualitative Inquiry &amp; Research Design Choosing Among Five Approaches&lt;/i&gt;, &lt;i&gt;Sage&lt;/i&gt; (California: Sage Publications, Inc., 2007).","plainTextFormattedCitation":"John W. Creswell, Second Edition Qualitative Inquiry &amp; Research Design Choosing Among Five Approaches, Sage (California: Sage Publications, Inc., 2007).","previouslyFormattedCitation":"John W. Creswell, &lt;i&gt;Second Edition Qualitative Inquiry &amp; Research Design Choosing Among Five Approaches&lt;/i&gt;, &lt;i&gt;Sage&lt;/i&gt; (California: Sage Publications, Inc., 2007), 50–52."},"properties":{"noteIndex":12},"schema":"https://github.com/citation-style-language/schema/raw/master/csl-citation.json"}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John W. Creswell, </w:t>
      </w:r>
      <w:r w:rsidR="00CF59E1" w:rsidRPr="00CF59E1">
        <w:rPr>
          <w:rFonts w:ascii="Times New Roman" w:hAnsi="Times New Roman" w:cs="Times New Roman"/>
          <w:i/>
          <w:noProof/>
        </w:rPr>
        <w:t>Second Edition Qualitative Inquiry &amp; Research Design Choosing Among Five Approaches</w:t>
      </w:r>
      <w:r w:rsidR="00CF59E1" w:rsidRPr="00CF59E1">
        <w:rPr>
          <w:rFonts w:ascii="Times New Roman" w:hAnsi="Times New Roman" w:cs="Times New Roman"/>
          <w:noProof/>
        </w:rPr>
        <w:t xml:space="preserve">, </w:t>
      </w:r>
      <w:r w:rsidR="00CF59E1" w:rsidRPr="00CF59E1">
        <w:rPr>
          <w:rFonts w:ascii="Times New Roman" w:hAnsi="Times New Roman" w:cs="Times New Roman"/>
          <w:i/>
          <w:noProof/>
        </w:rPr>
        <w:t>Sage</w:t>
      </w:r>
      <w:r w:rsidR="00CF59E1" w:rsidRPr="00CF59E1">
        <w:rPr>
          <w:rFonts w:ascii="Times New Roman" w:hAnsi="Times New Roman" w:cs="Times New Roman"/>
          <w:noProof/>
        </w:rPr>
        <w:t xml:space="preserve"> (California: Sage Publications, Inc., 2007).</w:t>
      </w:r>
      <w:r w:rsidRPr="00C71822">
        <w:rPr>
          <w:rFonts w:ascii="Times New Roman" w:hAnsi="Times New Roman" w:cs="Times New Roman"/>
        </w:rPr>
        <w:fldChar w:fldCharType="end"/>
      </w:r>
    </w:p>
  </w:footnote>
  <w:footnote w:id="13">
    <w:p w14:paraId="7F9B380F" w14:textId="64983633"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979-8658-16-7","author":[{"dropping-particle":"","family":"MS","given":"Kaelan","non-dropping-particle":"","parse-names":false,"suffix":""}],"id":"ITEM-1","issued":{"date-parts":[["2005"]]},"publisher":"Paradigma","publisher-place":"Yogyakarta.","title":"Metode Penelitian Kualitatif Bidang Filsafat","type":"book"},"uris":["http://www.mendeley.com/documents/?uuid=8eceb499-e26b-4119-be31-5a50155cbdd5"]}],"mendeley":{"formattedCitation":"Kaelan MS, &lt;i&gt;Metode Penelitian Kualitatif Bidang Filsafat&lt;/i&gt; (Yogyakarta.: Paradigma, 2005).","plainTextFormattedCitation":"Kaelan MS, Metode Penelitian Kualitatif Bidang Filsafat (Yogyakarta.: Paradigma, 2005).","previouslyFormattedCitation":"Kaelan MS, &lt;i&gt;Metode Penelitian Kualitatif Bidang Filsafat&lt;/i&gt; (Yogyakarta.: Paradigma, 2005)."},"properties":{"noteIndex":13},"schema":"https://github.com/citation-style-language/schema/raw/master/csl-citation.json"}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Kaelan MS, </w:t>
      </w:r>
      <w:r w:rsidRPr="00C71822">
        <w:rPr>
          <w:rFonts w:ascii="Times New Roman" w:hAnsi="Times New Roman" w:cs="Times New Roman"/>
          <w:i/>
          <w:noProof/>
          <w:lang w:val="sv-SE"/>
        </w:rPr>
        <w:t>Metode Penelitian Kualitatif Bidang Filsafat</w:t>
      </w:r>
      <w:r w:rsidRPr="00C71822">
        <w:rPr>
          <w:rFonts w:ascii="Times New Roman" w:hAnsi="Times New Roman" w:cs="Times New Roman"/>
          <w:noProof/>
          <w:lang w:val="sv-SE"/>
        </w:rPr>
        <w:t xml:space="preserve"> (Yogyakarta.: Paradigma, 2005).</w:t>
      </w:r>
      <w:r w:rsidRPr="00C71822">
        <w:rPr>
          <w:rFonts w:ascii="Times New Roman" w:hAnsi="Times New Roman" w:cs="Times New Roman"/>
        </w:rPr>
        <w:fldChar w:fldCharType="end"/>
      </w:r>
    </w:p>
  </w:footnote>
  <w:footnote w:id="14">
    <w:p w14:paraId="60CEF06A" w14:textId="1A0D7D37"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Injil","type":"book"},"uris":["http://www.mendeley.com/documents/?uuid=93e383ce-84c9-43ff-ab54-bb5224a1220d"]}],"mendeley":{"formattedCitation":"Stanley J. Grenz, &lt;i&gt;Teologi Postmodernisme: Membaca Budaya dengan Kacamata Injil&lt;/i&gt; (Jakarta: BPK Gunung Mulia, 2002).","plainTextFormattedCitation":"Stanley J. Grenz, Teologi Postmodernisme: Membaca Budaya dengan Kacamata Injil (Jakarta: BPK Gunung Mulia, 2002).","previouslyFormattedCitation":"Stanley J. Grenz, &lt;i&gt;Teologi Postmodernisme: Membaca Budaya dengan Kacamata Injil&lt;/i&gt; (Jakarta: BPK Gunung Mulia, 2002), 15."},"properties":{"noteIndex":14},"schema":"https://github.com/citation-style-language/schema/raw/master/csl-citation.json"}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Stanley J. Grenz, </w:t>
      </w:r>
      <w:r w:rsidR="00CF59E1" w:rsidRPr="00CF59E1">
        <w:rPr>
          <w:rFonts w:ascii="Times New Roman" w:hAnsi="Times New Roman" w:cs="Times New Roman"/>
          <w:i/>
          <w:noProof/>
          <w:lang w:val="sv-SE"/>
        </w:rPr>
        <w:t>Teologi Postmodernisme: Membaca Budaya dengan Kacamata Injil</w:t>
      </w:r>
      <w:r w:rsidR="00CF59E1" w:rsidRPr="00CF59E1">
        <w:rPr>
          <w:rFonts w:ascii="Times New Roman" w:hAnsi="Times New Roman" w:cs="Times New Roman"/>
          <w:noProof/>
          <w:lang w:val="sv-SE"/>
        </w:rPr>
        <w:t xml:space="preserve"> (Jakarta: BPK Gunung Mulia, 2002).</w:t>
      </w:r>
      <w:r w:rsidRPr="00C71822">
        <w:rPr>
          <w:rFonts w:ascii="Times New Roman" w:hAnsi="Times New Roman" w:cs="Times New Roman"/>
        </w:rPr>
        <w:fldChar w:fldCharType="end"/>
      </w:r>
    </w:p>
  </w:footnote>
  <w:footnote w:id="15">
    <w:p w14:paraId="7DE9F7F5" w14:textId="0969E54E"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978-979-21-1769-1","author":[{"dropping-particle":"","family":"Lyotard","given":"Jean-François","non-dropping-particle":"","parse-names":false,"suffix":""}],"id":"ITEM-1","issued":{"date-parts":[["2009"]]},"publisher":"Kanisius","publisher-place":"Yogyakarta","title":"Kondisi Postmodern","type":"book"},"uris":["http://www.mendeley.com/documents/?uuid=0c44f211-9773-406f-916f-ffadd6bf0846"]}],"mendeley":{"formattedCitation":"Jean-François Lyotard, &lt;i&gt;Kondisi Postmodern&lt;/i&gt; (Yogyakarta: Kanisius, 2009).","plainTextFormattedCitation":"Jean-François Lyotard, Kondisi Postmodern (Yogyakarta: Kanisius, 2009).","previouslyFormattedCitation":"Jean-François Lyotard, &lt;i&gt;Kondisi Postmodern&lt;/i&gt; (Yogyakarta: Kanisius, 2009), 7."},"properties":{"noteIndex":15},"schema":"https://github.com/citation-style-language/schema/raw/master/csl-citation.json"}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Jean-François Lyotard, </w:t>
      </w:r>
      <w:r w:rsidR="00CF59E1" w:rsidRPr="00CF59E1">
        <w:rPr>
          <w:rFonts w:ascii="Times New Roman" w:hAnsi="Times New Roman" w:cs="Times New Roman"/>
          <w:i/>
          <w:noProof/>
          <w:lang w:val="sv-SE"/>
        </w:rPr>
        <w:t>Kondisi Postmodern</w:t>
      </w:r>
      <w:r w:rsidR="00CF59E1" w:rsidRPr="00CF59E1">
        <w:rPr>
          <w:rFonts w:ascii="Times New Roman" w:hAnsi="Times New Roman" w:cs="Times New Roman"/>
          <w:noProof/>
          <w:lang w:val="sv-SE"/>
        </w:rPr>
        <w:t xml:space="preserve"> (Yogyakarta: Kanisius, 2009).</w:t>
      </w:r>
      <w:r w:rsidRPr="00C71822">
        <w:rPr>
          <w:rFonts w:ascii="Times New Roman" w:hAnsi="Times New Roman" w:cs="Times New Roman"/>
        </w:rPr>
        <w:fldChar w:fldCharType="end"/>
      </w:r>
    </w:p>
  </w:footnote>
  <w:footnote w:id="16">
    <w:p w14:paraId="13DA6FF6" w14:textId="2B99777B"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{"citationItems":[{"id":"ITEM-1","itemData":{"author":[{"dropping-particle":"","family":"J. Richard Middleton","given":"Brian J. Walsh","non-dropping-particle":"","parse-names":false,"suffix":""}],"id":"ITEM-1","issued":{"date-parts":[["2010"]]},"publisher":"BPK Gunung Mulia","publisher-place":"Jakarta","title":"Kebenaran Subversif: Membaca Alkitab dalam Dunia Postmodern","type":"book"},"uris":["http://www.mendeley.com/documents/?uuid=13e43b13-0273-48cd-9ff1-e902dc909615"]}],"mendeley":{"formattedCitation":"Brian J. Walsh J. Richard Middleton, &lt;i&gt;Kebenaran Subversif: Membaca Alkitab dalam Dunia Postmodern&lt;/i&gt; (Jakarta: BPK Gunung Mulia, 2010).","plainTextFormattedCitation":"Brian J. Walsh J. Richard Middleton, Kebenaran Subversif: Membaca Alkitab dalam Dunia Postmodern (Jakarta: BPK Gunung Mulia, 2010).","previouslyFormattedCitation":"Brian J. Walsh J. Richard Middleton, &lt;i&gt;Kebenaran Subversif: Membaca Alkitab dalam Dunia Postmodern&lt;/i&gt; (Jakarta: BPK Gunung Mulia, 2010), 22."},"properties":{"noteIndex":16},"schema":"https://github.com/citation-style-language/schema/raw/master/csl-citation.json"}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Brian J. Walsh J. Richard Middleton, </w:t>
      </w:r>
      <w:r w:rsidR="00CF59E1" w:rsidRPr="00CF59E1">
        <w:rPr>
          <w:rFonts w:ascii="Times New Roman" w:hAnsi="Times New Roman" w:cs="Times New Roman"/>
          <w:i/>
          <w:noProof/>
        </w:rPr>
        <w:t>Kebenaran Subversif: Membaca Alkitab dalam Dunia Postmodern</w:t>
      </w:r>
      <w:r w:rsidR="00CF59E1" w:rsidRPr="00CF59E1">
        <w:rPr>
          <w:rFonts w:ascii="Times New Roman" w:hAnsi="Times New Roman" w:cs="Times New Roman"/>
          <w:noProof/>
        </w:rPr>
        <w:t xml:space="preserve"> (Jakarta: BPK Gunung Mulia, 2010).</w:t>
      </w:r>
      <w:r w:rsidRPr="00C71822">
        <w:rPr>
          <w:rFonts w:ascii="Times New Roman" w:hAnsi="Times New Roman" w:cs="Times New Roman"/>
        </w:rPr>
        <w:fldChar w:fldCharType="end"/>
      </w:r>
    </w:p>
  </w:footnote>
  <w:footnote w:id="17">
    <w:p w14:paraId="3E05F0E2" w14:textId="145A9E9B"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{"citationItems":[{"id":"ITEM-1","itemData":{"author":[{"dropping-particle":"","family":"Carson","given":"D. A.","non-dropping-particle":"","parse-names":false,"suffix":""}],"id":"ITEM-1","issued":{"date-parts":[["2003"]]},"publisher":"Momentum","publisher-place":"Surabaya","title":"Kristen di Tengah Era Postmodern","type":"book"},"uris":["http://www.mendeley.com/documents/?uuid=5ccd678b-c89c-4ebe-a0fb-f2e8ee716171"]}],"mendeley":{"formattedCitation":"D. A. Carson, &lt;i&gt;Kristen di Tengah Era Postmodern&lt;/i&gt; (Surabaya: Momentum, 2003).","plainTextFormattedCitation":"D. A. Carson, Kristen di Tengah Era Postmodern (Surabaya: Momentum, 2003).","previouslyFormattedCitation":"D. A. Carson, &lt;i&gt;Kristen di Tengah Era Postmodern&lt;/i&gt; (Surabaya: Momentum, 2003), 40."},"properties":{"noteIndex":17},"schema":"https://github.com/citation-style-language/schema/raw/master/csl-citation.json"}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D. A. Carson, </w:t>
      </w:r>
      <w:r w:rsidR="00CF59E1" w:rsidRPr="00CF59E1">
        <w:rPr>
          <w:rFonts w:ascii="Times New Roman" w:hAnsi="Times New Roman" w:cs="Times New Roman"/>
          <w:i/>
          <w:noProof/>
          <w:lang w:val="sv-SE"/>
        </w:rPr>
        <w:t>Kristen di Tengah Era Postmodern</w:t>
      </w:r>
      <w:r w:rsidR="00CF59E1" w:rsidRPr="00CF59E1">
        <w:rPr>
          <w:rFonts w:ascii="Times New Roman" w:hAnsi="Times New Roman" w:cs="Times New Roman"/>
          <w:noProof/>
          <w:lang w:val="sv-SE"/>
        </w:rPr>
        <w:t xml:space="preserve"> (Surabaya: Momentum, 2003).</w:t>
      </w:r>
      <w:r w:rsidRPr="00C71822">
        <w:rPr>
          <w:rFonts w:ascii="Times New Roman" w:hAnsi="Times New Roman" w:cs="Times New Roman"/>
        </w:rPr>
        <w:fldChar w:fldCharType="end"/>
      </w:r>
    </w:p>
  </w:footnote>
  <w:footnote w:id="18">
    <w:p w14:paraId="04F6D0A4" w14:textId="25E80888"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Katolik","id":"ITEM-1","issue":"2","issued":{"date-parts":[["2025","4"]]},"page":"16-37","publisher":"Asosiasi Riset Ilmu Manajemen dan Bisnis Indonesia","title":"Otoritas Alkitab dalam Era Postmodern","type":"article-journal","volume":"3"},"uris":["http://www.mendeley.com/documents/?uuid=8f8b63c1-eef8-4d28-b9c0-acaf091dad36"]}],"mendeley":{"formattedCitation":"Priyono dan Tindas, “Otoritas Alkitab dalam Era Postmodern.”","plainTextFormattedCitation":"Priyono dan Tindas, “Otoritas Alkitab dalam Era Postmodern.”","previouslyFormattedCitation":"Priyono dan Tindas, “Otoritas Alkitab dalam Era Postmodern.”"},"properties":{"noteIndex":18},"schema":"https://github.com/citation-style-language/schema/raw/master/csl-citation.json"}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Priyono dan Tindas, “Otoritas Alkitab dalam Era Postmodern.”</w:t>
      </w:r>
      <w:r w:rsidRPr="00C71822">
        <w:rPr>
          <w:rFonts w:ascii="Times New Roman" w:hAnsi="Times New Roman" w:cs="Times New Roman"/>
        </w:rPr>
        <w:fldChar w:fldCharType="end"/>
      </w:r>
    </w:p>
  </w:footnote>
  <w:footnote w:id="19">
    <w:p w14:paraId="0BAEE272" w14:textId="4CC14E7B" w:rsidR="001366A2" w:rsidRPr="00F32776" w:rsidRDefault="001366A2" w:rsidP="00B61FB5">
      <w:pPr>
        <w:pStyle w:val="TeksCatatanKaki"/>
        <w:ind w:firstLine="851"/>
        <w:rPr>
          <w:rFonts w:ascii="Times New Roman" w:hAnsi="Times New Roman" w:cs="Times New Roman"/>
        </w:rPr>
      </w:pPr>
      <w:r w:rsidRPr="00C71822">
        <w:rPr>
          <w:rStyle w:val="ReferensiCatatanKaki"/>
          <w:rFonts w:ascii="Times New Roman" w:hAnsi="Times New Roman" w:cs="Times New Roman"/>
        </w:rPr>
        <w:footnoteRef/>
      </w:r>
      <w:r w:rsidRPr="00F32776">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{"citationItems":[{"id":"ITEM-1","itemData":{"ISBN":"9781421419954","author":[{"dropping-particle":"","family":"Jacques Derrida","given":"","non-dropping-particle":"","parse-names":false,"suffix":""}],"id":"ITEM-1","issued":{"date-parts":[["1976"]]},"publisher":"Johns Hopkins University Press","publisher-place":"Baltimore","title":"Of Grammatology ","type":"book"},"uris":["http://www.mendeley.com/documents/?uuid=ee7224bb-5739-48ab-8e2e-4193698403d4"]}],"mendeley":{"formattedCitation":"Jacques Derrida, &lt;i&gt;Of Grammatology &lt;/i&gt; (Baltimore: Johns Hopkins University Press, 1976).","plainTextFormattedCitation":"Jacques Derrida, Of Grammatology  (Baltimore: Johns Hopkins University Press, 1976).","previouslyFormattedCitation":"Jacques Derrida, &lt;i&gt;Of Grammatology &lt;/i&gt;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1976)&amp;f=false."},"properties":{"noteIndex":19},"schema":"https://github.com/citation-style-language/schema/raw/master/csl-citation.json"}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Jacques Derrida, </w:t>
      </w:r>
      <w:r w:rsidR="00CF59E1" w:rsidRPr="00CF59E1">
        <w:rPr>
          <w:rFonts w:ascii="Times New Roman" w:hAnsi="Times New Roman" w:cs="Times New Roman"/>
          <w:i/>
          <w:noProof/>
        </w:rPr>
        <w:t xml:space="preserve">Of Grammatology </w:t>
      </w:r>
      <w:r w:rsidR="00CF59E1" w:rsidRPr="00CF59E1">
        <w:rPr>
          <w:rFonts w:ascii="Times New Roman" w:hAnsi="Times New Roman" w:cs="Times New Roman"/>
          <w:noProof/>
        </w:rPr>
        <w:t xml:space="preserve"> (Baltimore: Johns Hopkins University Press, 1976).</w:t>
      </w:r>
      <w:r w:rsidRPr="00C71822">
        <w:rPr>
          <w:rFonts w:ascii="Times New Roman" w:hAnsi="Times New Roman" w:cs="Times New Roman"/>
        </w:rPr>
        <w:fldChar w:fldCharType="end"/>
      </w:r>
    </w:p>
  </w:footnote>
  <w:footnote w:id="20">
    <w:p w14:paraId="4F31F21A" w14:textId="1972E384"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1972–1977","type":"book"},"uris":["http://www.mendeley.com/documents/?uuid=f70b7d7b-f8db-4a58-9e09-2eedb0145114"]}],"mendeley":{"formattedCitation":"Michel Foucault, &lt;i&gt;Power/Knowledge: Selected Interviews and Other Writings 1972–1977&lt;/i&gt; (New York: Pantheon Books, 1980).","plainTextFormattedCitation":"Michel Foucault, Power/Knowledge: Selected Interviews and Other Writings 1972–1977 (New York: Pantheon Books, 1980).","previouslyFormattedCitation":"Michel Foucault, &lt;i&gt;Power/Knowledge: Selected Interviews and Other Writings 1972–1977&lt;/i&gt; (New York: Pantheon Books, 1980), 92."},"properties":{"noteIndex":20},"schema":"https://github.com/citation-style-language/schema/raw/master/csl-citation.json"}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Michel Foucault, </w:t>
      </w:r>
      <w:r w:rsidR="00CF59E1" w:rsidRPr="00CF59E1">
        <w:rPr>
          <w:rFonts w:ascii="Times New Roman" w:hAnsi="Times New Roman" w:cs="Times New Roman"/>
          <w:i/>
          <w:noProof/>
        </w:rPr>
        <w:t>Power/Knowledge: Selected Interviews and Other Writings 1972–1977</w:t>
      </w:r>
      <w:r w:rsidR="00CF59E1" w:rsidRPr="00CF59E1">
        <w:rPr>
          <w:rFonts w:ascii="Times New Roman" w:hAnsi="Times New Roman" w:cs="Times New Roman"/>
          <w:noProof/>
        </w:rPr>
        <w:t xml:space="preserve"> (New York: Pantheon Books, 1980).</w:t>
      </w:r>
      <w:r w:rsidRPr="00C71822">
        <w:rPr>
          <w:rFonts w:ascii="Times New Roman" w:hAnsi="Times New Roman" w:cs="Times New Roman"/>
        </w:rPr>
        <w:fldChar w:fldCharType="end"/>
      </w:r>
    </w:p>
  </w:footnote>
  <w:footnote w:id="21">
    <w:p w14:paraId="4A219C3F" w14:textId="6ADE234E"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{"citationItems":[{"id":"ITEM-1","itemData":{"ISBN":"978-979-769-692-4","author":[{"dropping-particle":"","family":"Lubis","given":"Akhyar","non-dropping-particle":"","parse-names":false,"suffix":""}],"id":"ITEM-1","issued":{"date-parts":[["2014"]]},"publisher":"Rajawali Pres","publisher-place":"Jakarta","title":"Postmodernisme","type":"book"},"uris":["http://www.mendeley.com/documents/?uuid=39e1c952-d115-4d40-85c4-94769d40fa24"]}],"mendeley":{"formattedCitation":"Akhyar Lubis, &lt;i&gt;Postmodernisme&lt;/i&gt; (Jakarta: Rajawali Pres, 2014).","plainTextFormattedCitation":"Akhyar Lubis, Postmodernisme (Jakarta: Rajawali Pres, 2014).","previouslyFormattedCitation":"Akhyar Lubis, &lt;i&gt;Postmodernisme&lt;/i&gt; (Jakarta: Rajawali Pres, 2014), 45."},"properties":{"noteIndex":21},"schema":"https://github.com/citation-style-language/schema/raw/master/csl-citation.json"}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Akhyar Lubis, </w:t>
      </w:r>
      <w:r w:rsidR="00CF59E1" w:rsidRPr="00CF59E1">
        <w:rPr>
          <w:rFonts w:ascii="Times New Roman" w:hAnsi="Times New Roman" w:cs="Times New Roman"/>
          <w:i/>
          <w:noProof/>
          <w:lang w:val="sv-SE"/>
        </w:rPr>
        <w:t>Postmodernisme</w:t>
      </w:r>
      <w:r w:rsidR="00CF59E1" w:rsidRPr="00CF59E1">
        <w:rPr>
          <w:rFonts w:ascii="Times New Roman" w:hAnsi="Times New Roman" w:cs="Times New Roman"/>
          <w:noProof/>
          <w:lang w:val="sv-SE"/>
        </w:rPr>
        <w:t xml:space="preserve"> (Jakarta: Rajawali Pres, 2014).</w:t>
      </w:r>
      <w:r w:rsidRPr="00C71822">
        <w:rPr>
          <w:rFonts w:ascii="Times New Roman" w:hAnsi="Times New Roman" w:cs="Times New Roman"/>
        </w:rPr>
        <w:fldChar w:fldCharType="end"/>
      </w:r>
    </w:p>
  </w:footnote>
  <w:footnote w:id="22">
    <w:p w14:paraId="49C88C93" w14:textId="793B1E51" w:rsidR="00CF59E1" w:rsidRPr="00CF59E1" w:rsidRDefault="00CF59E1" w:rsidP="00B61FB5">
      <w:pPr>
        <w:pStyle w:val="TeksCatatanKaki"/>
        <w:ind w:firstLine="851"/>
        <w:rPr>
          <w:lang w:val="en-US"/>
        </w:rPr>
      </w:pPr>
      <w:r>
        <w:rPr>
          <w:rStyle w:val="ReferensiCatatanKaki"/>
        </w:rPr>
        <w:footnoteRef/>
      </w:r>
      <w:r>
        <w:t xml:space="preserve"> </w:t>
      </w:r>
      <w:r>
        <w:rPr>
          <w:rFonts w:ascii="Times New Roman" w:hAnsi="Times New Roman" w:cs="Times New Roman"/>
        </w:rPr>
        <w:fldChar w:fldCharType="begin" w:fldLock="1"/>
      </w:r>
      <w:r w:rsidRPr="00CF59E1">
        <w:rPr>
          <w:rFonts w:ascii="Times New Roman" w:hAnsi="Times New Roman" w:cs="Times New Roman"/>
        </w:rPr>
        <w:instrText>ADDIN CSL_CITATION {"citationItems":[{"id":"ITEM-1","itemData":{"author":[{"dropping-particle":"","family":"Obehetan","given":"Yeheskiel","non-dropping-particle":"","parse-names":false,"suffix":""},{"dropping-particle":"","family":"Rompis","given":"Febrianto Sutomo","non-dropping-particle":"","parse-names":false,"suffix":""}],"container-title":"LUXNOS: JURNAL SEKOLAH TINGGI TEOLOGI PELITA DUNIA","id":"ITEM-1","issue":"2","issued":{"date-parts":[["2025"]]},"page":"359-371","title":"Analisis Kritis terhadap Strategi Misi Kontekstualisasi Paulus dalam 1 Korintus 9:20 bagi Tantangan Penginjilan di Era Postmodern","type":"article-journal","volume":"11"},"uris":["http://www.mendeley.com/documents/?uuid=51db842a-7603-4ab9-b2a5-7a484a6b4bd7"]}],"mendeley":{"formattedCitation":"Yeheskiel Obehetan dan Febrianto Sutomo Rompis, “Analisis Kritis terhadap Strategi Misi Kontekstualisasi Paulus dalam 1 Korintus 9:20 bagi Tantangan Penginjilan di Era Postmodern,” &lt;i&gt;LUXNOS: JURNAL SEKOLAH TINGGI TEOLOGI PELITA DUNIA&lt;/i&gt; 11, no. 2 (2025): 359–71, https://luxnos.sttpd.ac.id/index.php/20_luxnos_20/article/view/obehetan2025.","plainTextFormattedCitation":"Yeheskiel Obehetan dan Febrianto Sutomo Rompis, “Analisis Kritis terhadap Strategi Misi Kontekstualisasi Paulus dalam 1 Korintus 9:20 bagi Tantangan Penginjilan di Era Postmodern,” LUXNOS: JURNAL SEKOLAH TINGGI TEOLOGI PELITA DUNIA 11, no. 2 (2025): 359–71, https://luxnos.sttpd.ac.id/index.php/20_luxnos_20/article/view/obehetan2025."},"properties":{"noteIndex":22},"schema":"https://github.com/citation-style-language/schema/raw/master/csl-citation.json"}</w:instrText>
      </w:r>
      <w:r>
        <w:rPr>
          <w:rFonts w:ascii="Times New Roman" w:hAnsi="Times New Roman" w:cs="Times New Roman"/>
        </w:rPr>
        <w:fldChar w:fldCharType="separate"/>
      </w:r>
      <w:r w:rsidRPr="00CF59E1">
        <w:rPr>
          <w:rFonts w:ascii="Times New Roman" w:hAnsi="Times New Roman" w:cs="Times New Roman"/>
          <w:noProof/>
        </w:rPr>
        <w:t>Yeheskiel</w:t>
      </w:r>
      <w:r w:rsidRPr="00CF59E1">
        <w:rPr>
          <w:noProof/>
        </w:rPr>
        <w:t xml:space="preserve"> Obehetan dan Febrianto Sutomo Rompis, “Analisis Kritis terhadap Strategi Misi Kontekstualisasi Paulus dalam 1 Korintus 9:20 bagi Tantangan Penginjilan di Era Postmodern,” </w:t>
      </w:r>
      <w:r w:rsidRPr="00CF59E1">
        <w:rPr>
          <w:i/>
          <w:noProof/>
        </w:rPr>
        <w:t>LUXNOS: JURNAL SEKOLAH TINGGI TEOLOGI PELITA DUNIA</w:t>
      </w:r>
      <w:r w:rsidRPr="00CF59E1">
        <w:rPr>
          <w:noProof/>
        </w:rPr>
        <w:t xml:space="preserve"> 11, no. 2 (2025): 359–71, https://luxnos.sttpd.ac.id/index.php/20_luxnos_20/article/view/obehetan2025.</w:t>
      </w:r>
      <w:r>
        <w:fldChar w:fldCharType="end"/>
      </w:r>
    </w:p>
  </w:footnote>
  <w:footnote w:id="23">
    <w:p w14:paraId="0673FDB3" w14:textId="43E71E4E"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{"citationItems":[{"id":"ITEM-1","itemData":{"ISBN":"978-0199881031","author":[{"dropping-particle":"","family":"Alvin Plantinga","given":"","non-dropping-particle":"","parse-names":false,"suffix":""}],"id":"ITEM-1","issued":{"date-parts":[["2000"]]},"publisher":"Oxford University Press","publisher-place":"New York","title":"Warranted Christian Belief ","type":"book"},"uris":["http://www.mendeley.com/documents/?uuid=fef81f60-5b90-4104-b537-88ea6693674b"]}],"mendeley":{"formattedCitation":"Alvin Plantinga, &lt;i&gt;Warranted Christian Belief &lt;/i&gt; (New York: Oxford University Press, 2000).","plainTextFormattedCitation":"Alvin Plantinga, Warranted Christian Belief  (New York: Oxford University Press, 2000).","previouslyFormattedCitation":"Alvin Plantinga, &lt;i&gt;Warranted Christian Belief &lt;/i&gt; (New York: Oxford University Press, 2000), 244, diakses Agustus 20, 2025, https://www.google.co.id/books/edition/Warranted_Christian_Belief/BypSHmoozV0C?hl=id&amp;gbpv=1&amp;dq=Alvin+Plantinga,+Warranted+Christian+Belief&amp;pg=PA136&amp;printsec=frontcover."},"properties":{"noteIndex":23},"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Alvin Plantinga, </w:t>
      </w:r>
      <w:r w:rsidR="00CF59E1" w:rsidRPr="00CF59E1">
        <w:rPr>
          <w:rFonts w:ascii="Times New Roman" w:hAnsi="Times New Roman" w:cs="Times New Roman"/>
          <w:i/>
          <w:noProof/>
        </w:rPr>
        <w:t xml:space="preserve">Warranted Christian Belief </w:t>
      </w:r>
      <w:r w:rsidR="00CF59E1" w:rsidRPr="00CF59E1">
        <w:rPr>
          <w:rFonts w:ascii="Times New Roman" w:hAnsi="Times New Roman" w:cs="Times New Roman"/>
          <w:noProof/>
        </w:rPr>
        <w:t xml:space="preserve"> (New York: Oxford University Press, 2000).</w:t>
      </w:r>
      <w:r w:rsidRPr="00C71822">
        <w:rPr>
          <w:rFonts w:ascii="Times New Roman" w:hAnsi="Times New Roman" w:cs="Times New Roman"/>
        </w:rPr>
        <w:fldChar w:fldCharType="end"/>
      </w:r>
    </w:p>
  </w:footnote>
  <w:footnote w:id="24">
    <w:p w14:paraId="2AD86337" w14:textId="20A45A15"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Knowledge","type":"book"},"uris":["http://www.mendeley.com/documents/?uuid=923aa503-d09b-440c-8168-0425d939d3ab"]}],"mendeley":{"formattedCitation":"Kevin J. Vanhoozer, &lt;i&gt;Is There a Meaning in This Text? The Bible, the Reader, and the Morality of Literary Knowledge&lt;/i&gt; (Grand Rapids: Zondervan, 1998).","plainTextFormattedCitation":"Kevin J. Vanhoozer, Is There a Meaning in This Text? The Bible, the Reader, and the Morality of Literary Knowledge (Grand Rapids: Zondervan, 1998).","previouslyFormattedCitation":"Kevin J. Vanhoozer, &lt;i&gt;Is There a Meaning in This Text? The Bible, the Reader, and the Morality of Literary Knowledge&lt;/i&gt; (Grand Rapids: Zondervan, 1998), 37–38."},"properties":{"noteIndex":24},"schema":"https://github.com/citation-style-language/schema/raw/master/csl-citation.json"}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Kevin J. Vanhoozer, </w:t>
      </w:r>
      <w:r w:rsidR="00CF59E1" w:rsidRPr="00CF59E1">
        <w:rPr>
          <w:rFonts w:ascii="Times New Roman" w:hAnsi="Times New Roman" w:cs="Times New Roman"/>
          <w:i/>
          <w:noProof/>
        </w:rPr>
        <w:t>Is There a Meaning in This Text? The Bible, the Reader, and the Morality of Literary Knowledge</w:t>
      </w:r>
      <w:r w:rsidR="00CF59E1" w:rsidRPr="00CF59E1">
        <w:rPr>
          <w:rFonts w:ascii="Times New Roman" w:hAnsi="Times New Roman" w:cs="Times New Roman"/>
          <w:noProof/>
        </w:rPr>
        <w:t xml:space="preserve"> (Grand Rapids: Zondervan, 1998).</w:t>
      </w:r>
      <w:r w:rsidRPr="00C71822">
        <w:rPr>
          <w:rFonts w:ascii="Times New Roman" w:hAnsi="Times New Roman" w:cs="Times New Roman"/>
        </w:rPr>
        <w:fldChar w:fldCharType="end"/>
      </w:r>
    </w:p>
  </w:footnote>
  <w:footnote w:id="25">
    <w:p w14:paraId="4A630EBF" w14:textId="06A01EC1"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{"citationItems":[{"id":"ITEM-1","itemData":{"ISBN":"9780801026324","author":[{"dropping-particle":"","family":"Herman Bavinck","given":"","non-dropping-particle":"","parse-names":false,"suffix":""}],"id":"ITEM-1","issued":{"date-parts":[["2003"]]},"publisher":"Baker Academic","publisher-place":"Grand Rapids","title":"Reformed Dogmatics ","type":"book","volume":"1"},"uris":["http://www.mendeley.com/documents/?uuid=0d0508a8-1f30-461c-a957-60d1d0239c0f"]}],"mendeley":{"formattedCitation":"Herman Bavinck, &lt;i&gt;Reformed Dogmatics &lt;/i&gt;, vol. 1 (Grand Rapids: Baker Academic, 2003).","plainTextFormattedCitation":"Herman Bavinck, Reformed Dogmatics , vol. 1 (Grand Rapids: Baker Academic, 2003).","previouslyFormattedCitation":"Herman Bavinck, &lt;i&gt;Reformed Dogmatics &lt;/i&gt;,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roperties":{"noteIndex":25},"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Herman Bavinck, </w:t>
      </w:r>
      <w:r w:rsidR="00CF59E1" w:rsidRPr="00CF59E1">
        <w:rPr>
          <w:rFonts w:ascii="Times New Roman" w:hAnsi="Times New Roman" w:cs="Times New Roman"/>
          <w:i/>
          <w:noProof/>
        </w:rPr>
        <w:t xml:space="preserve">Reformed Dogmatics </w:t>
      </w:r>
      <w:r w:rsidR="00CF59E1" w:rsidRPr="00CF59E1">
        <w:rPr>
          <w:rFonts w:ascii="Times New Roman" w:hAnsi="Times New Roman" w:cs="Times New Roman"/>
          <w:noProof/>
        </w:rPr>
        <w:t>, vol. 1 (Grand Rapids: Baker Academic, 2003).</w:t>
      </w:r>
      <w:r w:rsidRPr="00C71822">
        <w:rPr>
          <w:rFonts w:ascii="Times New Roman" w:hAnsi="Times New Roman" w:cs="Times New Roman"/>
        </w:rPr>
        <w:fldChar w:fldCharType="end"/>
      </w:r>
    </w:p>
  </w:footnote>
  <w:footnote w:id="26">
    <w:p w14:paraId="55398017" w14:textId="4631D141"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introduction","type":"book"},"uris":["http://www.mendeley.com/documents/?uuid=644a5a4e-e259-40c1-b86e-6ecc10059fb3"]}],"mendeley":{"formattedCitation":"Alister E. McGrath, &lt;i&gt;Christian theology : an introduction&lt;/i&gt; (Chichester: Wiley, Blackwell, 2017).","plainTextFormattedCitation":"Alister E. McGrath, Christian theology : an introduction (Chichester: Wiley, Blackwell, 2017).","previouslyFormattedCitation":"Alister E. McGrath, &lt;i&gt;Christian theology : an introduction&lt;/i&gt; (Chichester: Wiley, Blackwell, 2017), 154."},"properties":{"noteIndex":26},"schema":"https://github.com/citation-style-language/schema/raw/master/csl-citation.json"}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Alister E. McGrath, </w:t>
      </w:r>
      <w:r w:rsidR="00CF59E1" w:rsidRPr="00CF59E1">
        <w:rPr>
          <w:rFonts w:ascii="Times New Roman" w:hAnsi="Times New Roman" w:cs="Times New Roman"/>
          <w:i/>
          <w:noProof/>
        </w:rPr>
        <w:t>Christian theology : an introduction</w:t>
      </w:r>
      <w:r w:rsidR="00CF59E1" w:rsidRPr="00CF59E1">
        <w:rPr>
          <w:rFonts w:ascii="Times New Roman" w:hAnsi="Times New Roman" w:cs="Times New Roman"/>
          <w:noProof/>
        </w:rPr>
        <w:t xml:space="preserve"> (Chichester: Wiley, Blackwell, 2017).</w:t>
      </w:r>
      <w:r w:rsidRPr="00C71822">
        <w:rPr>
          <w:rFonts w:ascii="Times New Roman" w:hAnsi="Times New Roman" w:cs="Times New Roman"/>
        </w:rPr>
        <w:fldChar w:fldCharType="end"/>
      </w:r>
    </w:p>
  </w:footnote>
  <w:footnote w:id="27">
    <w:p w14:paraId="19F3CFDE" w14:textId="71DDBB55"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{"citationItems":[{"id":"ITEM-1","itemData":{"ISBN":"0567050696","author":[{"dropping-particle":"","family":"Karl Barth","given":"","non-dropping-particle":"","parse-names":false,"suffix":""}],"id":"ITEM-1","issued":{"date-parts":[["1936"]]},"publisher":"T&amp;T Clark Internasional","publisher-place":"Edinburgh","title":"Church Dogmatics The Doctrine of the Word of God, Volume 1, Part 2 ","type":"book","volume":"1"},"uris":["http://www.mendeley.com/documents/?uuid=68f81555-d153-4a2d-a2d2-1a0b88e344d9"]}],"mendeley":{"formattedCitation":"Karl Barth, &lt;i&gt;Church Dogmatics The Doctrine of the Word of God, Volume 1, Part 2 &lt;/i&gt;, vol. 1 (Edinburgh: T&amp;T Clark Internasional, 1936).","plainTextFormattedCitation":"Karl Barth, Church Dogmatics The Doctrine of the Word of God, Volume 1, Part 2 , vol. 1 (Edinburgh: T&amp;T Clark Internasional, 1936).","previouslyFormattedCitation":"Karl Barth, &lt;i&gt;Church Dogmatics The Doctrine of the Word of God, Volume 1, Part 2 &lt;/i&gt;, vol. 1 (Edinburgh: T&amp;T Clark Internasional, 1936), 422, diakses Agustus 26, 2025, https://www.google.co.id/books/edition/Church_Dogmatics_The_Doctrine_of_the_Wor/B-HeBAAAQBAJ?hl=id&amp;gbpv=1&amp;dq=Karl+Barth,+Church+Dogmatics+The+Doctrine+of+the+Word+of+God&amp;pg=PA815&amp;printsec=frontcover."},"properties":{"noteIndex":27},"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Karl Barth, </w:t>
      </w:r>
      <w:r w:rsidR="00CF59E1" w:rsidRPr="00CF59E1">
        <w:rPr>
          <w:rFonts w:ascii="Times New Roman" w:hAnsi="Times New Roman" w:cs="Times New Roman"/>
          <w:i/>
          <w:noProof/>
        </w:rPr>
        <w:t xml:space="preserve">Church Dogmatics The Doctrine of the Word of God, Volume 1, Part 2 </w:t>
      </w:r>
      <w:r w:rsidR="00CF59E1" w:rsidRPr="00CF59E1">
        <w:rPr>
          <w:rFonts w:ascii="Times New Roman" w:hAnsi="Times New Roman" w:cs="Times New Roman"/>
          <w:noProof/>
        </w:rPr>
        <w:t>, vol. 1 (Edinburgh: T&amp;T Clark Internasional, 1936).</w:t>
      </w:r>
      <w:r w:rsidRPr="00C71822">
        <w:rPr>
          <w:rFonts w:ascii="Times New Roman" w:hAnsi="Times New Roman" w:cs="Times New Roman"/>
        </w:rPr>
        <w:fldChar w:fldCharType="end"/>
      </w:r>
    </w:p>
  </w:footnote>
  <w:footnote w:id="28">
    <w:p w14:paraId="397A4580" w14:textId="56F6738F"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{"citationItems":[{"id":"ITEM-1","itemData":{"ISBN":"9780802825056","abstract":"Rev. ed. Revised edition of: Commentary on the book of the Acts. First published in 1954, F. F. Bruce's volume on the Book of Acts in the NICNT series has stood for more than forty years as a standard commentary on Acts. In keeping with the effort to be faithful to the description \"new\" in the series title, however, Bruce undertook a thorough revision of this commentary before his death in 1990. Expanded and fully updated, this volume now reflects the best elements of recent notable contribution to the study of Luke-Acts as well as the author's own deepened understanding gained from years of further reflection on the text. Whereas the first edition used the text of the American Standard Version of 1901, this revision is based on Bruce's own fresh translation of the Greek text. The result is a work that makes transparent the walls between the first and twentieth centuries and enables readers to hear not only the voice of Luke but the Word of God. - Jacket flap. Acts in the New Testament -- Origin and purpose of Acts -- Paul in Acts -- Select bibliography -- Text, exposition, and notes -- The birth of the church (1:1-5:42) -- Persecution and expansion (6:1-9:31) -- The acts of Peter and beginnings of gentile Christianity (9:32-12:24) -- Church extension from Antioch and apostolic decree at Jerusalem (12:25-15:35) -- Paul leaves Antioch and moves to the Aegean world (15:36-19:20) -- Paul plans to visit Rome and gets there by an unforeseen route (19:21-28:31).","author":[{"dropping-particle":"","family":"F. F. Bruce","given":"","non-dropping-particle":"","parse-names":false,"suffix":""}],"container-title":"The Book of the Acts","id":"ITEM-1","issued":{"date-parts":[["1988"]]},"publisher":"Eerdmans","publisher-place":"Grand Rapids","title":"The Book of the Acts","type":"book"},"uris":["http://www.mendeley.com/documents/?uuid=3faf3c72-d3fc-4b8d-b87e-e754f7b5951c"]}],"mendeley":{"formattedCitation":"F. F. Bruce, &lt;i&gt;The Book of the Acts&lt;/i&gt;, &lt;i&gt;The Book of the Acts&lt;/i&gt; (Grand Rapids: Eerdmans, 1988).","plainTextFormattedCitation":"F. F. Bruce, The Book of the Acts, The Book of the Acts (Grand Rapids: Eerdmans, 1988).","previouslyFormattedCitation":"F. F. Bruce, &lt;i&gt;The Book of the Acts&lt;/i&gt;, &lt;i&gt;The Book of the Acts&lt;/i&gt; (Grand Rapids: Eerdmans, 1988)."},"properties":{"noteIndex":28},"schema":"https://github.com/citation-style-language/schema/raw/master/csl-citation.json"}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F. F. Bruce, </w:t>
      </w:r>
      <w:r w:rsidRPr="00C71822">
        <w:rPr>
          <w:rFonts w:ascii="Times New Roman" w:hAnsi="Times New Roman" w:cs="Times New Roman"/>
          <w:i/>
          <w:noProof/>
        </w:rPr>
        <w:t>The Book of the Acts</w:t>
      </w:r>
      <w:r w:rsidRPr="00C71822">
        <w:rPr>
          <w:rFonts w:ascii="Times New Roman" w:hAnsi="Times New Roman" w:cs="Times New Roman"/>
          <w:noProof/>
        </w:rPr>
        <w:t xml:space="preserve">, </w:t>
      </w:r>
      <w:r w:rsidRPr="00C71822">
        <w:rPr>
          <w:rFonts w:ascii="Times New Roman" w:hAnsi="Times New Roman" w:cs="Times New Roman"/>
          <w:i/>
          <w:noProof/>
        </w:rPr>
        <w:t>The Book of the Acts</w:t>
      </w:r>
      <w:r w:rsidRPr="00C71822">
        <w:rPr>
          <w:rFonts w:ascii="Times New Roman" w:hAnsi="Times New Roman" w:cs="Times New Roman"/>
          <w:noProof/>
        </w:rPr>
        <w:t xml:space="preserve"> (Grand Rapids: Eerdmans, 1988).</w:t>
      </w:r>
      <w:r w:rsidRPr="00C71822">
        <w:rPr>
          <w:rFonts w:ascii="Times New Roman" w:hAnsi="Times New Roman" w:cs="Times New Roman"/>
        </w:rPr>
        <w:fldChar w:fldCharType="end"/>
      </w:r>
    </w:p>
  </w:footnote>
  <w:footnote w:id="29">
    <w:p w14:paraId="22C90EC7" w14:textId="547712B9"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{"citationItems":[{"id":"ITEM-1","itemData":{"ISBN":"9780830824885","abstract":"Revised edition. Description based upon print version of record. The experiences of the early church have much to say about issues that concern Christians today. What can Acts tell us about tongues and other manifestations of the Spirit? How should the church reach out into the world with the message of salvation? This revised BST volume from John Stott opens to us the early days of the church as recorded by Luke in the book of Acts. Introduction to Luke (Luke 1:1-4) -- Introduction to the Acts (Acts 1:1-5) -- A. In Jerusalem (1:6-6:7) -- Waiting for Pentecost (1:6-26) -- The Day of Pentecost (2:1-47) -- The outbreak of persecution (3:1-4:31) -- Satanic counter-attack -- B. Foundations for world mission (6:8-12:24) -- Stephen the martyr (6:8-7:60) -- Philip the evangelist (8:1-40) -- The conversion of Saul (9:1-31) -- The conversion of Cornelius (9:32-11:18) -- Expansion and opposition (11:19-12:24) -- C. The apostle to the Gentles (12:25-21:17) -- The first missionary journey (12:25-14:28) -- The Council of Jerusalem (15:1-16:5) -- Mission in Macedonia (16:6-17:15) -- Paul in Athens (17:16-34) -- Corinth and Ephesus (18:1-19:41) -- More about Ephesus (20:1-21:17) -- D. On the way to Rome (21:18-28:31) -- Paul's arrest and self-defense (21:18-23:35) -- Paul on trial (24:1-26:32) -- Rome at last! (27:1-28:31) -- Study guide.","author":[{"dropping-particle":"","family":"John R. W. Stott","given":"","non-dropping-particle":"","parse-names":false,"suffix":""}],"id":"ITEM-1","issued":{"date-parts":[["2020"]]},"publisher":"Inter-Varsity Press","publisher-place":"Leicester","title":"The message of Acts ","type":"book"},"uris":["http://www.mendeley.com/documents/?uuid=7405793a-e220-47b7-adab-7e45cc03baba"]}],"mendeley":{"formattedCitation":"John R. W. Stott, &lt;i&gt;The message of Acts &lt;/i&gt; (Leicester: Inter-Varsity Press, 2020).","plainTextFormattedCitation":"John R. W. Stott, The message of Acts  (Leicester: Inter-Varsity Press, 2020).","previouslyFormattedCitation":"John R. W. Stott, &lt;i&gt;The message of Acts &lt;/i&gt; (Leicester: Inter-Varsity Press, 2020), 108–109."},"properties":{"noteIndex":29},"schema":"https://github.com/citation-style-language/schema/raw/master/csl-citation.json"}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John R. W. Stott, </w:t>
      </w:r>
      <w:r w:rsidR="00CF59E1" w:rsidRPr="00CF59E1">
        <w:rPr>
          <w:rFonts w:ascii="Times New Roman" w:hAnsi="Times New Roman" w:cs="Times New Roman"/>
          <w:i/>
          <w:noProof/>
        </w:rPr>
        <w:t xml:space="preserve">The message of Acts </w:t>
      </w:r>
      <w:r w:rsidR="00CF59E1" w:rsidRPr="00CF59E1">
        <w:rPr>
          <w:rFonts w:ascii="Times New Roman" w:hAnsi="Times New Roman" w:cs="Times New Roman"/>
          <w:noProof/>
        </w:rPr>
        <w:t xml:space="preserve"> (Leicester: Inter-Varsity Press, 2020).</w:t>
      </w:r>
      <w:r w:rsidRPr="00C71822">
        <w:rPr>
          <w:rFonts w:ascii="Times New Roman" w:hAnsi="Times New Roman" w:cs="Times New Roman"/>
        </w:rPr>
        <w:fldChar w:fldCharType="end"/>
      </w:r>
    </w:p>
  </w:footnote>
  <w:footnote w:id="30">
    <w:p w14:paraId="1648A284" w14:textId="2D881BA0"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{"citationItems":[{"id":"ITEM-1","itemData":{"ISBN":"9781449749255","abstract":"This book explores the only sure solution to the ongoing problems of our world-the biblical gospel of Jesus Christ. A variety of viewpoints are presented from our religious, political, and economic spectrums, but only the absolute truth of the gospel of Christ has the message that ultimately answers the most pressing questions and serious concerns of the human soul. The book is concerned with encouraging and helping church leaders bring spiritual renewal to their people through the biblical gospel. Chapter one explains what the gospel is and the importance of the Bible and shows how a limited number of biblical figures were used by the Lord to bring spiritual renewal to their people. Chapter two describes the profound transformation that the proclamation of the gospel had upon sixteenth-century England. The pernicious dangers of our current postmodern culture are examined in chapter three, along with the only effective solution-the proclamation and reception of the biblical gospel. Chapter four proposes a model for growth and transformation in Christ through the renewal of the clergy and laity. The book concludes that mankind's only hope for eternal security and truth is found in the gospel of Jesus Christ, as presented through the pages of the Bible. The book illustrates that regardless of time, place, or nationality, the gospel declaration alone has the power to change human beings from lives of sin and rebellion against God and one another to lives filled with love and devotion to Jesus Christ and others. This book is designed to draw significant attention and interest to the churches' obligation and critical calling by God to present the Holy Scriptures in a loving and truthful way to congregations that will bring lasting change to the body of Christ. Only the gospel has the ability to renew and transform people from a life of sin and rebellion against God to a life of love, devotion, and service to Christ. Lives start to change and people begin to think, live, and act more like Christ. The promises and truths of the gospel bring to the believer eternal security, lasting peace, and unspeakable joy. What an extraordinary additive to everyday living! The faithful pastor is entrusted with God's Word to preach and teach absolute truth, which upon reception by the people brings repentance, forgiveness, salvation, and freedom. Ministers who are obedient to the gospel bring tremendous blessing and hope to their flocks. God's people are transformed and rene…","author":[{"dropping-particle":"","family":"Reid Hensarling","given":"","non-dropping-particle":"","parse-names":false,"suffix":""}],"id":"ITEM-1","issued":{"date-parts":[["2012"]]},"publisher":"Westbow Press","publisher-place":"Bloomington","title":"Biblical Gospel : Its Significance And Impact In Spiritual Renewal","type":"book"},"uris":["http://www.mendeley.com/documents/?uuid=c111f4fb-450e-4128-9687-44a677da8356"]}],"mendeley":{"formattedCitation":"Reid Hensarling, &lt;i&gt;Biblical Gospel : Its Significance And Impact In Spiritual Renewal&lt;/i&gt; (Bloomington: Westbow Press, 2012).","plainTextFormattedCitation":"Reid Hensarling, Biblical Gospel : Its Significance And Impact In Spiritual Renewal (Bloomington: Westbow Press, 2012).","previouslyFormattedCitation":"Reid Hensarling, &lt;i&gt;Biblical Gospel : Its Significance And Impact In Spiritual Renewal&lt;/i&gt; (Bloomington: Westbow Press, 2012), 60."},"properties":{"noteIndex":30},"schema":"https://github.com/citation-style-language/schema/raw/master/csl-citation.json"}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Reid Hensarling, </w:t>
      </w:r>
      <w:r w:rsidR="00CF59E1" w:rsidRPr="00CF59E1">
        <w:rPr>
          <w:rFonts w:ascii="Times New Roman" w:hAnsi="Times New Roman" w:cs="Times New Roman"/>
          <w:i/>
          <w:noProof/>
        </w:rPr>
        <w:t>Biblical Gospel : Its Significance And Impact In Spiritual Renewal</w:t>
      </w:r>
      <w:r w:rsidR="00CF59E1" w:rsidRPr="00CF59E1">
        <w:rPr>
          <w:rFonts w:ascii="Times New Roman" w:hAnsi="Times New Roman" w:cs="Times New Roman"/>
          <w:noProof/>
        </w:rPr>
        <w:t xml:space="preserve"> (Bloomington: Westbow Press, 2012).</w:t>
      </w:r>
      <w:r w:rsidRPr="00C71822">
        <w:rPr>
          <w:rFonts w:ascii="Times New Roman" w:hAnsi="Times New Roman" w:cs="Times New Roman"/>
        </w:rPr>
        <w:fldChar w:fldCharType="end"/>
      </w:r>
    </w:p>
  </w:footnote>
  <w:footnote w:id="31">
    <w:p w14:paraId="7B8F5A98" w14:textId="1F8BD18C"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{"citationItems":[{"id":"ITEM-1","itemData":{"ISBN":"9780791416372","abstract":"These readings are organized into four sections. The first explores the wellsprings of the debates in the relationship between the postmodern and the enterprise it both continues and contravenes: modernism. Here philosophers, social and political commentators, as well as cultural and literary analysts present controversial background essays on the complex history of postmodernism. The readings in the second section debate the possibility - or desirability - of trying to define the postmodern, given its cultural agenda of decentering, challenging, even undermining the guiding \"master\" narratives of postmodernism's Western culture. The readings in the third section explore postmodernism's complicated complicity with these very narratives, while the fourth section moves from theory to practice in order to investigate, in a variety of fields, the common denominators of the postmodern condition in action. Introduction: Reading A Postmodern Reader -- \"Postmodernity, or Living with Ambivalence.\" / Zygmunt Bauman -- \"The Postmodern Weltanschauung and its Relation to Modernism: an Introductory Survey.\" / Hans Bertens -- Excerpts from The Postmodern Condition: A Report on Knowledge. / Jean-Francois Lyotard -- \"Modernity versus Postmodernity.\" / Jurgen Habermas -- \"Mapping the Postmodern.\" / Andreas Huyssen -- \"Modernism versus Postmodernism: Towards an Analytic Distinction.\" / David J. Herman -- Excerpts from Postmodernism and its Critics. / John McGowan -- \"Structure, Sign, and Play in the Discourse of the Human Sciences.\" / Jacques Derrida -- \"Beginning to Theorize Postmodernism.\" / Linda Hutcheon -- \"Toward a Concept of Postmodernism.\" / Ihab Hassan -- \"The Context of the Concept.\" / Charles Russell -- Excerpts from Postmodernism, Or the Cultural Logic of Late Capitalism. / Fredric Jameson -- Excerpts from The History of Sexuality: Volume I: An Introduction. / Michel Foucault -- \"The Precession of Simulacra.\" / Jean Baudrillard -- \"The Resolution of Revolutions.\" / Thomas Kuhn -- \"Black Culture and Postmodernism.\" / Cornel West -- \"From Here to Modernity: Feminism and Postmodernism.\" / Barbara Creed -- Excerpts from Thinking Fragments. / Jane Flax -- \"Modernism's Last Post.\" / Stephen Slemon -- \"Postmodernism as Border Pedagogy: Redefining the Boundaries of Race and Ethnicity.\" / Henry Giroux -- \"Existentialism, Alienation, Postmodernism: Cultural Movements as Vehicles of Change in the Patterns of Everyday Life.\" / Agnes Heller -- \"Postmodern Blackness.\" / bel…","author":[{"dropping-particle":"","family":"Joseph P. Natoli","given":"","non-dropping-particle":"","parse-names":false,"suffix":""},{"dropping-particle":"","family":"Linda Hutcheon","given":"","non-dropping-particle":"","parse-names":false,"suffix":""}],"id":"ITEM-1","issued":{"date-parts":[["1993"]]},"number-of-pages":"584","publisher":"State University of New York Press","title":"A Postmodern reader","type":"book"},"uris":["http://www.mendeley.com/documents/?uuid=16f034b5-1210-4f2a-a07c-8dca0b97c013"]}],"mendeley":{"formattedCitation":"Joseph P. Natoli dan Linda Hutcheon, &lt;i&gt;A Postmodern reader&lt;/i&gt; (State University of New York Press, 1993).","plainTextFormattedCitation":"Joseph P. Natoli dan Linda Hutcheon, A Postmodern reader (State University of New York Press, 1993).","previouslyFormattedCitation":"Joseph P. Natoli dan Linda Hutcheon, &lt;i&gt;A Postmodern reader&lt;/i&gt; (State University of New York Press, 1993), 70."},"properties":{"noteIndex":31},"schema":"https://github.com/citation-style-language/schema/raw/master/csl-citation.json"}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Joseph P. Natoli dan Linda Hutcheon, </w:t>
      </w:r>
      <w:r w:rsidR="00CF59E1" w:rsidRPr="00CF59E1">
        <w:rPr>
          <w:rFonts w:ascii="Times New Roman" w:hAnsi="Times New Roman" w:cs="Times New Roman"/>
          <w:i/>
          <w:noProof/>
        </w:rPr>
        <w:t>A Postmodern reader</w:t>
      </w:r>
      <w:r w:rsidR="00CF59E1" w:rsidRPr="00CF59E1">
        <w:rPr>
          <w:rFonts w:ascii="Times New Roman" w:hAnsi="Times New Roman" w:cs="Times New Roman"/>
          <w:noProof/>
        </w:rPr>
        <w:t xml:space="preserve"> (State University of New York Press, 1993).</w:t>
      </w:r>
      <w:r w:rsidRPr="00C71822">
        <w:rPr>
          <w:rFonts w:ascii="Times New Roman" w:hAnsi="Times New Roman" w:cs="Times New Roman"/>
        </w:rPr>
        <w:fldChar w:fldCharType="end"/>
      </w:r>
    </w:p>
  </w:footnote>
  <w:footnote w:id="32">
    <w:p w14:paraId="459385B6" w14:textId="216DB379"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matters","type":"book"},"uris":["http://www.mendeley.com/documents/?uuid=bb425cf0-16b7-4c0b-951a-d00e40fc8636"]}],"mendeley":{"formattedCitation":"N. T. Wright, &lt;i&gt;Simply Jesus : a new vision of who he was, what he did, and why he matters&lt;/i&gt; (HarperOne, 2011).","plainTextFormattedCitation":"N. T. Wright, Simply Jesus : a new vision of who he was, what he did, and why he matters (HarperOne, 2011).","previouslyFormattedCitation":"N. T. Wright, &lt;i&gt;Simply Jesus : a new vision of who he was, what he did, and why he matters&lt;/i&gt; (HarperOne, 2011), 147–149."},"properties":{"noteIndex":32},"schema":"https://github.com/citation-style-language/schema/raw/master/csl-citation.json"}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N. T. Wright, </w:t>
      </w:r>
      <w:r w:rsidR="00CF59E1" w:rsidRPr="00CF59E1">
        <w:rPr>
          <w:rFonts w:ascii="Times New Roman" w:hAnsi="Times New Roman" w:cs="Times New Roman"/>
          <w:i/>
          <w:noProof/>
        </w:rPr>
        <w:t>Simply Jesus : a new vision of who he was, what he did, and why he matters</w:t>
      </w:r>
      <w:r w:rsidR="00CF59E1" w:rsidRPr="00CF59E1">
        <w:rPr>
          <w:rFonts w:ascii="Times New Roman" w:hAnsi="Times New Roman" w:cs="Times New Roman"/>
          <w:noProof/>
        </w:rPr>
        <w:t xml:space="preserve"> (HarperOne, 2011).</w:t>
      </w:r>
      <w:r w:rsidRPr="00C71822">
        <w:rPr>
          <w:rFonts w:ascii="Times New Roman" w:hAnsi="Times New Roman" w:cs="Times New Roman"/>
        </w:rPr>
        <w:fldChar w:fldCharType="end"/>
      </w:r>
    </w:p>
  </w:footnote>
  <w:footnote w:id="33">
    <w:p w14:paraId="477D60C6" w14:textId="340A28E2"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Society","type":"book"},"uris":["http://www.mendeley.com/documents/?uuid=e9f1e4e2-7d4d-4db7-9f65-4f1553722aad"]}],"mendeley":{"formattedCitation":"Newbigin, &lt;i&gt;The Gospel in a Pluralist Society&lt;/i&gt;.","plainTextFormattedCitation":"Newbigin, The Gospel in a Pluralist Society.","previouslyFormattedCitation":"Newbigin, &lt;i&gt;The Gospel in a Pluralist Society&lt;/i&gt;."},"properties":{"noteIndex":33},"schema":"https://github.com/citation-style-language/schema/raw/master/csl-citation.json"}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4">
    <w:p w14:paraId="2FF6549D" w14:textId="2010E20B"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{"citationItems":[{"id":"ITEM-1","itemData":{"ISBN":"085110973X","author":[{"dropping-particle":"","family":"Stott","given":"John R. W. 1921-2011","non-dropping-particle":"","parse-names":false,"suffix":""}],"id":"ITEM-1","issued":{"date-parts":[["1993"]]},"publisher":"Inter-Varsity Press","publisher-place":"[Leicester]","title":"The contemporary christian  an urgent plea for double listening","type":"book"},"uris":["http://www.mendeley.com/documents/?uuid=4a1a0bbb-3f8e-47de-9e7a-203c811bf0be"]}],"mendeley":{"formattedCitation":"John R. W. 1921-2011 Stott, &lt;i&gt;The contemporary christian  an urgent plea for double listening&lt;/i&gt; ([Leicester]: Inter-Varsity Press, 1993).","plainTextFormattedCitation":"John R. W. 1921-2011 Stott, The contemporary christian  an urgent plea for double listening ([Leicester]: Inter-Varsity Press, 1993).","previouslyFormattedCitation":"John R. W. 1921-2011 Stott, &lt;i&gt;The contemporary christian  an urgent plea for double listening&lt;/i&gt; ([Leicester]: Inter-Varsity Press, 1993), 29–30."},"properties":{"noteIndex":34},"schema":"https://github.com/citation-style-language/schema/raw/master/csl-citation.json"}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John R. W. 1921-2011 Stott, </w:t>
      </w:r>
      <w:r w:rsidR="00CF59E1" w:rsidRPr="00CF59E1">
        <w:rPr>
          <w:rFonts w:ascii="Times New Roman" w:hAnsi="Times New Roman" w:cs="Times New Roman"/>
          <w:i/>
          <w:noProof/>
        </w:rPr>
        <w:t>The contemporary christian  an urgent plea for double listening</w:t>
      </w:r>
      <w:r w:rsidR="00CF59E1" w:rsidRPr="00CF59E1">
        <w:rPr>
          <w:rFonts w:ascii="Times New Roman" w:hAnsi="Times New Roman" w:cs="Times New Roman"/>
          <w:noProof/>
        </w:rPr>
        <w:t xml:space="preserve"> ([Leicester]: Inter-Varsity Press, 1993).</w:t>
      </w:r>
      <w:r w:rsidRPr="00C71822">
        <w:rPr>
          <w:rFonts w:ascii="Times New Roman" w:hAnsi="Times New Roman" w:cs="Times New Roman"/>
        </w:rPr>
        <w:fldChar w:fldCharType="end"/>
      </w:r>
    </w:p>
  </w:footnote>
  <w:footnote w:id="35">
    <w:p w14:paraId="1818C5DB" w14:textId="41AA50BC"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{"citationItems":[{"id":"ITEM-1","itemData":{"author":[{"dropping-particle":"","family":"Darmaputera","given":"Eka","non-dropping-particle":"","parse-names":false,"suffix":""}],"id":"ITEM-1","issued":{"date-parts":[["2005"]]},"publisher":"BPK Gunung Mulia","publisher-place":"Jakarta","title":"Pergulatan Kehadiran Kristen di Indonesia","type":"chapter"},"uris":["http://www.mendeley.com/documents/?uuid=c5719445-0c48-4b83-9535-38db137d704f"]}],"mendeley":{"formattedCitation":"Eka Darmaputera, “Pergulatan Kehadiran Kristen di Indonesia” (Jakarta: BPK Gunung Mulia, 2005).","plainTextFormattedCitation":"Eka Darmaputera, “Pergulatan Kehadiran Kristen di Indonesia” (Jakarta: BPK Gunung Mulia, 2005).","previouslyFormattedCitation":"Eka Darmaputera, “Pergulatan Kehadiran Kristen di Indonesia” (Jakarta: BPK Gunung Mulia, 2005), 45–46."},"properties":{"noteIndex":35},"schema":"https://github.com/citation-style-language/schema/raw/master/csl-citation.json"}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Eka Darmaputera, “Pergulatan Kehadiran Kristen di Indonesia” (Jakarta: BPK Gunung Mulia, 2005).</w:t>
      </w:r>
      <w:r w:rsidRPr="00C71822">
        <w:rPr>
          <w:rFonts w:ascii="Times New Roman" w:hAnsi="Times New Roman" w:cs="Times New Roman"/>
        </w:rPr>
        <w:fldChar w:fldCharType="end"/>
      </w:r>
    </w:p>
  </w:footnote>
  <w:footnote w:id="36">
    <w:p w14:paraId="096B2C97" w14:textId="291D27A4"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Knowledge","type":"book"},"uris":["http://www.mendeley.com/documents/?uuid=923aa503-d09b-440c-8168-0425d939d3ab"]}],"mendeley":{"formattedCitation":"Kevin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Knowledge&lt;/i&gt;."},"properties":{"noteIndex":36},"schema":"https://github.com/citation-style-language/schema/raw/master/csl-citation.json"}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7">
    <w:p w14:paraId="6F9A6203" w14:textId="76C91A4B"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{"citationItems":[{"id":"ITEM-1","itemData":{"ISBN":"9781444397703","abstract":"Alister McGrath's \"Christian Theology: An Introduction\" is one of the most internationally-acclaimed and popular Christian theology textbooks in use today. This 5th edition has been completely revised, and now features new and extended material, numerous additional illustrations, and companion resources, ensuring it retains its reputation as the ideal introduction to Christian theology. Fully updated 5th edition of the bestselling textbook, incorporating expanded material, numerous student features and new illustrations Features new sections on Copernicanism and Darwinism Includes extended discussions of Augustine's doctrine of creation, Trinitarian theologies of religion, and the relation of Christianity to other faiths May be used as a stand-alone volume, or alongside the \"Christian Theology Reader, 4th edition\" for a complete overview of the subject Retains the chapter structure of the 4th edition, ensuring comparability with earlier editions and courses based on these Accompanied by a revised instructor's website featuring expanded resources including study questions and answers; visit www.wiley.com/go/mcgrath for more details and to register for access","author":[{"dropping-particle":"","family":"McGrath","given":"Alister E.","non-dropping-particle":"","parse-names":false,"suffix":""}],"edition":"5th Ed.","id":"ITEM-1","issued":{"date-parts":[["2011"]]},"page":"539","publisher":"John Wiley &amp; Sons","publisher-place":"United Kingdom","title":"Christian Theology: An Introduction, 5th Edition: An Introduction","type":"article-journal"},"uris":["http://www.mendeley.com/documents/?uuid=2b35fe6c-3c99-4bed-8198-cedc4861c618"]}],"mendeley":{"formattedCitation":"Alister E. McGrath, “Christian Theology: An Introduction, 5th Edition: An Introduction,” 2011, 539.","plainTextFormattedCitation":"Alister E. McGrath, “Christian Theology: An Introduction, 5th Edition: An Introduction,” 2011, 539.","previouslyFormattedCitation":"Alister E. McGrath, “Christian Theology: An Introduction, 5th Edition: An Introduction” (2011): 121–123, diakses April 28, 2025, https://play.google.com/books?id=bus5TyjTfxYC."},"properties":{"noteIndex":37},"schema":"https://github.com/citation-style-language/schema/raw/master/csl-citation.json"}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Alister E. McGrath, “Christian Theology: An Introduction, 5th Edition: An Introduction,” 2011, 539.</w:t>
      </w:r>
      <w:r w:rsidRPr="00C71822">
        <w:rPr>
          <w:rFonts w:ascii="Times New Roman" w:hAnsi="Times New Roman" w:cs="Times New Roman"/>
        </w:rPr>
        <w:fldChar w:fldCharType="end"/>
      </w:r>
    </w:p>
  </w:footnote>
  <w:footnote w:id="38">
    <w:p w14:paraId="10AF0008" w14:textId="47534AD8"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{"citationItems":[{"id":"ITEM-1","itemData":{"id":"ITEM-1","issued":{"date-parts":[["2006"]]},"publisher":"Reformed Institute","publisher-place":"Jakarta","title":"Theologia Crucis: Salib Kristus","type":"book"},"uris":["http://www.mendeley.com/documents/?uuid=88e14b91-93eb-4cc8-bf8a-3d9564d8e6ec"]}],"mendeley":{"formattedCitation":"&lt;i&gt;Theologia Crucis: Salib Kristus&lt;/i&gt; (Jakarta: Reformed Institute, 2006).","plainTextFormattedCitation":"Theologia Crucis: Salib Kristus (Jakarta: Reformed Institute, 2006).","previouslyFormattedCitation":"&lt;i&gt;Theologia Crucis: Salib Kristus&lt;/i&gt; (Jakarta: Reformed Institute, 2006), 88–90."},"properties":{"noteIndex":38},"schema":"https://github.com/citation-style-language/schema/raw/master/csl-citation.json"}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i/>
          <w:noProof/>
          <w:lang w:val="sv-SE"/>
        </w:rPr>
        <w:t>Theologia Crucis: Salib Kristus</w:t>
      </w:r>
      <w:r w:rsidR="00CF59E1" w:rsidRPr="00CF59E1">
        <w:rPr>
          <w:rFonts w:ascii="Times New Roman" w:hAnsi="Times New Roman" w:cs="Times New Roman"/>
          <w:noProof/>
          <w:lang w:val="sv-SE"/>
        </w:rPr>
        <w:t xml:space="preserve"> (Jakarta: Reformed Institute, 2006).</w:t>
      </w:r>
      <w:r w:rsidRPr="00C71822">
        <w:rPr>
          <w:rFonts w:ascii="Times New Roman" w:hAnsi="Times New Roman" w:cs="Times New Roman"/>
        </w:rPr>
        <w:fldChar w:fldCharType="end"/>
      </w:r>
    </w:p>
  </w:footnote>
  <w:footnote w:id="39">
    <w:p w14:paraId="24A0FEF6" w14:textId="76F724C2"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Society","type":"book"},"uris":["http://www.mendeley.com/documents/?uuid=e9f1e4e2-7d4d-4db7-9f65-4f1553722aad"]}],"mendeley":{"formattedCitation":"Newbigin, &lt;i&gt;The Gospel in a Pluralist Society&lt;/i&gt;.","plainTextFormattedCitation":"Newbigin, The Gospel in a Pluralist Society.","previouslyFormattedCitation":"Newbigin, &lt;i&gt;The Gospel in a Pluralist Society&lt;/i&gt;."},"properties":{"noteIndex":39},"schema":"https://github.com/citation-style-language/schema/raw/master/csl-citation.json"}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0">
    <w:p w14:paraId="4F61E4DB" w14:textId="6A8D900D"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Christianity","type":"article"},"uris":["http://www.mendeley.com/documents/?uuid=89b2848b-0974-4f14-8bfa-2817e5076fb4"]}],"mendeley":{"formattedCitation":"Carson, “The gagging of God: Christianity.”","plainTextFormattedCitation":"Carson, “The gagging of God: Christianity.”","previouslyFormattedCitation":"Carson, “The gagging of God: Christianity.”"},"properties":{"noteIndex":40},"schema":"https://github.com/citation-style-language/schema/raw/master/csl-citation.json"}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41">
    <w:p w14:paraId="799575F4" w14:textId="6B5FF56C"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{"citationItems":[{"id":"ITEM-1","itemData":{"ISBN":"9781592441648","abstract":"Originally published: Philadelphia : Westminster Press, ©1982. With new foreword. The bounds of Christian theology -- Theological questions to biblical scholars -- A realist interpretation of God's self-revelation -- Truth and justification in doctrinal formulation.","author":[{"dropping-particle":"","family":"Thomas F Torrance","given":"","non-dropping-particle":"","parse-names":false,"suffix":""}],"id":"ITEM-1","issued":{"date-parts":[["2003"]]},"number-of-pages":"174","publisher":"Wipf and Stock Publishers","title":"Reality &amp; evangelical theology : the realism of Christian revelation","type":"book"},"uris":["http://www.mendeley.com/documents/?uuid=689aafe7-1ca7-4fb0-831b-3e12d7a993fe"]}],"mendeley":{"formattedCitation":"Thomas F Torrance, &lt;i&gt;Reality &amp; evangelical theology : the realism of Christian revelation&lt;/i&gt; (Wipf and Stock Publishers, 2003).","plainTextFormattedCitation":"Thomas F Torrance, Reality &amp; evangelical theology : the realism of Christian revelation (Wipf and Stock Publishers, 2003).","previouslyFormattedCitation":"Thomas F Torrance, &lt;i&gt;Reality &amp; evangelical theology : the realism of Christian revelation&lt;/i&gt; (Wipf and Stock Publishers, 2003), 34–36."},"properties":{"noteIndex":41},"schema":"https://github.com/citation-style-language/schema/raw/master/csl-citation.json"}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Thomas F Torrance, </w:t>
      </w:r>
      <w:r w:rsidR="00CF59E1" w:rsidRPr="00CF59E1">
        <w:rPr>
          <w:rFonts w:ascii="Times New Roman" w:hAnsi="Times New Roman" w:cs="Times New Roman"/>
          <w:i/>
          <w:noProof/>
        </w:rPr>
        <w:t>Reality &amp; evangelical theology : the realism of Christian revelation</w:t>
      </w:r>
      <w:r w:rsidR="00CF59E1" w:rsidRPr="00CF59E1">
        <w:rPr>
          <w:rFonts w:ascii="Times New Roman" w:hAnsi="Times New Roman" w:cs="Times New Roman"/>
          <w:noProof/>
        </w:rPr>
        <w:t xml:space="preserve"> (Wipf and Stock Publishers, 2003).</w:t>
      </w:r>
      <w:r w:rsidRPr="00C71822">
        <w:rPr>
          <w:rFonts w:ascii="Times New Roman" w:hAnsi="Times New Roman" w:cs="Times New Roman"/>
        </w:rPr>
        <w:fldChar w:fldCharType="end"/>
      </w:r>
    </w:p>
  </w:footnote>
  <w:footnote w:id="42">
    <w:p w14:paraId="75DB0E05" w14:textId="11DD93E7" w:rsidR="001366A2" w:rsidRPr="00C71822" w:rsidRDefault="001366A2" w:rsidP="00B61FB5">
      <w:pPr>
        <w:pStyle w:val="TeksCatatanKaki"/>
        <w:ind w:left="720"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","type":"book"},"uris":["http://www.mendeley.com/documents/?uuid=09da716a-bcd2-484d-b39f-fbb81f8ea6c9"]}],"mendeley":{"formattedCitation":"Stanley J. Grenz, &lt;i&gt;A Primer on Postmodernism &lt;/i&gt;.","plainTextFormattedCitation":"Stanley J. Grenz, A Primer on Postmodernism .","previouslyFormattedCitation":"Stanley J. Grenz, &lt;i&gt;A Primer on Postmodernism &lt;/i&gt;."},"properties":{"noteIndex":42},"schema":"https://github.com/citation-style-language/schema/raw/master/csl-citation.json"}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3">
    <w:p w14:paraId="6FB5C3BC" w14:textId="76C29151"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introduction","type":"book"},"uris":["http://www.mendeley.com/documents/?uuid=644a5a4e-e259-40c1-b86e-6ecc10059fb3"]}],"mendeley":{"formattedCitation":"Alister E. McGrath, &lt;i&gt;Christian theology : an introduction&lt;/i&gt;.","plainTextFormattedCitation":"Alister E. McGrath, Christian theology : an introduction.","previouslyFormattedCitation":"Alister E. McGrath, &lt;i&gt;Christian theology : an introduction&lt;/i&gt;."},"properties":{"noteIndex":43},"schema":"https://github.com/citation-style-language/schema/raw/master/csl-citation.json"}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Alister E. McGrath, </w:t>
      </w:r>
      <w:r w:rsidR="00F32776" w:rsidRPr="00F32776">
        <w:rPr>
          <w:rFonts w:ascii="Times New Roman" w:hAnsi="Times New Roman" w:cs="Times New Roman"/>
          <w:i/>
          <w:noProof/>
        </w:rPr>
        <w:t>Christian theology : an introduction</w:t>
      </w:r>
      <w:r w:rsidR="00F32776" w:rsidRPr="00F32776">
        <w:rPr>
          <w:rFonts w:ascii="Times New Roman" w:hAnsi="Times New Roman" w:cs="Times New Roman"/>
          <w:noProof/>
        </w:rPr>
        <w:t>.</w:t>
      </w:r>
      <w:r w:rsidRPr="00C71822">
        <w:rPr>
          <w:rFonts w:ascii="Times New Roman" w:hAnsi="Times New Roman" w:cs="Times New Roman"/>
        </w:rPr>
        <w:fldChar w:fldCharType="end"/>
      </w:r>
    </w:p>
  </w:footnote>
  <w:footnote w:id="44">
    <w:p w14:paraId="2B22EF1F" w14:textId="555723A6"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{"citationItems":[{"id":"ITEM-1","itemData":{"ISBN":"9780521866316","ISSN":"00438871","PMID":"18850620","abstract":"During the last few decades, there have been many attempts within science and policy to simultaneously alleviate poverty and conserve the environment. The endeavor of combining conservation and development has resulted in a range","author":[{"dropping-particle":"","family":"R. W. L. Moberly","given":"","non-dropping-particle":"","parse-names":false,"suffix":""}],"container-title":"Ecology and Society","id":"ITEM-1","issue":"2","issued":{"date-parts":[["2000"]]},"publisher":"Cambridge University Press","publisher-place":"Cambridge","title":"The Science of Sustainable Development. Local Livelihoods and the Global Environment (Sayer, Campbell 2004)","type":"book"},"uris":["http://www.mendeley.com/documents/?uuid=892ddf1a-45c9-48ab-9c1c-12407f5c0ece"]}],"mendeley":{"formattedCitation":"R. W. L. Moberly, &lt;i&gt;The Science of Sustainable Development. Local Livelihoods and the Global Environment (Sayer, Campbell 2004)&lt;/i&gt;, &lt;i&gt;Ecology and Society&lt;/i&gt; (Cambridge: Cambridge University Press, 2000).","plainTextFormattedCitation":"R. W. L. Moberly, The Science of Sustainable Development. Local Livelihoods and the Global Environment (Sayer, Campbell 2004), Ecology and Society (Cambridge: Cambridge University Press, 2000).","previouslyFormattedCitation":"R. W. L. Moberly, &lt;i&gt;The Science of Sustainable Development. Local Livelihoods and the Global Environment (Sayer, Campbell 2004)&lt;/i&gt;, &lt;i&gt;Ecology and Society&lt;/i&gt; (Cambridge: Cambridge University Press, 2000), 12–14, diakses Agustus 27, 2025, http://www.scopus.com/inward/record.url?eid=2-s2.0-58049195454&amp;partnerID=40&amp;md5=701ac9f44e4d10e2628305996265c744."},"properties":{"noteIndex":44},"schema":"https://github.com/citation-style-language/schema/raw/master/csl-citation.json"}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R. W. L. Moberly, </w:t>
      </w:r>
      <w:r w:rsidR="00CF59E1" w:rsidRPr="00CF59E1">
        <w:rPr>
          <w:rFonts w:ascii="Times New Roman" w:hAnsi="Times New Roman" w:cs="Times New Roman"/>
          <w:i/>
          <w:noProof/>
        </w:rPr>
        <w:t>The Science of Sustainable Development. Local Livelihoods and the Global Environment (Sayer, Campbell 2004)</w:t>
      </w:r>
      <w:r w:rsidR="00CF59E1" w:rsidRPr="00CF59E1">
        <w:rPr>
          <w:rFonts w:ascii="Times New Roman" w:hAnsi="Times New Roman" w:cs="Times New Roman"/>
          <w:noProof/>
        </w:rPr>
        <w:t xml:space="preserve">, </w:t>
      </w:r>
      <w:r w:rsidR="00CF59E1" w:rsidRPr="00CF59E1">
        <w:rPr>
          <w:rFonts w:ascii="Times New Roman" w:hAnsi="Times New Roman" w:cs="Times New Roman"/>
          <w:i/>
          <w:noProof/>
        </w:rPr>
        <w:t>Ecology and Society</w:t>
      </w:r>
      <w:r w:rsidR="00CF59E1" w:rsidRPr="00CF59E1">
        <w:rPr>
          <w:rFonts w:ascii="Times New Roman" w:hAnsi="Times New Roman" w:cs="Times New Roman"/>
          <w:noProof/>
        </w:rPr>
        <w:t xml:space="preserve"> (Cambridge: Cambridge University Press, 2000).</w:t>
      </w:r>
      <w:r w:rsidRPr="00C71822">
        <w:rPr>
          <w:rFonts w:ascii="Times New Roman" w:hAnsi="Times New Roman" w:cs="Times New Roman"/>
        </w:rPr>
        <w:fldChar w:fldCharType="end"/>
      </w:r>
    </w:p>
  </w:footnote>
  <w:footnote w:id="45">
    <w:p w14:paraId="763C3A6C" w14:textId="01ED6333" w:rsidR="001366A2" w:rsidRPr="00F32776"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F32776">
        <w:rPr>
          <w:rFonts w:ascii="Times New Roman" w:hAnsi="Times New Roman" w:cs="Times New Roman"/>
          <w:lang w:val="en-US"/>
        </w:rPr>
        <w:t xml:space="preserve"> </w:t>
      </w:r>
      <w:r w:rsidRPr="00C71822">
        <w:rPr>
          <w:rFonts w:ascii="Times New Roman" w:hAnsi="Times New Roman" w:cs="Times New Roman"/>
        </w:rPr>
        <w:fldChar w:fldCharType="begin" w:fldLock="1"/>
      </w:r>
      <w:r w:rsidR="00CF59E1">
        <w:rPr>
          <w:rFonts w:ascii="Times New Roman" w:hAnsi="Times New Roman" w:cs="Times New Roman"/>
          <w:lang w:val="en-US"/>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Darmaputera","type":"book"},"uris":["http://www.mendeley.com/documents/?uuid=24e138e2-1743-442b-b59d-21d54b74ce42"]}],"mendeley":{"formattedCitation":"Eka Darmaputera, &lt;i&gt;Pergulatan kehadiran Kristen di Indonesia: teks-teks terpilih Eka Darmaputera&lt;/i&gt; (Jakarta: BPK Gunung Mulia , 2005).","plainTextFormattedCitation":"Eka Darmaputera, Pergulatan kehadiran Kristen di Indonesia: teks-teks terpilih Eka Darmaputera (Jakarta: BPK Gunung Mulia , 2005).","previouslyFormattedCitation":"Eka Darmaputera, &lt;i&gt;Pergulatan kehadiran Kristen di Indonesia: teks-teks terpilih Eka Darmaputera&lt;/i&gt;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1988)&amp;f=false."},"properties":{"noteIndex":45},"schema":"https://github.com/citation-style-language/schema/raw/master/csl-citation.json"}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en-US"/>
        </w:rPr>
        <w:t xml:space="preserve">Eka Darmaputera, </w:t>
      </w:r>
      <w:r w:rsidR="00CF59E1" w:rsidRPr="00CF59E1">
        <w:rPr>
          <w:rFonts w:ascii="Times New Roman" w:hAnsi="Times New Roman" w:cs="Times New Roman"/>
          <w:i/>
          <w:noProof/>
          <w:lang w:val="en-US"/>
        </w:rPr>
        <w:t>Pergulatan kehadiran Kristen di Indonesia: teks-teks terpilih Eka Darmaputera</w:t>
      </w:r>
      <w:r w:rsidR="00CF59E1" w:rsidRPr="00CF59E1">
        <w:rPr>
          <w:rFonts w:ascii="Times New Roman" w:hAnsi="Times New Roman" w:cs="Times New Roman"/>
          <w:noProof/>
          <w:lang w:val="en-US"/>
        </w:rPr>
        <w:t xml:space="preserve"> (Jakarta: BPK Gunung Mulia , 2005).</w:t>
      </w:r>
      <w:r w:rsidRPr="00C71822">
        <w:rPr>
          <w:rFonts w:ascii="Times New Roman" w:hAnsi="Times New Roman" w:cs="Times New Roman"/>
        </w:rPr>
        <w:fldChar w:fldCharType="end"/>
      </w:r>
    </w:p>
  </w:footnote>
  <w:footnote w:id="46">
    <w:p w14:paraId="7F9A29FB" w14:textId="6363C921"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","type":"book"},"uris":["http://www.mendeley.com/documents/?uuid=09da716a-bcd2-484d-b39f-fbb81f8ea6c9"]}],"mendeley":{"formattedCitation":"Stanley J. Grenz, &lt;i&gt;A Primer on Postmodernism &lt;/i&gt;.","plainTextFormattedCitation":"Stanley J. Grenz, A Primer on Postmodernism .","previouslyFormattedCitation":"Stanley J. Grenz, &lt;i&gt;A Primer on Postmodernism &lt;/i&gt;."},"properties":{"noteIndex":46},"schema":"https://github.com/citation-style-language/schema/raw/master/csl-citation.json"}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7">
    <w:p w14:paraId="58497FFD" w14:textId="4693A5B4"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{"citationItems":[{"id":"ITEM-1","itemData":{"ISBN":"9780281067367","author":[{"dropping-particle":"","family":"N. T. Wright","given":"","non-dropping-particle":"","parse-names":false,"suffix":""}],"id":"ITEM-1","issued":{"date-parts":[["1995"]]},"publisher":"Eerdmans","publisher-place":"Grand Rapids","title":"Following Jesus: Biblical Reflections on Discipleship ","type":"book"},"uris":["http://www.mendeley.com/documents/?uuid=d98a86e7-2126-47ed-970d-bb68699fbc5d"]}],"mendeley":{"formattedCitation":"N. T. Wright, &lt;i&gt;Following Jesus: Biblical Reflections on Discipleship &lt;/i&gt; (Grand Rapids: Eerdmans, 1995).","plainTextFormattedCitation":"N. T. Wright, Following Jesus: Biblical Reflections on Discipleship  (Grand Rapids: Eerdmans, 1995).","previouslyFormattedCitation":"N. T. Wright, &lt;i&gt;Following Jesus: Biblical Reflections on Discipleship &lt;/i&gt;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Discipleship&amp;f=false."},"properties":{"noteIndex":47},"schema":"https://github.com/citation-style-language/schema/raw/master/csl-citation.json"}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N. T. Wright, </w:t>
      </w:r>
      <w:r w:rsidR="00CF59E1" w:rsidRPr="00CF59E1">
        <w:rPr>
          <w:rFonts w:ascii="Times New Roman" w:hAnsi="Times New Roman" w:cs="Times New Roman"/>
          <w:i/>
          <w:noProof/>
        </w:rPr>
        <w:t xml:space="preserve">Following Jesus: Biblical Reflections on Discipleship </w:t>
      </w:r>
      <w:r w:rsidR="00CF59E1" w:rsidRPr="00CF59E1">
        <w:rPr>
          <w:rFonts w:ascii="Times New Roman" w:hAnsi="Times New Roman" w:cs="Times New Roman"/>
          <w:noProof/>
        </w:rPr>
        <w:t xml:space="preserve"> (Grand Rapids: Eerdmans, 1995).</w:t>
      </w:r>
      <w:r w:rsidRPr="00C71822">
        <w:rPr>
          <w:rFonts w:ascii="Times New Roman" w:hAnsi="Times New Roman" w:cs="Times New Roman"/>
        </w:rPr>
        <w:fldChar w:fldCharType="end"/>
      </w:r>
    </w:p>
  </w:footnote>
  <w:footnote w:id="48">
    <w:p w14:paraId="16BFE5DA" w14:textId="32EA8C27"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Mission","type":"book"},"uris":["http://www.mendeley.com/documents/?uuid=731c5fd6-3512-43e5-a825-78d4babceac1"]}],"mendeley":{"formattedCitation":"David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Mission&lt;/i&gt;."},"properties":{"noteIndex":48},"schema":"https://github.com/citation-style-language/schema/raw/master/csl-citation.json"}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9">
    <w:p w14:paraId="5AE1A6F9" w14:textId="32ACA223"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{"citationItems":[{"id":"ITEM-1","itemData":{"author":[{"dropping-particle":"","family":"Susabda","given":"Yakub B.","non-dropping-particle":"","parse-names":false,"suffix":""}],"id":"ITEM-1","issued":{"date-parts":[["1997"]]},"publisher":"Gandum Mas","publisher-place":"Malang","title":"Konseling Pastoral: Sebuah Pengantar","type":"book"},"uris":["http://www.mendeley.com/documents/?uuid=28d4691f-1545-4594-99c7-f3006d752d19"]}],"mendeley":{"formattedCitation":"Yakub B. Susabda, &lt;i&gt;Konseling Pastoral: Sebuah Pengantar&lt;/i&gt; (Malang: Gandum Mas, 1997).","plainTextFormattedCitation":"Yakub B. Susabda, Konseling Pastoral: Sebuah Pengantar (Malang: Gandum Mas, 1997).","previouslyFormattedCitation":"Yakub B. Susabda, &lt;i&gt;Konseling Pastoral: Sebuah Pengantar&lt;/i&gt; (Malang: Gandum Mas, 1997), 56–59."},"properties":{"noteIndex":49},"schema":"https://github.com/citation-style-language/schema/raw/master/csl-citation.json"}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Yakub B. Susabda, </w:t>
      </w:r>
      <w:r w:rsidR="00CF59E1" w:rsidRPr="00CF59E1">
        <w:rPr>
          <w:rFonts w:ascii="Times New Roman" w:hAnsi="Times New Roman" w:cs="Times New Roman"/>
          <w:i/>
          <w:noProof/>
          <w:lang w:val="sv-SE"/>
        </w:rPr>
        <w:t>Konseling Pastoral: Sebuah Pengantar</w:t>
      </w:r>
      <w:r w:rsidR="00CF59E1" w:rsidRPr="00CF59E1">
        <w:rPr>
          <w:rFonts w:ascii="Times New Roman" w:hAnsi="Times New Roman" w:cs="Times New Roman"/>
          <w:noProof/>
          <w:lang w:val="sv-SE"/>
        </w:rPr>
        <w:t xml:space="preserve"> (Malang: Gandum Mas, 1997).</w:t>
      </w:r>
      <w:r w:rsidRPr="00C71822">
        <w:rPr>
          <w:rFonts w:ascii="Times New Roman" w:hAnsi="Times New Roman" w:cs="Times New Roman"/>
        </w:rPr>
        <w:fldChar w:fldCharType="end"/>
      </w:r>
    </w:p>
  </w:footnote>
  <w:footnote w:id="50">
    <w:p w14:paraId="1DCF82F0" w14:textId="0DC16782"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Darmaputera","type":"book"},"uris":["http://www.mendeley.com/documents/?uuid=24e138e2-1743-442b-b59d-21d54b74ce42"]}],"mendeley":{"formattedCitation":"Eka Darmaputera, &lt;i&gt;Pergulatan kehadiran Kristen di Indonesia: teks-teks terpilih Eka Darmaputera&lt;/i&gt;.","plainTextFormattedCitation":"Eka Darmaputera, Pergulatan kehadiran Kristen di Indonesia: teks-teks terpilih Eka Darmaputera.","previouslyFormattedCitation":"Eka Darmaputera, &lt;i&gt;Pergulatan kehadiran Kristen di Indonesia: teks-teks terpilih Eka Darmaputera&lt;/i&gt;."},"properties":{"noteIndex":50},"schema":"https://github.com/citation-style-language/schema/raw/master/csl-citation.json"}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Eka Darmaputera, </w:t>
      </w:r>
      <w:r w:rsidR="00F32776" w:rsidRPr="00F32776">
        <w:rPr>
          <w:rFonts w:ascii="Times New Roman" w:hAnsi="Times New Roman" w:cs="Times New Roman"/>
          <w:i/>
          <w:noProof/>
          <w:lang w:val="sv-SE"/>
        </w:rPr>
        <w:t>Pergulatan kehadiran Kristen di Indonesia: teks-teks terpilih Eka Darmaputera</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1">
    <w:p w14:paraId="3CDEFAEB" w14:textId="5A701280"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Mission","type":"book"},"uris":["http://www.mendeley.com/documents/?uuid=731c5fd6-3512-43e5-a825-78d4babceac1"]}],"mendeley":{"formattedCitation":"David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Mission&lt;/i&gt;."},"properties":{"noteIndex":51},"schema":"https://github.com/citation-style-language/schema/raw/master/csl-citation.json"}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2">
    <w:p w14:paraId="514CD905" w14:textId="271E84FD"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Theology","type":"chapter"},"uris":["http://www.mendeley.com/documents/?uuid=18f2bd1d-3e0f-44df-a03e-1bbfc0662fde"]}],"mendeley":{"formattedCitation":"SVD Stephen B. Bevans, “Models of Contextual Theology” (Maryknoll, New York, USA: Orbis Books, 2002).","plainTextFormattedCitation":"SVD Stephen B. Bevans, “Models of Contextual Theology” (Maryknoll, New York, USA: Orbis Books, 2002).","previouslyFormattedCitation":"SVD Stephen B. Bevans, “Models of Contextual Theology” (Maryknoll, New York, USA: Orbis Books, 2002)."},"properties":{"noteIndex":52},"schema":"https://github.com/citation-style-language/schema/raw/master/csl-citation.json"}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SVD Stephen B. Bevans, “Models of Contextual Theology” (Maryknoll, New York, USA: Orbis Books, 2002).</w:t>
      </w:r>
      <w:r w:rsidRPr="00C71822">
        <w:rPr>
          <w:rFonts w:ascii="Times New Roman" w:hAnsi="Times New Roman" w:cs="Times New Roman"/>
        </w:rPr>
        <w:fldChar w:fldCharType="end"/>
      </w:r>
    </w:p>
  </w:footnote>
  <w:footnote w:id="53">
    <w:p w14:paraId="0C2E71E1" w14:textId="665B8984"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{"citationItems":[{"id":"ITEM-1","itemData":{"author":[{"dropping-particle":"","family":"Hadiwijono","given":"Harun","non-dropping-particle":"","parse-names":false,"suffix":""}],"id":"ITEM-1","issued":{"date-parts":[["2021"]]},"publisher":"BPK Gunung Mulia","publisher-place":"Jakarta","title":"Iman Kristen","type":"book"},"uris":["http://www.mendeley.com/documents/?uuid=a510653f-daf3-4908-8558-7b733f2fdba2"]}],"mendeley":{"formattedCitation":"Harun Hadiwijono, &lt;i&gt;Iman Kristen&lt;/i&gt; (Jakarta: BPK Gunung Mulia, 2021).","plainTextFormattedCitation":"Harun Hadiwijono, Iman Kristen (Jakarta: BPK Gunung Mulia, 2021).","previouslyFormattedCitation":"Harun Hadiwijono, &lt;i&gt;Iman kristen&lt;/i&gt; (Jakarta: BPK Gunung Mulia, 2007), 215."},"properties":{"noteIndex":53},"schema":"https://github.com/citation-style-language/schema/raw/master/csl-citation.json"}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Harun Hadiwijono, </w:t>
      </w:r>
      <w:r w:rsidR="00CF59E1" w:rsidRPr="00CF59E1">
        <w:rPr>
          <w:rFonts w:ascii="Times New Roman" w:hAnsi="Times New Roman" w:cs="Times New Roman"/>
          <w:i/>
          <w:noProof/>
          <w:lang w:val="sv-SE"/>
        </w:rPr>
        <w:t>Iman Kristen</w:t>
      </w:r>
      <w:r w:rsidR="00CF59E1" w:rsidRPr="00CF59E1">
        <w:rPr>
          <w:rFonts w:ascii="Times New Roman" w:hAnsi="Times New Roman" w:cs="Times New Roman"/>
          <w:noProof/>
          <w:lang w:val="sv-SE"/>
        </w:rPr>
        <w:t xml:space="preserve"> (Jakarta: BPK Gunung Mulia, 2021).</w:t>
      </w:r>
      <w:r w:rsidRPr="00C71822">
        <w:rPr>
          <w:rFonts w:ascii="Times New Roman" w:hAnsi="Times New Roman" w:cs="Times New Roman"/>
        </w:rPr>
        <w:fldChar w:fldCharType="end"/>
      </w:r>
    </w:p>
  </w:footnote>
  <w:footnote w:id="54">
    <w:p w14:paraId="6CD38F24" w14:textId="42849F92"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matters","type":"book"},"uris":["http://www.mendeley.com/documents/?uuid=bb425cf0-16b7-4c0b-951a-d00e40fc8636"]}],"mendeley":{"formattedCitation":"N. T. Wright, &lt;i&gt;Simply Jesus : a new vision of who he was, what he did, and why he matters&lt;/i&gt;.","plainTextFormattedCitation":"N. T. Wright, Simply Jesus : a new vision of who he was, what he did, and why he matters.","previouslyFormattedCitation":"N. T. Wright, &lt;i&gt;Simply Jesus : a new vision of who he was, what he did, and why he matters&lt;/i&gt;."},"properties":{"noteIndex":54},"schema":"https://github.com/citation-style-language/schema/raw/master/csl-citation.json"}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N. T. Wright, </w:t>
      </w:r>
      <w:r w:rsidR="00F32776" w:rsidRPr="00F32776">
        <w:rPr>
          <w:rFonts w:ascii="Times New Roman" w:hAnsi="Times New Roman" w:cs="Times New Roman"/>
          <w:i/>
          <w:noProof/>
          <w:lang w:val="sv-SE"/>
        </w:rPr>
        <w:t>Simply Jesus : a new vision of who he was, what he did, and why he matters</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5">
    <w:p w14:paraId="0B274015" w14:textId="125C2BED"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Injil","type":"book"},"uris":["http://www.mendeley.com/documents/?uuid=93e383ce-84c9-43ff-ab54-bb5224a1220d"]}],"mendeley":{"formattedCitation":"Grenz, &lt;i&gt;Teologi Postmodernisme: Membaca Budaya dengan Kacamata Injil&lt;/i&gt;.","plainTextFormattedCitation":"Grenz, Teologi Postmodernisme: Membaca Budaya dengan Kacamata Injil.","previouslyFormattedCitation":"Grenz, &lt;i&gt;Teologi Postmodernisme: Membaca Budaya dengan Kacamata Injil&lt;/i&gt;."},"properties":{"noteIndex":55},"schema":"https://github.com/citation-style-language/schema/raw/master/csl-citation.json"}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Grenz, </w:t>
      </w:r>
      <w:r w:rsidR="00F32776" w:rsidRPr="00F32776">
        <w:rPr>
          <w:rFonts w:ascii="Times New Roman" w:hAnsi="Times New Roman" w:cs="Times New Roman"/>
          <w:i/>
          <w:noProof/>
          <w:lang w:val="sv-SE"/>
        </w:rPr>
        <w:t>Teologi Postmodernisme: Membaca Budaya dengan Kacamata Injil</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6">
    <w:p w14:paraId="7BD21D99" w14:textId="58CFBE91"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Knowledge","type":"book"},"uris":["http://www.mendeley.com/documents/?uuid=923aa503-d09b-440c-8168-0425d939d3ab"]}],"mendeley":{"formattedCitation":"Kevin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Knowledge&lt;/i&gt;."},"properties":{"noteIndex":56},"schema":"https://github.com/citation-style-language/schema/raw/master/csl-citation.json"}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7">
    <w:p w14:paraId="46C66AB9" w14:textId="4E291865" w:rsidR="001366A2" w:rsidRPr="00C71822" w:rsidRDefault="001366A2" w:rsidP="00B61FB5">
      <w:pPr>
        <w:pStyle w:val="TeksCatatanKaki"/>
        <w:ind w:firstLine="851"/>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CF59E1">
        <w:rPr>
          <w:rFonts w:ascii="Times New Roman" w:hAnsi="Times New Roman" w:cs="Times New Roman"/>
          <w:lang w:val="sv-SE"/>
        </w:rPr>
        <w:instrText>ADDIN CSL_CITATION {"citationItems":[{"id":"ITEM-1","itemData":{"author":[{"dropping-particle":"","family":"Kleden","given":"Budi","non-dropping-particle":"","parse-names":false,"suffix":""}],"id":"ITEM-1","issued":{"date-parts":[["2015"]]},"publisher":"Kanisius","publisher-place":"Yogyakarta","title":"Kristologi dalam Konteks Papua","type":"book"},"uris":["http://www.mendeley.com/documents/?uuid=f97dfb80-00c0-4199-8835-6acdd4369249"]}],"mendeley":{"formattedCitation":"Budi Kleden, &lt;i&gt;Kristologi dalam Konteks Papua&lt;/i&gt; (Yogyakarta: Kanisius, 2015).","plainTextFormattedCitation":"Budi Kleden, Kristologi dalam Konteks Papua (Yogyakarta: Kanisius, 2015).","previouslyFormattedCitation":"Budi Kleden, &lt;i&gt;Kristologi dalam Konteks Papua&lt;/i&gt; (Yogyakarta: Kanisius, 2015), 61."},"properties":{"noteIndex":57},"schema":"https://github.com/citation-style-language/schema/raw/master/csl-citation.json"}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sv-SE"/>
        </w:rPr>
        <w:t xml:space="preserve">Budi Kleden, </w:t>
      </w:r>
      <w:r w:rsidR="00CF59E1" w:rsidRPr="00CF59E1">
        <w:rPr>
          <w:rFonts w:ascii="Times New Roman" w:hAnsi="Times New Roman" w:cs="Times New Roman"/>
          <w:i/>
          <w:noProof/>
          <w:lang w:val="sv-SE"/>
        </w:rPr>
        <w:t>Kristologi dalam Konteks Papua</w:t>
      </w:r>
      <w:r w:rsidR="00CF59E1" w:rsidRPr="00CF59E1">
        <w:rPr>
          <w:rFonts w:ascii="Times New Roman" w:hAnsi="Times New Roman" w:cs="Times New Roman"/>
          <w:noProof/>
          <w:lang w:val="sv-SE"/>
        </w:rPr>
        <w:t xml:space="preserve"> (Yogyakarta: Kanisius, 2015).</w:t>
      </w:r>
      <w:r w:rsidRPr="00C71822">
        <w:rPr>
          <w:rFonts w:ascii="Times New Roman" w:hAnsi="Times New Roman" w:cs="Times New Roman"/>
        </w:rPr>
        <w:fldChar w:fldCharType="end"/>
      </w:r>
    </w:p>
  </w:footnote>
  <w:footnote w:id="58">
    <w:p w14:paraId="44F903AA" w14:textId="5ED341D6"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{"citationItems":[{"id":"ITEM-1","itemData":{"author":[{"dropping-particle":"","family":"Carson","given":"D. A.","non-dropping-particle":"","parse-names":false,"suffix":""}],"id":"ITEM-1","issued":{"date-parts":[["2020"]]},"publisher":"Zondervan","publisher-place":"Grand Rapids","title":"The Gagging of God: Christianity Confronts Pluralism","type":"book"},"uris":["http://www.mendeley.com/documents/?uuid=a9959fcd-e795-4772-a2c5-4dd1850d5b14"]}],"mendeley":{"formattedCitation":"D. A. Carson, &lt;i&gt;The Gagging of God: Christianity Confronts Pluralism&lt;/i&gt; (Grand Rapids: Zondervan, 2020).","plainTextFormattedCitation":"D. A. Carson, The Gagging of God: Christianity Confronts Pluralism (Grand Rapids: Zondervan, 2020).","previouslyFormattedCitation":"D. A. Carson, &lt;i&gt;The Gagging of God: Christianity Confronts Pluralism&lt;/i&gt; (Grand Rapids: Zondervan, 2020)."},"properties":{"noteIndex":58},"schema":"https://github.com/citation-style-language/schema/raw/master/csl-citation.json"}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 A. Carson, </w:t>
      </w:r>
      <w:r w:rsidRPr="00C71822">
        <w:rPr>
          <w:rFonts w:ascii="Times New Roman" w:hAnsi="Times New Roman" w:cs="Times New Roman"/>
          <w:i/>
          <w:noProof/>
        </w:rPr>
        <w:t>The Gagging of God: Christianity Confronts Pluralism</w:t>
      </w:r>
      <w:r w:rsidRPr="00C71822">
        <w:rPr>
          <w:rFonts w:ascii="Times New Roman" w:hAnsi="Times New Roman" w:cs="Times New Roman"/>
          <w:noProof/>
        </w:rPr>
        <w:t xml:space="preserve"> (Grand Rapids: Zondervan, 2020).</w:t>
      </w:r>
      <w:r w:rsidRPr="00C71822">
        <w:rPr>
          <w:rFonts w:ascii="Times New Roman" w:hAnsi="Times New Roman" w:cs="Times New Roman"/>
        </w:rPr>
        <w:fldChar w:fldCharType="end"/>
      </w:r>
    </w:p>
  </w:footnote>
  <w:footnote w:id="59">
    <w:p w14:paraId="200E5D09" w14:textId="7E55FD68"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","type":"book"},"uris":["http://www.mendeley.com/documents/?uuid=09da716a-bcd2-484d-b39f-fbb81f8ea6c9"]}],"mendeley":{"formattedCitation":"Stanley J. Grenz, &lt;i&gt;A Primer on Postmodernism &lt;/i&gt;.","plainTextFormattedCitation":"Stanley J. Grenz, A Primer on Postmodernism .","previouslyFormattedCitation":"Stanley J. Grenz, &lt;i&gt;A Primer on Postmodernism &lt;/i&gt;."},"properties":{"noteIndex":59},"schema":"https://github.com/citation-style-language/schema/raw/master/csl-citation.json"}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0">
    <w:p w14:paraId="6213F8A9" w14:textId="4B2938BB"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Society","type":"book"},"uris":["http://www.mendeley.com/documents/?uuid=e9f1e4e2-7d4d-4db7-9f65-4f1553722aad"]}],"mendeley":{"formattedCitation":"Newbigin, &lt;i&gt;The Gospel in a Pluralist Society&lt;/i&gt;.","plainTextFormattedCitation":"Newbigin, The Gospel in a Pluralist Society.","previouslyFormattedCitation":"Newbigin, &lt;i&gt;The Gospel in a Pluralist Society&lt;/i&gt;."},"properties":{"noteIndex":60},"schema":"https://github.com/citation-style-language/schema/raw/master/csl-citation.json"}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1">
    <w:p w14:paraId="333755CB" w14:textId="720113EA"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{"citationItems":[{"id":"ITEM-1","itemData":{"author":[{"dropping-particle":"","family":"LAI 1974","given":"","non-dropping-particle":"","parse-names":false,"suffix":""}],"id":"ITEM-1","issued":{"date-parts":[["2018"]]},"publisher":"LEMBAGA ALKITAB INDONESIA","publisher-place":"Jakarta","title":"Alkitab Terjemahan Baru","type":"book"},"uris":["http://www.mendeley.com/documents/?uuid=31ed9bfd-a987-4b4c-be6b-f1cbcaa010df"]}],"mendeley":{"formattedCitation":"LAI 1974, &lt;i&gt;Alkitab Terjemahan Baru&lt;/i&gt; (Jakarta: LEMBAGA ALKITAB INDONESIA, 2018).","plainTextFormattedCitation":"LAI 1974, Alkitab Terjemahan Baru (Jakarta: LEMBAGA ALKITAB INDONESIA, 2018).","previouslyFormattedCitation":"LAI 1974, &lt;i&gt;Alkitab Terjemahan Baru&lt;/i&gt; (Jakarta: LEMBAGA ALKITAB INDONESIA, 2018)."},"properties":{"noteIndex":61},"schema":"https://github.com/citation-style-language/schema/raw/master/csl-citation.json"}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LAI 1974, </w:t>
      </w:r>
      <w:r w:rsidRPr="00C71822">
        <w:rPr>
          <w:rFonts w:ascii="Times New Roman" w:hAnsi="Times New Roman" w:cs="Times New Roman"/>
          <w:i/>
          <w:noProof/>
        </w:rPr>
        <w:t>Alkitab Terjemahan Baru</w:t>
      </w:r>
      <w:r w:rsidRPr="00C71822">
        <w:rPr>
          <w:rFonts w:ascii="Times New Roman" w:hAnsi="Times New Roman" w:cs="Times New Roman"/>
          <w:noProof/>
        </w:rPr>
        <w:t xml:space="preserve"> (Jakarta: LEMBAGA ALKITAB INDONESIA, 2018).</w:t>
      </w:r>
      <w:r w:rsidRPr="00C71822">
        <w:rPr>
          <w:rFonts w:ascii="Times New Roman" w:hAnsi="Times New Roman" w:cs="Times New Roman"/>
        </w:rPr>
        <w:fldChar w:fldCharType="end"/>
      </w:r>
    </w:p>
  </w:footnote>
  <w:footnote w:id="62">
    <w:p w14:paraId="6CE323E3" w14:textId="214B41D9"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{"citationItems":[{"id":"ITEM-1","itemData":{"DOI":"10.47154/SCRIPTA.V6I2.49","ISSN":"2685-2144","abstract":"Kristologi adalah merupakan pokok terpenting dalam ajaran iman Kristen. Kristologi juga bisa disebut sebagai pusat kekristenan itu sendiri, dengan itu kristologi adalah pusat dari ilmu theologia. Karenanya mempelajari Pribadi dan karya Kristus, berarti sedang berada pada pusat theologi Kristen. Yesus Kristuslah yang memberikan identitas kepada kekristenan, yang sekaligus membedakannya dari agama atau kepercayaan yang lain. Keistimewaan doktrin ini terletak dalam pribadi dan karya Yesus Kristus sebagai Tuhan yang menjadi finalitas jalan menuju kepada keselamatan yang kekal. Pemahaman yang benar terhadap doktrin kristologi tidak lepas dari pengetahuan yang sehat terhadap Alkitab, sebab Alkitablah satu-satunya sumber utama yang dengan jujur dan terbuka memberikan kesaksian mengenai pribadi Yesus sebagai juruselamat dunia. Memang realita historis tulisan-tulisan di dalam Alkitab itu ditulis oleh manusia, akan tetapi proses penulisannya diilhami oleh Allah melalui pimpinan Roh Kudus sehingga apa yang diucapkan atau ditulis sesuai dengan kehendak Tuhan (bnd. 2Tim 3:16). Alkitab secara keseluruhan dipercaya dengan akurat dalam mengambarkan Yesus Kristus. Akan tetapi dalam prosesnya banyak ditemukan bahwa kristologi yang dihasilkan bertentangan dengan Alkitab. Sejarah membuktikan bahwa gereja selalu berhadapan dengan pengajaran-pengajaran sesat yang menyerang gereja dari dalam. Dalam hal ini berbentuk ajaran-ajaran (doktrin) yang menyesatkan atau bidat-bidat yang menyelewengkan ajaran murni Alkitab. Bahaya ajaran-ajaran sesat ini tidak saja timbul pada abad-abad belakangan ini, melainkan sudah ada sejak gereja didirikan. Karenanya penulis hendak menguraikan kristologi yang akan menjadi dasar apologetika di era postmodern sekarang ini.\n&amp;amp;nbsp;\nChristology is the most important point in the teachings of the Christian faith. Christology can also be called the center of Christianity itself, so that Christology is the center of theological science. Therefore studying the Person and work of Christ, means being at the center of Christian theology. It is Jesus Christ who gives identity to Christianity, which also distinguishes it from other religions or beliefs. The specialty of this doctrine lies in the person and work of Jesus Christ as Lord who becomes the finality of the path to eternal salvation. A correct understanding of the doctrine of Christology is inseparable from a healthy knowledge of the Bible, because the Bible is the only major source that honestly a…","author":[{"dropping-particle":"","family":"Marlon Butarbutar","given":"","non-dropping-particle":"","parse-names":false,"suffix":""}],"container-title":"Scripta","id":"ITEM-1","issue":"2","issued":{"date-parts":[["2018","6"]]},"page":"116-128","publisher":"Sekolah Tinggi Theologia Ebenhaezer","title":"Kristologi Biblika Menurut Kaum Reformed sebagai Salah Satu Dasar Apologetika dalam Menghadapi Pengajaran Gnostik di Era Postmodern","type":"article-journal","volume":"6"},"uris":["http://www.mendeley.com/documents/?uuid=d2420dd8-c771-4863-b0cb-e6903c6dbd44"]}],"mendeley":{"formattedCitation":"Marlon Butarbutar, “Kristologi Biblika Menurut Kaum Reformed sebagai Salah Satu Dasar Apologetika dalam Menghadapi Pengajaran Gnostik di Era Postmodern,” &lt;i&gt;Scripta&lt;/i&gt; 6, no. 2 (Juni 2018): 116–28, https://doi.org/10.47154/SCRIPTA.V6I2.49.","plainTextFormattedCitation":"Marlon Butarbutar, “Kristologi Biblika Menurut Kaum Reformed sebagai Salah Satu Dasar Apologetika dalam Menghadapi Pengajaran Gnostik di Era Postmodern,” Scripta 6, no. 2 (Juni 2018): 116–28, https://doi.org/10.47154/SCRIPTA.V6I2.49.","previouslyFormattedCitation":"Marlon Butarbutar, “Kristologi Biblika Menurut Kaum Reformed sebagai Salah Satu Dasar Apologetika dalam Menghadapi Pengajaran Gnostik di Era Postmodern,” &lt;i&gt;Scripta&lt;/i&gt; 6, no. 2 (Juni 18, 2018): 116–128, diakses September 5, 2025, https://www.neliti.com/publications/529614/."},"properties":{"noteIndex":62},"schema":"https://github.com/citation-style-language/schema/raw/master/csl-citation.json"}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lang w:val="en-US"/>
        </w:rPr>
        <w:t xml:space="preserve">Marlon Butarbutar, “Kristologi Biblika Menurut Kaum Reformed sebagai Salah Satu Dasar Apologetika dalam Menghadapi Pengajaran Gnostik di Era Postmodern,” </w:t>
      </w:r>
      <w:r w:rsidR="00CF59E1" w:rsidRPr="00CF59E1">
        <w:rPr>
          <w:rFonts w:ascii="Times New Roman" w:hAnsi="Times New Roman" w:cs="Times New Roman"/>
          <w:i/>
          <w:noProof/>
          <w:lang w:val="en-US"/>
        </w:rPr>
        <w:t>Scripta</w:t>
      </w:r>
      <w:r w:rsidR="00CF59E1" w:rsidRPr="00CF59E1">
        <w:rPr>
          <w:rFonts w:ascii="Times New Roman" w:hAnsi="Times New Roman" w:cs="Times New Roman"/>
          <w:noProof/>
          <w:lang w:val="en-US"/>
        </w:rPr>
        <w:t xml:space="preserve"> 6, no. 2 (Juni 2018): 116–28, https://doi.org/10.47154/SCRIPTA.V6I2.49.</w:t>
      </w:r>
      <w:r w:rsidRPr="00C71822">
        <w:rPr>
          <w:rFonts w:ascii="Times New Roman" w:hAnsi="Times New Roman" w:cs="Times New Roman"/>
        </w:rPr>
        <w:fldChar w:fldCharType="end"/>
      </w:r>
    </w:p>
  </w:footnote>
  <w:footnote w:id="63">
    <w:p w14:paraId="60E49ED1" w14:textId="3F9FFC9B"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{"citationItems":[{"id":"ITEM-1","itemData":{"author":[{"dropping-particle":"","family":"Oakes","given":"Edward T","non-dropping-particle":"","parse-names":false,"suffix":""}],"container-title":"A Monthly Journal of Religion and Public Life","id":"ITEM-1","issue":"169","issued":{"date-parts":[["2007","1"]]},"page":"56-57","title":"SIMPLY CHRISTIAN: WHY CHRISTIANITY MAKES SENSE ","type":"article-journal"},"uris":["http://www.mendeley.com/documents/?uuid=793f8b47-c9ec-43c8-9e7e-aa716a712858"]}],"mendeley":{"formattedCitation":"Edward T Oakes, “SIMPLY CHRISTIAN: WHY CHRISTIANITY MAKES SENSE ,” &lt;i&gt;A Monthly Journal of Religion and Public Life&lt;/i&gt;, no. 169 (Januari 2007): 56–57.","plainTextFormattedCitation":"Edward T Oakes, “SIMPLY CHRISTIAN: WHY CHRISTIANITY MAKES SENSE ,” A Monthly Journal of Religion and Public Life, no. 169 (Januari 2007): 56–57.","previouslyFormattedCitation":"Edward T Oakes, “SIMPLY CHRISTIAN: WHY CHRISTIANITY MAKES SENSE ,” &lt;i&gt;A Monthly Journal of Religion and Public Life&lt;/i&gt;, no. 169 (Januari 2007): 56–57, diakses September 5, 2025, https://www.proquest.com/openview/5200d57deed299d3e85bdd46f7e67450/1?pq-origsite=gscholar&amp;cbl=45949."},"properties":{"noteIndex":63},"schema":"https://github.com/citation-style-language/schema/raw/master/csl-citation.json"}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Edward T Oakes, “SIMPLY CHRISTIAN: WHY CHRISTIANITY MAKES SENSE ,” </w:t>
      </w:r>
      <w:r w:rsidR="00CF59E1" w:rsidRPr="00CF59E1">
        <w:rPr>
          <w:rFonts w:ascii="Times New Roman" w:hAnsi="Times New Roman" w:cs="Times New Roman"/>
          <w:i/>
          <w:noProof/>
        </w:rPr>
        <w:t>A Monthly Journal of Religion and Public Life</w:t>
      </w:r>
      <w:r w:rsidR="00CF59E1" w:rsidRPr="00CF59E1">
        <w:rPr>
          <w:rFonts w:ascii="Times New Roman" w:hAnsi="Times New Roman" w:cs="Times New Roman"/>
          <w:noProof/>
        </w:rPr>
        <w:t>, no. 169 (Januari 2007): 56–57.</w:t>
      </w:r>
      <w:r w:rsidRPr="00C71822">
        <w:rPr>
          <w:rFonts w:ascii="Times New Roman" w:hAnsi="Times New Roman" w:cs="Times New Roman"/>
        </w:rPr>
        <w:fldChar w:fldCharType="end"/>
      </w:r>
    </w:p>
  </w:footnote>
  <w:footnote w:id="64">
    <w:p w14:paraId="3DADB2BC" w14:textId="21E3C68B"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Theology","type":"chapter"},"uris":["http://www.mendeley.com/documents/?uuid=18f2bd1d-3e0f-44df-a03e-1bbfc0662fde"]}],"mendeley":{"formattedCitation":"Stephen B. Bevans, “Models of Contextual Theology.”","plainTextFormattedCitation":"Stephen B. Bevans, “Models of Contextual Theology.”","previouslyFormattedCitation":"Stephen B. Bevans, “Models of Contextual Theology.”"},"properties":{"noteIndex":64},"schema":"https://github.com/citation-style-language/schema/raw/master/csl-citation.json"}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65">
    <w:p w14:paraId="4BAEA4F9" w14:textId="4B4E2A78" w:rsidR="001366A2" w:rsidRPr="00C71822" w:rsidRDefault="001366A2" w:rsidP="00B61FB5">
      <w:pPr>
        <w:pStyle w:val="TeksCatatanKaki"/>
        <w:ind w:firstLine="851"/>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{"citationItems":[{"id":"ITEM-1","itemData":{"ISBN":"0310453216","abstract":"Includes indexes. In this book, addressed to the \"Western, white evangelical community,\" Professor Conn drives home the need for a radical reevaluation of our Western models for theology and missions. The rise of non-Western and nonwhite theologies and the changes in our understanding of language, culture, and religions force upon us the realization of the inadequacy of our ethnocentric, abstracting approach to theology and missions. We are experiencing the birthpangs of a new mode of understanding, shaped by (and shaping) the current trialogue between theology, anthropology, and mission. After tracing the earlier history of the interaction, Conn explores the currents and crosscurrents in this trialogue as it struggles with the reexamination of our Western paradigms for theology and mission. Conn concludes with an agenda of key issues on which we must focus if this new understanding is to take a truly Christian shape. What is needed is the evangelical's active participation in the trialogue between theology, anthropology, and mission. --from back cover. ","author":[{"dropping-particle":"","family":"Conn","given":"Harvie M..","non-dropping-particle":"","parse-names":false,"suffix":""}],"id":"ITEM-1","issued":{"date-parts":[["1984"]]},"number-of-pages":"372","publisher":"Zondervan","publisher-place":"Grand Rapids, Mich.","title":"Eternal word and changing worlds: theology, anthropology, and mission in trialogue","type":"book"},"uris":["http://www.mendeley.com/documents/?uuid=86c74091-799f-4348-8dd5-10bbbaacd48c"]}],"mendeley":{"formattedCitation":"Harvie M.. Conn, &lt;i&gt;Eternal word and changing worlds: theology, anthropology, and mission in trialogue&lt;/i&gt; (Grand Rapids, Mich.: Zondervan, 1984).","plainTextFormattedCitation":"Harvie M.. Conn, Eternal word and changing worlds: theology, anthropology, and mission in trialogue (Grand Rapids, Mich.: Zondervan, 1984).","previouslyFormattedCitation":"Harvie M.. Conn, &lt;i&gt;Eternal word and changing worlds: theology, anthropology, and mission in trialogue&lt;/i&gt; (Grand Rapids, Mich.: Zondervan, 1984), 67–70."},"properties":{"noteIndex":65},"schema":"https://github.com/citation-style-language/schema/raw/master/csl-citation.json"}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Harvie M.. Conn, </w:t>
      </w:r>
      <w:r w:rsidR="00CF59E1" w:rsidRPr="00CF59E1">
        <w:rPr>
          <w:rFonts w:ascii="Times New Roman" w:hAnsi="Times New Roman" w:cs="Times New Roman"/>
          <w:i/>
          <w:noProof/>
        </w:rPr>
        <w:t>Eternal word and changing worlds: theology, anthropology, and mission in trialogue</w:t>
      </w:r>
      <w:r w:rsidR="00CF59E1" w:rsidRPr="00CF59E1">
        <w:rPr>
          <w:rFonts w:ascii="Times New Roman" w:hAnsi="Times New Roman" w:cs="Times New Roman"/>
          <w:noProof/>
        </w:rPr>
        <w:t xml:space="preserve"> (Grand Rapids, Mich.: Zondervan, 1984).</w:t>
      </w:r>
      <w:r w:rsidRPr="00C71822">
        <w:rPr>
          <w:rFonts w:ascii="Times New Roman" w:hAnsi="Times New Roman" w:cs="Times New Roman"/>
        </w:rPr>
        <w:fldChar w:fldCharType="end"/>
      </w:r>
    </w:p>
  </w:footnote>
  <w:footnote w:id="66">
    <w:p w14:paraId="05FBB3A9" w14:textId="3AE0437E" w:rsidR="001366A2" w:rsidRPr="00185040" w:rsidRDefault="001366A2" w:rsidP="00B61FB5">
      <w:pPr>
        <w:pStyle w:val="TeksCatatanKaki"/>
        <w:ind w:firstLine="851"/>
        <w:rPr>
          <w:rFonts w:ascii="Calibri Light" w:hAnsi="Calibri Light" w:cs="Calibri Light"/>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CF59E1">
        <w:rPr>
          <w:rFonts w:ascii="Times New Roman" w:hAnsi="Times New Roman" w:cs="Times New Roman"/>
        </w:rPr>
        <w:instrText>ADDIN CSL_CITATION {"citationItems":[{"id":"ITEM-1","itemData":{"DOI":"10.1177/009182969402200301","ISSN":"0091-8296","abstract":"Conscience is God-given and functions as an internal witness which ratifies the biblical message that we are sinners in need of salvation. Conscience contributes to repentance and faith, and plays ...","author":[{"dropping-particle":"","family":"Priest","given":"Robert J.","non-dropping-particle":"","parse-names":false,"suffix":""}],"container-title":"Missiology","id":"ITEM-1","issue":"3","issued":{"date-parts":[["1994","7"]]},"page":"291-315","publisher":"SAGE PublicationsSage UK: London, England","title":"Missionary Elenctics: Conscience and Culture","type":"article-journal","volume":"22"},"uris":["http://www.mendeley.com/documents/?uuid=39e9ca43-2958-4ffd-bab3-227aa92cf0a8"]}],"mendeley":{"formattedCitation":"Robert J. Priest, “Missionary Elenctics: Conscience and Culture,” &lt;i&gt;Missiology&lt;/i&gt; 22, no. 3 (Juli 1994): 291–315, https://doi.org/10.1177/009182969402200301.","plainTextFormattedCitation":"Robert J. Priest, “Missionary Elenctics: Conscience and Culture,” Missiology 22, no. 3 (Juli 1994): 291–315, https://doi.org/10.1177/009182969402200301.","previouslyFormattedCitation":"Robert J. Priest, “Missionary Elenctics: Conscience and Culture,” &lt;i&gt;Missiology&lt;/i&gt; 22, no. 3 (Juli 1994): 55–73, diakses September 5, 2025, /doi/pdf/10.1177/009182969402200301?download=true."},"properties":{"noteIndex":66},"schema":"https://github.com/citation-style-language/schema/raw/master/csl-citation.json"}</w:instrText>
      </w:r>
      <w:r w:rsidRPr="00C71822">
        <w:rPr>
          <w:rFonts w:ascii="Times New Roman" w:hAnsi="Times New Roman" w:cs="Times New Roman"/>
        </w:rPr>
        <w:fldChar w:fldCharType="separate"/>
      </w:r>
      <w:r w:rsidR="00CF59E1" w:rsidRPr="00CF59E1">
        <w:rPr>
          <w:rFonts w:ascii="Times New Roman" w:hAnsi="Times New Roman" w:cs="Times New Roman"/>
          <w:noProof/>
        </w:rPr>
        <w:t xml:space="preserve">Robert J. Priest, “Missionary Elenctics: Conscience and Culture,” </w:t>
      </w:r>
      <w:r w:rsidR="00CF59E1" w:rsidRPr="00CF59E1">
        <w:rPr>
          <w:rFonts w:ascii="Times New Roman" w:hAnsi="Times New Roman" w:cs="Times New Roman"/>
          <w:i/>
          <w:noProof/>
        </w:rPr>
        <w:t>Missiology</w:t>
      </w:r>
      <w:r w:rsidR="00CF59E1" w:rsidRPr="00CF59E1">
        <w:rPr>
          <w:rFonts w:ascii="Times New Roman" w:hAnsi="Times New Roman" w:cs="Times New Roman"/>
          <w:noProof/>
        </w:rPr>
        <w:t xml:space="preserve"> 22, no. 3 (Juli 1994): 291–315, https://doi.org/10.1177/009182969402200301.</w:t>
      </w:r>
      <w:r w:rsidRPr="00C7182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63995EFC" w:rsidR="001366A2" w:rsidRDefault="001366A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AE6578">
      <w:rPr>
        <w:rFonts w:ascii="Garamond" w:eastAsia="Garamond" w:hAnsi="Garamond" w:cs="Garamond"/>
        <w:color w:val="000000"/>
        <w:sz w:val="22"/>
        <w:szCs w:val="22"/>
      </w:rPr>
      <w:t>9</w:t>
    </w:r>
    <w:r>
      <w:rPr>
        <w:rFonts w:ascii="Garamond" w:eastAsia="Garamond" w:hAnsi="Garamond" w:cs="Garamond"/>
        <w:color w:val="000000"/>
        <w:sz w:val="22"/>
        <w:szCs w:val="22"/>
      </w:rPr>
      <w:t xml:space="preserve">, Nomor </w:t>
    </w:r>
    <w:r w:rsidR="00AE6578">
      <w:rPr>
        <w:rFonts w:ascii="Garamond" w:eastAsia="Garamond" w:hAnsi="Garamond" w:cs="Garamond"/>
        <w:color w:val="000000"/>
        <w:sz w:val="22"/>
        <w:szCs w:val="22"/>
      </w:rPr>
      <w:t>1</w:t>
    </w:r>
    <w:r>
      <w:rPr>
        <w:rFonts w:ascii="Garamond" w:eastAsia="Garamond" w:hAnsi="Garamond" w:cs="Garamond"/>
        <w:color w:val="000000"/>
        <w:sz w:val="22"/>
        <w:szCs w:val="22"/>
      </w:rPr>
      <w:t>, (</w:t>
    </w:r>
    <w:r w:rsidR="00AE6578">
      <w:rPr>
        <w:rFonts w:ascii="Garamond" w:eastAsia="Garamond" w:hAnsi="Garamond" w:cs="Garamond"/>
        <w:color w:val="000000"/>
        <w:sz w:val="22"/>
        <w:szCs w:val="22"/>
      </w:rPr>
      <w:t>Agustus</w:t>
    </w:r>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1366A2" w:rsidRDefault="001366A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68F0"/>
    <w:multiLevelType w:val="multilevel"/>
    <w:tmpl w:val="49DC0E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6536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37A20"/>
    <w:rsid w:val="00133B07"/>
    <w:rsid w:val="001366A2"/>
    <w:rsid w:val="0014006F"/>
    <w:rsid w:val="001A53A4"/>
    <w:rsid w:val="002235A9"/>
    <w:rsid w:val="00230647"/>
    <w:rsid w:val="00273E5A"/>
    <w:rsid w:val="00276A63"/>
    <w:rsid w:val="002E1D09"/>
    <w:rsid w:val="002E779E"/>
    <w:rsid w:val="00323DF7"/>
    <w:rsid w:val="00353E95"/>
    <w:rsid w:val="003929F5"/>
    <w:rsid w:val="003A4350"/>
    <w:rsid w:val="003D7F17"/>
    <w:rsid w:val="003E5582"/>
    <w:rsid w:val="0043459B"/>
    <w:rsid w:val="004C5CDD"/>
    <w:rsid w:val="004E31C1"/>
    <w:rsid w:val="004E7D86"/>
    <w:rsid w:val="005B38A1"/>
    <w:rsid w:val="00626B0B"/>
    <w:rsid w:val="00655A28"/>
    <w:rsid w:val="00656974"/>
    <w:rsid w:val="006C1D07"/>
    <w:rsid w:val="007055E9"/>
    <w:rsid w:val="007058EC"/>
    <w:rsid w:val="007A0435"/>
    <w:rsid w:val="007A4F1D"/>
    <w:rsid w:val="007D168F"/>
    <w:rsid w:val="00813C21"/>
    <w:rsid w:val="008646FE"/>
    <w:rsid w:val="008B6EB9"/>
    <w:rsid w:val="008F4ED8"/>
    <w:rsid w:val="009820E0"/>
    <w:rsid w:val="009D7854"/>
    <w:rsid w:val="009F1A38"/>
    <w:rsid w:val="009F4195"/>
    <w:rsid w:val="009F5667"/>
    <w:rsid w:val="00AA4A67"/>
    <w:rsid w:val="00AE35FD"/>
    <w:rsid w:val="00AE6578"/>
    <w:rsid w:val="00B61FB5"/>
    <w:rsid w:val="00B66877"/>
    <w:rsid w:val="00BA74A8"/>
    <w:rsid w:val="00C30472"/>
    <w:rsid w:val="00C71822"/>
    <w:rsid w:val="00CF59E1"/>
    <w:rsid w:val="00DB3C6F"/>
    <w:rsid w:val="00DF3D85"/>
    <w:rsid w:val="00DF4B72"/>
    <w:rsid w:val="00E01239"/>
    <w:rsid w:val="00E62931"/>
    <w:rsid w:val="00EB4986"/>
    <w:rsid w:val="00EC38BA"/>
    <w:rsid w:val="00F32776"/>
    <w:rsid w:val="00F4082F"/>
    <w:rsid w:val="00F55765"/>
    <w:rsid w:val="00F63AFF"/>
    <w:rsid w:val="00F840C1"/>
    <w:rsid w:val="00F903B5"/>
    <w:rsid w:val="00FE2A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640E6124-98A6-49ED-B71F-9A2FB916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EC38BA"/>
    <w:rPr>
      <w:rFonts w:asciiTheme="minorHAnsi" w:eastAsiaTheme="minorHAnsi" w:hAnsiTheme="minorHAnsi" w:cstheme="minorBidi"/>
      <w:kern w:val="2"/>
      <w:sz w:val="20"/>
      <w:szCs w:val="20"/>
      <w:lang w:val="en-ID" w:eastAsia="en-US"/>
      <w14:ligatures w14:val="standardContextual"/>
    </w:rPr>
  </w:style>
  <w:style w:type="character" w:customStyle="1" w:styleId="TeksCatatanKakiKAR">
    <w:name w:val="Teks Catatan Kaki KAR"/>
    <w:basedOn w:val="FontParagrafDefault"/>
    <w:link w:val="TeksCatatanKaki"/>
    <w:uiPriority w:val="99"/>
    <w:semiHidden/>
    <w:rsid w:val="00EC38BA"/>
    <w:rPr>
      <w:rFonts w:asciiTheme="minorHAnsi" w:eastAsiaTheme="minorHAnsi" w:hAnsiTheme="minorHAnsi" w:cstheme="minorBidi"/>
      <w:kern w:val="2"/>
      <w:sz w:val="20"/>
      <w:szCs w:val="20"/>
      <w:lang w:val="en-ID" w:eastAsia="en-US"/>
      <w14:ligatures w14:val="standardContextual"/>
    </w:rPr>
  </w:style>
  <w:style w:type="character" w:styleId="ReferensiCatatanKaki">
    <w:name w:val="footnote reference"/>
    <w:basedOn w:val="FontParagrafDefault"/>
    <w:uiPriority w:val="99"/>
    <w:semiHidden/>
    <w:unhideWhenUsed/>
    <w:rsid w:val="00EC38BA"/>
    <w:rPr>
      <w:vertAlign w:val="superscript"/>
    </w:rPr>
  </w:style>
  <w:style w:type="character" w:styleId="ReferensiKomentar">
    <w:name w:val="annotation reference"/>
    <w:basedOn w:val="FontParagrafDefault"/>
    <w:uiPriority w:val="99"/>
    <w:semiHidden/>
    <w:unhideWhenUsed/>
    <w:rsid w:val="00EC38BA"/>
    <w:rPr>
      <w:sz w:val="16"/>
      <w:szCs w:val="16"/>
    </w:rPr>
  </w:style>
  <w:style w:type="paragraph" w:styleId="TeksKomentar">
    <w:name w:val="annotation text"/>
    <w:basedOn w:val="Normal"/>
    <w:link w:val="TeksKomentarKAR"/>
    <w:uiPriority w:val="99"/>
    <w:semiHidden/>
    <w:unhideWhenUsed/>
    <w:rsid w:val="008B6EB9"/>
    <w:rPr>
      <w:sz w:val="20"/>
      <w:szCs w:val="20"/>
    </w:rPr>
  </w:style>
  <w:style w:type="character" w:customStyle="1" w:styleId="TeksKomentarKAR">
    <w:name w:val="Teks Komentar KAR"/>
    <w:basedOn w:val="FontParagrafDefault"/>
    <w:link w:val="TeksKomentar"/>
    <w:uiPriority w:val="99"/>
    <w:semiHidden/>
    <w:rsid w:val="008B6EB9"/>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8B6EB9"/>
    <w:rPr>
      <w:b/>
      <w:bCs/>
    </w:rPr>
  </w:style>
  <w:style w:type="character" w:customStyle="1" w:styleId="SubjekKomentarKAR">
    <w:name w:val="Subjek Komentar KAR"/>
    <w:basedOn w:val="TeksKomentarKAR"/>
    <w:link w:val="SubjekKomentar"/>
    <w:uiPriority w:val="99"/>
    <w:semiHidden/>
    <w:rsid w:val="008B6EB9"/>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59526190-81F7-4496-8D34-067BE60665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7411</Words>
  <Characters>42249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Author</cp:lastModifiedBy>
  <cp:revision>30</cp:revision>
  <dcterms:created xsi:type="dcterms:W3CDTF">2026-06-03T14:54:00Z</dcterms:created>
  <dcterms:modified xsi:type="dcterms:W3CDTF">2026-06-09T08:25:00Z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Document_1">
    <vt:lpwstr>True</vt:lpwstr>
  </property>
  <property fmtid="{D5CDD505-2E9C-101B-9397-08002B2CF9AE}" pid="23" name="Mendeley Unique User Id_1">
    <vt:lpwstr>9cc0b020-010d-3beb-b100-e3b40aab4758</vt:lpwstr>
  </property>
  <property fmtid="{D5CDD505-2E9C-101B-9397-08002B2CF9AE}" pid="24" name="Mendeley Citation Style_1">
    <vt:lpwstr>http://www.zotero.org/styles/turabian-fullnote-bibliography-no-ibid</vt:lpwstr>
  </property>
  <property fmtid="{D5CDD505-2E9C-101B-9397-08002B2CF9AE}" pid="25" name="GrammarlyDocumentId">
    <vt:lpwstr>95b9f993-12e6-4707-ac8c-99562709c6ec</vt:lpwstr>
  </property>
</Properties>
</file>