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9072" w:type="dxa"/>
        <w:tblBorders>
          <w:top w:val="nil"/>
          <w:left w:val="nil"/>
          <w:bottom w:val="nil"/>
          <w:right w:val="nil"/>
          <w:insideH w:val="nil"/>
          <w:insideV w:val="nil"/>
        </w:tblBorders>
        <w:tblLayout w:type="fixed"/>
        <w:tblLook w:val="0400" w:firstRow="0" w:lastRow="0" w:firstColumn="0" w:lastColumn="0" w:noHBand="0" w:noVBand="1"/>
      </w:tblPr>
      <w:tblGrid>
        <w:gridCol w:w="2160"/>
        <w:gridCol w:w="6487"/>
        <w:gridCol w:w="425"/>
      </w:tblGrid>
      <w:tr w:rsidR="008E2CCF" w14:paraId="6DB22EED" w14:textId="77777777" w:rsidTr="0001498B">
        <w:tc>
          <w:tcPr>
            <w:tcW w:w="8647" w:type="dxa"/>
            <w:gridSpan w:val="2"/>
            <w:tcBorders>
              <w:top w:val="single" w:sz="4" w:space="0" w:color="000000"/>
              <w:bottom w:val="single" w:sz="4" w:space="0" w:color="000000"/>
            </w:tcBorders>
          </w:tcPr>
          <w:p w14:paraId="2D091162" w14:textId="241E0249" w:rsidR="008E2CCF" w:rsidRDefault="00E855F9" w:rsidP="0080793D">
            <w:pPr>
              <w:pBdr>
                <w:top w:val="nil"/>
                <w:left w:val="nil"/>
                <w:bottom w:val="nil"/>
                <w:right w:val="nil"/>
                <w:between w:val="nil"/>
              </w:pBdr>
              <w:spacing w:line="360" w:lineRule="auto"/>
              <w:ind w:left="34"/>
              <w:jc w:val="center"/>
              <w:rPr>
                <w:rFonts w:eastAsia="Times New Roman"/>
                <w:b/>
                <w:i/>
                <w:color w:val="000000"/>
                <w:sz w:val="36"/>
                <w:szCs w:val="36"/>
              </w:rPr>
            </w:pPr>
            <w:r>
              <w:rPr>
                <w:noProof/>
              </w:rPr>
              <w:drawing>
                <wp:anchor distT="0" distB="0" distL="114300" distR="114300" simplePos="0" relativeHeight="251658240" behindDoc="0" locked="0" layoutInCell="1" hidden="0" allowOverlap="1" wp14:anchorId="1C7A254C" wp14:editId="101055D1">
                  <wp:simplePos x="0" y="0"/>
                  <wp:positionH relativeFrom="column">
                    <wp:posOffset>-48260</wp:posOffset>
                  </wp:positionH>
                  <wp:positionV relativeFrom="paragraph">
                    <wp:posOffset>426085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r w:rsidR="006D339D">
              <w:rPr>
                <w:rFonts w:eastAsia="Times New Roman"/>
                <w:b/>
                <w:i/>
                <w:color w:val="000000"/>
                <w:sz w:val="36"/>
                <w:szCs w:val="36"/>
              </w:rPr>
              <w:t>Jurnal Arrabona: Jurnal Teologi dan Misi</w:t>
            </w:r>
            <w:r w:rsidR="006D339D">
              <w:rPr>
                <w:rFonts w:eastAsia="Times New Roman"/>
                <w:b/>
                <w:i/>
                <w:color w:val="000000"/>
                <w:sz w:val="28"/>
                <w:szCs w:val="28"/>
              </w:rPr>
              <w:tab/>
            </w:r>
          </w:p>
          <w:p w14:paraId="4FECB564" w14:textId="77777777" w:rsidR="008E2CCF" w:rsidRDefault="006D339D" w:rsidP="0080793D">
            <w:pPr>
              <w:pBdr>
                <w:top w:val="nil"/>
                <w:left w:val="nil"/>
                <w:bottom w:val="nil"/>
                <w:right w:val="nil"/>
                <w:between w:val="nil"/>
              </w:pBdr>
              <w:spacing w:line="360" w:lineRule="auto"/>
              <w:ind w:left="4678"/>
              <w:rPr>
                <w:rFonts w:eastAsia="Times New Roman"/>
                <w:color w:val="000000"/>
                <w:sz w:val="2"/>
                <w:szCs w:val="2"/>
                <w:highlight w:val="black"/>
              </w:rPr>
            </w:pPr>
            <w:r>
              <w:rPr>
                <w:rFonts w:eastAsia="Times New Roman"/>
                <w:color w:val="000000"/>
              </w:rPr>
              <w:t>ISSN 2622-5433 (Print)</w:t>
            </w:r>
            <w:r>
              <w:rPr>
                <w:rFonts w:eastAsia="Times New Roman"/>
                <w:color w:val="000000"/>
                <w:sz w:val="2"/>
                <w:szCs w:val="2"/>
                <w:highlight w:val="black"/>
              </w:rPr>
              <w:t xml:space="preserve"> </w:t>
            </w:r>
            <w:r>
              <w:rPr>
                <w:noProof/>
              </w:rPr>
              <mc:AlternateContent>
                <mc:Choice Requires="wps">
                  <w:drawing>
                    <wp:anchor distT="45720" distB="45720" distL="114300" distR="114300" simplePos="0" relativeHeight="251659264" behindDoc="0" locked="0" layoutInCell="1" hidden="0" allowOverlap="1" wp14:anchorId="2F54ED69" wp14:editId="68249295">
                      <wp:simplePos x="0" y="0"/>
                      <wp:positionH relativeFrom="column">
                        <wp:posOffset>711200</wp:posOffset>
                      </wp:positionH>
                      <wp:positionV relativeFrom="paragraph">
                        <wp:posOffset>45720</wp:posOffset>
                      </wp:positionV>
                      <wp:extent cx="2000250" cy="534035"/>
                      <wp:effectExtent l="0" t="0" r="0" b="0"/>
                      <wp:wrapNone/>
                      <wp:docPr id="3" name="Rectangle 3"/>
                      <wp:cNvGraphicFramePr/>
                      <a:graphic xmlns:a="http://schemas.openxmlformats.org/drawingml/2006/main">
                        <a:graphicData uri="http://schemas.microsoft.com/office/word/2010/wordprocessingShape">
                          <wps:wsp>
                            <wps:cNvSpPr/>
                            <wps:spPr>
                              <a:xfrm>
                                <a:off x="4350638" y="3517745"/>
                                <a:ext cx="1990725" cy="52451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72970E73" w14:textId="77777777" w:rsidR="008E2CCF" w:rsidRDefault="006D339D">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2F54ED69" id="Rectangle 3" o:spid="_x0000_s1026" style="position:absolute;left:0;text-align:left;margin-left:56pt;margin-top:3.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" strokecolor="white [3201]">
                      <v:stroke startarrowwidth="narrow" startarrowlength="short" endarrowwidth="narrow" endarrowlength="short"/>
                      <v:textbox inset="2.53958mm,1.2694mm,2.53958mm,1.2694mm">
                        <w:txbxContent>
                          <w:p w14:paraId="72970E73" w14:textId="77777777" w:rsidR="008E2CCF" w:rsidRDefault="006D339D">
                            <w:pPr>
                              <w:jc w:val="center"/>
                              <w:textDirection w:val="btLr"/>
                            </w:pPr>
                            <w:r>
                              <w:rPr>
                                <w:rFonts w:ascii="Georgia" w:eastAsia="Georgia" w:hAnsi="Georgia" w:cs="Georgia"/>
                                <w:color w:val="000000"/>
                                <w:sz w:val="28"/>
                              </w:rPr>
                              <w:t>Sekolah Tinggi Teologi Arrabona Bogor</w:t>
                            </w:r>
                          </w:p>
                        </w:txbxContent>
                      </v:textbox>
                    </v:rect>
                  </w:pict>
                </mc:Fallback>
              </mc:AlternateContent>
            </w:r>
          </w:p>
          <w:p w14:paraId="46F7A088" w14:textId="77777777" w:rsidR="008E2CCF" w:rsidRDefault="006D339D" w:rsidP="0080793D">
            <w:pPr>
              <w:pBdr>
                <w:top w:val="nil"/>
                <w:left w:val="nil"/>
                <w:bottom w:val="nil"/>
                <w:right w:val="nil"/>
                <w:between w:val="nil"/>
              </w:pBdr>
              <w:spacing w:line="360"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24D66E21" w14:textId="77777777" w:rsidR="008E2CCF" w:rsidRDefault="006D339D" w:rsidP="0080793D">
            <w:pPr>
              <w:pBdr>
                <w:top w:val="nil"/>
                <w:left w:val="nil"/>
                <w:bottom w:val="nil"/>
                <w:right w:val="nil"/>
                <w:between w:val="nil"/>
              </w:pBdr>
              <w:spacing w:line="360"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514BB0F8" w14:textId="77777777" w:rsidR="008E2CCF" w:rsidRDefault="006D339D" w:rsidP="0080793D">
            <w:pPr>
              <w:pBdr>
                <w:top w:val="nil"/>
                <w:left w:val="nil"/>
                <w:bottom w:val="nil"/>
                <w:right w:val="nil"/>
                <w:between w:val="nil"/>
              </w:pBdr>
              <w:spacing w:line="360" w:lineRule="auto"/>
              <w:ind w:left="4678"/>
              <w:rPr>
                <w:rFonts w:eastAsia="Times New Roman"/>
                <w:color w:val="000000"/>
              </w:rPr>
            </w:pPr>
            <w:r>
              <w:rPr>
                <w:rFonts w:eastAsia="Times New Roman"/>
                <w:color w:val="000000"/>
              </w:rPr>
              <w:t>Vol.</w:t>
            </w:r>
            <w:r>
              <w:t>6</w:t>
            </w:r>
            <w:r>
              <w:rPr>
                <w:rFonts w:eastAsia="Times New Roman"/>
                <w:color w:val="000000"/>
              </w:rPr>
              <w:t>, No.1,  Agustus 202</w:t>
            </w:r>
            <w:r>
              <w:t>3</w:t>
            </w:r>
          </w:p>
        </w:tc>
        <w:tc>
          <w:tcPr>
            <w:tcW w:w="425" w:type="dxa"/>
            <w:tcBorders>
              <w:top w:val="single" w:sz="4" w:space="0" w:color="000000"/>
              <w:bottom w:val="single" w:sz="4" w:space="0" w:color="000000"/>
            </w:tcBorders>
          </w:tcPr>
          <w:p w14:paraId="5FD0F0C9" w14:textId="77777777" w:rsidR="008E2CCF" w:rsidRDefault="008E2CCF" w:rsidP="0080793D">
            <w:pPr>
              <w:pBdr>
                <w:top w:val="nil"/>
                <w:left w:val="nil"/>
                <w:bottom w:val="nil"/>
                <w:right w:val="nil"/>
                <w:between w:val="nil"/>
              </w:pBdr>
              <w:spacing w:line="360" w:lineRule="auto"/>
              <w:jc w:val="center"/>
              <w:rPr>
                <w:rFonts w:ascii="Lustria" w:eastAsia="Lustria" w:hAnsi="Lustria" w:cs="Lustria"/>
                <w:color w:val="000000"/>
                <w:sz w:val="18"/>
                <w:szCs w:val="18"/>
              </w:rPr>
            </w:pPr>
          </w:p>
        </w:tc>
      </w:tr>
      <w:tr w:rsidR="008E2CCF" w14:paraId="06856522" w14:textId="77777777" w:rsidTr="0001498B">
        <w:tc>
          <w:tcPr>
            <w:tcW w:w="9072" w:type="dxa"/>
            <w:gridSpan w:val="3"/>
            <w:tcBorders>
              <w:top w:val="single" w:sz="4" w:space="0" w:color="000000"/>
              <w:bottom w:val="single" w:sz="4" w:space="0" w:color="000000"/>
            </w:tcBorders>
          </w:tcPr>
          <w:p w14:paraId="2B4C8ED4" w14:textId="77777777" w:rsidR="008E2CCF" w:rsidRDefault="008E2CCF" w:rsidP="0080793D">
            <w:pPr>
              <w:pBdr>
                <w:top w:val="nil"/>
                <w:left w:val="nil"/>
                <w:bottom w:val="nil"/>
                <w:right w:val="nil"/>
                <w:between w:val="nil"/>
              </w:pBdr>
              <w:spacing w:line="360" w:lineRule="auto"/>
              <w:rPr>
                <w:rFonts w:eastAsia="Times New Roman"/>
                <w:b/>
                <w:color w:val="000000"/>
              </w:rPr>
            </w:pPr>
          </w:p>
          <w:p w14:paraId="2E9252A5" w14:textId="2B08B613" w:rsidR="00457F0D" w:rsidRDefault="0001498B" w:rsidP="003C6D8A">
            <w:pPr>
              <w:jc w:val="center"/>
              <w:rPr>
                <w:rFonts w:eastAsia="Times New Roman"/>
                <w:b/>
                <w:bCs/>
                <w:color w:val="000000" w:themeColor="text1"/>
                <w:sz w:val="28"/>
                <w:szCs w:val="28"/>
                <w:lang w:eastAsia="en-ID"/>
              </w:rPr>
            </w:pPr>
            <w:r w:rsidRPr="0001498B">
              <w:rPr>
                <w:rFonts w:eastAsia="Times New Roman"/>
                <w:b/>
                <w:bCs/>
                <w:color w:val="000000" w:themeColor="text1"/>
                <w:sz w:val="28"/>
                <w:szCs w:val="28"/>
                <w:lang w:eastAsia="en-ID"/>
              </w:rPr>
              <w:t>S</w:t>
            </w:r>
            <w:r w:rsidR="003C6D8A">
              <w:rPr>
                <w:rFonts w:eastAsia="Times New Roman"/>
                <w:b/>
                <w:bCs/>
                <w:color w:val="000000" w:themeColor="text1"/>
                <w:sz w:val="28"/>
                <w:szCs w:val="28"/>
                <w:lang w:eastAsia="en-ID"/>
              </w:rPr>
              <w:t>trategi Kontekstualis</w:t>
            </w:r>
            <w:r w:rsidR="00AB6B8B">
              <w:rPr>
                <w:rFonts w:eastAsia="Times New Roman"/>
                <w:b/>
                <w:bCs/>
                <w:color w:val="000000" w:themeColor="text1"/>
                <w:sz w:val="28"/>
                <w:szCs w:val="28"/>
                <w:lang w:eastAsia="en-ID"/>
              </w:rPr>
              <w:t>asi</w:t>
            </w:r>
            <w:r w:rsidR="003C6D8A">
              <w:rPr>
                <w:rFonts w:eastAsia="Times New Roman"/>
                <w:b/>
                <w:bCs/>
                <w:color w:val="000000" w:themeColor="text1"/>
                <w:sz w:val="28"/>
                <w:szCs w:val="28"/>
                <w:lang w:eastAsia="en-ID"/>
              </w:rPr>
              <w:t xml:space="preserve"> Paulus Menurut Kisah Para Rasul</w:t>
            </w:r>
            <w:r w:rsidRPr="0001498B">
              <w:rPr>
                <w:rFonts w:eastAsia="Times New Roman"/>
                <w:b/>
                <w:bCs/>
                <w:color w:val="000000" w:themeColor="text1"/>
                <w:sz w:val="28"/>
                <w:szCs w:val="28"/>
                <w:lang w:eastAsia="en-ID"/>
              </w:rPr>
              <w:t xml:space="preserve"> </w:t>
            </w:r>
          </w:p>
          <w:p w14:paraId="219FE193" w14:textId="0E7DD196" w:rsidR="0001498B" w:rsidRDefault="0001498B" w:rsidP="00BB0271">
            <w:pPr>
              <w:jc w:val="center"/>
              <w:rPr>
                <w:rFonts w:eastAsia="Times New Roman"/>
                <w:b/>
                <w:bCs/>
                <w:color w:val="000000" w:themeColor="text1"/>
                <w:sz w:val="28"/>
                <w:szCs w:val="28"/>
                <w:lang w:eastAsia="en-ID"/>
              </w:rPr>
            </w:pPr>
            <w:r w:rsidRPr="0001498B">
              <w:rPr>
                <w:rFonts w:eastAsia="Times New Roman"/>
                <w:b/>
                <w:bCs/>
                <w:color w:val="000000" w:themeColor="text1"/>
                <w:sz w:val="28"/>
                <w:szCs w:val="28"/>
                <w:lang w:eastAsia="en-ID"/>
              </w:rPr>
              <w:t>B</w:t>
            </w:r>
            <w:r w:rsidR="003C6D8A">
              <w:rPr>
                <w:rFonts w:eastAsia="Times New Roman"/>
                <w:b/>
                <w:bCs/>
                <w:color w:val="000000" w:themeColor="text1"/>
                <w:sz w:val="28"/>
                <w:szCs w:val="28"/>
                <w:lang w:eastAsia="en-ID"/>
              </w:rPr>
              <w:t>agi Penginjilan Di Era Bonus Demografi</w:t>
            </w:r>
          </w:p>
          <w:p w14:paraId="5B98B66D" w14:textId="77777777" w:rsidR="00BB0271" w:rsidRPr="0001498B" w:rsidRDefault="00BB0271" w:rsidP="00BB0271">
            <w:pPr>
              <w:jc w:val="center"/>
              <w:rPr>
                <w:rFonts w:eastAsia="Times New Roman"/>
                <w:b/>
                <w:bCs/>
                <w:color w:val="000000" w:themeColor="text1"/>
                <w:sz w:val="28"/>
                <w:szCs w:val="28"/>
                <w:lang w:eastAsia="en-ID"/>
              </w:rPr>
            </w:pPr>
          </w:p>
          <w:p w14:paraId="25E9699D" w14:textId="77777777" w:rsidR="008E2CCF" w:rsidRDefault="008E2CCF" w:rsidP="0080793D">
            <w:pPr>
              <w:pBdr>
                <w:top w:val="nil"/>
                <w:left w:val="nil"/>
                <w:bottom w:val="nil"/>
                <w:right w:val="nil"/>
                <w:between w:val="nil"/>
              </w:pBdr>
              <w:spacing w:line="360" w:lineRule="auto"/>
              <w:jc w:val="both"/>
              <w:rPr>
                <w:rFonts w:ascii="Lustria" w:eastAsia="Lustria" w:hAnsi="Lustria" w:cs="Lustria"/>
                <w:color w:val="000000"/>
                <w:sz w:val="18"/>
                <w:szCs w:val="18"/>
              </w:rPr>
            </w:pPr>
          </w:p>
        </w:tc>
      </w:tr>
      <w:tr w:rsidR="008E2CCF" w14:paraId="46D0357D" w14:textId="77777777" w:rsidTr="0001498B">
        <w:tc>
          <w:tcPr>
            <w:tcW w:w="2160" w:type="dxa"/>
            <w:tcBorders>
              <w:top w:val="single" w:sz="4" w:space="0" w:color="000000"/>
              <w:bottom w:val="single" w:sz="4" w:space="0" w:color="000000"/>
            </w:tcBorders>
          </w:tcPr>
          <w:p w14:paraId="16E0BD7F" w14:textId="77777777" w:rsidR="00201645" w:rsidRDefault="00201645" w:rsidP="0080793D">
            <w:pPr>
              <w:pBdr>
                <w:top w:val="nil"/>
                <w:left w:val="nil"/>
                <w:bottom w:val="nil"/>
                <w:right w:val="nil"/>
                <w:between w:val="nil"/>
              </w:pBdr>
              <w:spacing w:line="360" w:lineRule="auto"/>
              <w:rPr>
                <w:rFonts w:ascii="Lustria" w:eastAsia="Lustria" w:hAnsi="Lustria" w:cs="Lustria"/>
                <w:b/>
                <w:color w:val="000000"/>
                <w:sz w:val="36"/>
                <w:szCs w:val="36"/>
                <w:vertAlign w:val="subscript"/>
              </w:rPr>
            </w:pPr>
          </w:p>
          <w:p w14:paraId="11D1FC8B" w14:textId="77777777" w:rsidR="00201645" w:rsidRDefault="00201645" w:rsidP="0080793D">
            <w:pPr>
              <w:pBdr>
                <w:top w:val="nil"/>
                <w:left w:val="nil"/>
                <w:bottom w:val="nil"/>
                <w:right w:val="nil"/>
                <w:between w:val="nil"/>
              </w:pBdr>
              <w:spacing w:line="360" w:lineRule="auto"/>
              <w:rPr>
                <w:rFonts w:ascii="Lustria" w:eastAsia="Lustria" w:hAnsi="Lustria" w:cs="Lustria"/>
                <w:b/>
                <w:color w:val="000000"/>
                <w:sz w:val="36"/>
                <w:szCs w:val="36"/>
                <w:vertAlign w:val="subscript"/>
              </w:rPr>
            </w:pPr>
          </w:p>
          <w:p w14:paraId="7C8E0402" w14:textId="77777777" w:rsidR="00201645" w:rsidRDefault="00201645" w:rsidP="0080793D">
            <w:pPr>
              <w:pBdr>
                <w:top w:val="nil"/>
                <w:left w:val="nil"/>
                <w:bottom w:val="nil"/>
                <w:right w:val="nil"/>
                <w:between w:val="nil"/>
              </w:pBdr>
              <w:spacing w:line="360" w:lineRule="auto"/>
              <w:rPr>
                <w:rFonts w:ascii="Lustria" w:eastAsia="Lustria" w:hAnsi="Lustria" w:cs="Lustria"/>
                <w:b/>
                <w:color w:val="000000"/>
                <w:sz w:val="36"/>
                <w:szCs w:val="36"/>
                <w:vertAlign w:val="subscript"/>
              </w:rPr>
            </w:pPr>
          </w:p>
          <w:p w14:paraId="21FEED2B" w14:textId="3FD2297A" w:rsidR="008E2CCF" w:rsidRDefault="00BB0271" w:rsidP="0080793D">
            <w:pPr>
              <w:pBdr>
                <w:top w:val="nil"/>
                <w:left w:val="nil"/>
                <w:bottom w:val="nil"/>
                <w:right w:val="nil"/>
                <w:between w:val="nil"/>
              </w:pBdr>
              <w:spacing w:line="360" w:lineRule="auto"/>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w:t>
            </w:r>
            <w:r w:rsidR="006D339D">
              <w:rPr>
                <w:rFonts w:ascii="Lustria" w:eastAsia="Lustria" w:hAnsi="Lustria" w:cs="Lustria"/>
                <w:b/>
                <w:color w:val="000000"/>
                <w:sz w:val="36"/>
                <w:szCs w:val="36"/>
                <w:vertAlign w:val="subscript"/>
              </w:rPr>
              <w:t>NFO ARTIKEL</w:t>
            </w:r>
          </w:p>
          <w:p w14:paraId="4BDD510E"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sz w:val="20"/>
                <w:szCs w:val="20"/>
              </w:rPr>
            </w:pPr>
            <w:r>
              <w:rPr>
                <w:rFonts w:ascii="Lustria" w:eastAsia="Lustria" w:hAnsi="Lustria" w:cs="Lustria"/>
                <w:color w:val="000000"/>
                <w:sz w:val="20"/>
                <w:szCs w:val="20"/>
              </w:rPr>
              <w:t>_____________________</w:t>
            </w:r>
          </w:p>
          <w:p w14:paraId="047B560A" w14:textId="77777777" w:rsidR="008E2CCF" w:rsidRDefault="006D339D" w:rsidP="00201645">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AA069D8" w14:textId="77777777" w:rsidR="008E2CCF" w:rsidRDefault="006D339D" w:rsidP="00201645">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Diterima : Agustus 2022</w:t>
            </w:r>
          </w:p>
          <w:p w14:paraId="47093D63" w14:textId="77777777" w:rsidR="008E2CCF" w:rsidRDefault="006D339D" w:rsidP="00201645">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Direvisi  : Agustus  2020</w:t>
            </w:r>
          </w:p>
          <w:p w14:paraId="4884E877" w14:textId="77777777" w:rsidR="008E2CCF" w:rsidRDefault="006D339D" w:rsidP="00201645">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Disetujui: Agustus 2020</w:t>
            </w:r>
          </w:p>
          <w:p w14:paraId="2DD6ED7B" w14:textId="77777777" w:rsidR="008E2CCF" w:rsidRDefault="006D339D" w:rsidP="00201645">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Dipublikasi: Agustus 2020</w:t>
            </w:r>
          </w:p>
          <w:p w14:paraId="29614FC4"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__________________________</w:t>
            </w:r>
          </w:p>
          <w:p w14:paraId="09AB11A9" w14:textId="77777777" w:rsidR="008E2CCF" w:rsidRDefault="008E2CCF" w:rsidP="0080793D">
            <w:pPr>
              <w:pBdr>
                <w:top w:val="nil"/>
                <w:left w:val="nil"/>
                <w:bottom w:val="nil"/>
                <w:right w:val="nil"/>
                <w:between w:val="nil"/>
              </w:pBdr>
              <w:spacing w:line="360" w:lineRule="auto"/>
              <w:rPr>
                <w:rFonts w:ascii="Lustria" w:eastAsia="Lustria" w:hAnsi="Lustria" w:cs="Lustria"/>
                <w:i/>
                <w:color w:val="000000"/>
                <w:sz w:val="16"/>
                <w:szCs w:val="16"/>
              </w:rPr>
            </w:pPr>
          </w:p>
          <w:p w14:paraId="153DE201" w14:textId="6F3CC6FF" w:rsidR="00201645" w:rsidRDefault="00201645" w:rsidP="0080793D">
            <w:pPr>
              <w:pBdr>
                <w:top w:val="nil"/>
                <w:left w:val="nil"/>
                <w:bottom w:val="nil"/>
                <w:right w:val="nil"/>
                <w:between w:val="nil"/>
              </w:pBdr>
              <w:spacing w:line="360" w:lineRule="auto"/>
              <w:rPr>
                <w:rFonts w:ascii="Lustria" w:eastAsia="Lustria" w:hAnsi="Lustria" w:cs="Lustria"/>
                <w:i/>
                <w:color w:val="000000"/>
                <w:sz w:val="16"/>
                <w:szCs w:val="16"/>
              </w:rPr>
            </w:pPr>
          </w:p>
        </w:tc>
        <w:tc>
          <w:tcPr>
            <w:tcW w:w="6912" w:type="dxa"/>
            <w:gridSpan w:val="2"/>
            <w:tcBorders>
              <w:top w:val="single" w:sz="4" w:space="0" w:color="000000"/>
              <w:bottom w:val="single" w:sz="4" w:space="0" w:color="000000"/>
            </w:tcBorders>
          </w:tcPr>
          <w:p w14:paraId="02140500"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77EA74A5" w14:textId="2A92996E" w:rsidR="008E2CCF" w:rsidRPr="00FB1183" w:rsidRDefault="0001498B" w:rsidP="00201645">
            <w:pPr>
              <w:pBdr>
                <w:top w:val="nil"/>
                <w:left w:val="nil"/>
                <w:bottom w:val="nil"/>
                <w:right w:val="nil"/>
                <w:between w:val="nil"/>
              </w:pBdr>
              <w:jc w:val="both"/>
              <w:rPr>
                <w:rFonts w:eastAsia="Times New Roman"/>
                <w:color w:val="000000"/>
                <w:sz w:val="22"/>
                <w:szCs w:val="22"/>
              </w:rPr>
            </w:pPr>
            <w:r w:rsidRPr="00FB1183">
              <w:t xml:space="preserve">Bonus demografi menjadi fenomena yang dialami bangsa Indonesia </w:t>
            </w:r>
            <w:commentRangeStart w:id="0"/>
            <w:r w:rsidRPr="00FB1183">
              <w:t>dimana</w:t>
            </w:r>
            <w:commentRangeEnd w:id="0"/>
            <w:r w:rsidR="00E13C1D" w:rsidRPr="00FB1183">
              <w:rPr>
                <w:rStyle w:val="ReferensiKomentar"/>
                <w:sz w:val="24"/>
                <w:szCs w:val="24"/>
              </w:rPr>
              <w:commentReference w:id="0"/>
            </w:r>
            <w:r w:rsidRPr="00FB1183">
              <w:t xml:space="preserve"> meningkatnya usia </w:t>
            </w:r>
            <w:commentRangeStart w:id="1"/>
            <w:r w:rsidRPr="00FB1183">
              <w:t>produkti</w:t>
            </w:r>
            <w:commentRangeEnd w:id="1"/>
            <w:r w:rsidR="00E13C1D" w:rsidRPr="00FB1183">
              <w:rPr>
                <w:rStyle w:val="ReferensiKomentar"/>
                <w:sz w:val="24"/>
                <w:szCs w:val="24"/>
              </w:rPr>
              <w:commentReference w:id="1"/>
            </w:r>
            <w:r w:rsidRPr="00FB1183">
              <w:t xml:space="preserve">, namun generasi produktif Indonesia masih mengalami banyak masalah dan sangat memerlukan Injil untuk mereka dapat mengalami pembaharuan hidup secara holistic didalam Kristus. Tujuan penelitian ini untuk mengajak Gereja, Hamba Tuhan serta orang percaya supaya melihat bonus demografi Indonesia sebagai bagian </w:t>
            </w:r>
            <w:commentRangeStart w:id="2"/>
            <w:r w:rsidRPr="00FB1183">
              <w:t>pending</w:t>
            </w:r>
            <w:commentRangeEnd w:id="2"/>
            <w:r w:rsidR="00E13C1D" w:rsidRPr="00FB1183">
              <w:rPr>
                <w:rStyle w:val="ReferensiKomentar"/>
                <w:sz w:val="24"/>
                <w:szCs w:val="24"/>
              </w:rPr>
              <w:commentReference w:id="2"/>
            </w:r>
            <w:r w:rsidRPr="00FB1183">
              <w:t xml:space="preserve">, dan melaksanakan penginjilan kepada mereka dengan menggunakan strategi-strategi kontekstualisasi. Penelitian ini dilakukan menggunakan metode </w:t>
            </w:r>
            <w:commentRangeStart w:id="3"/>
            <w:r w:rsidRPr="00FB1183">
              <w:t xml:space="preserve">kulitatif </w:t>
            </w:r>
            <w:commentRangeEnd w:id="3"/>
            <w:r w:rsidR="00E13C1D" w:rsidRPr="00FB1183">
              <w:rPr>
                <w:rStyle w:val="ReferensiKomentar"/>
                <w:sz w:val="24"/>
                <w:szCs w:val="24"/>
              </w:rPr>
              <w:commentReference w:id="3"/>
            </w:r>
            <w:r w:rsidRPr="00FB1183">
              <w:t xml:space="preserve">dengan Teknik pengumpulan data melalui wawancara. Hasil tersebut kemudian </w:t>
            </w:r>
            <w:commentRangeStart w:id="4"/>
            <w:r w:rsidRPr="00FB1183">
              <w:t xml:space="preserve">di tinjau </w:t>
            </w:r>
            <w:commentRangeEnd w:id="4"/>
            <w:r w:rsidR="00E13C1D" w:rsidRPr="00FB1183">
              <w:rPr>
                <w:rStyle w:val="ReferensiKomentar"/>
                <w:sz w:val="24"/>
                <w:szCs w:val="24"/>
              </w:rPr>
              <w:commentReference w:id="4"/>
            </w:r>
            <w:r w:rsidRPr="00FB1183">
              <w:t xml:space="preserve">secara terperinci dengan kajian teoritis sehingga didapatkan pemahaman Hamba Tuhan dan Orang percaya. Adapun 3 strategi kontekstualisasi Paulus menurut kisah para rasul: 1) menghargai kebudayaan sebagai strategi kontekstualisasi (Kis 17: 22-23), 2) pengembangan potensi diri menjadi strategi kontekstualisasi (Kis 18:1-4), 3) penggunaan Bahasa yang tepat menjadi strategi kontekstualisasi (Kis 22:1-3). Peneliti mengharapkan agar setiap Gereja, Hamba Tuhan dan orang percaya secara aktif untuk menjangkau generasi produktif Indonesia dengan menggunakan strategi konteksutalisasi sehingga generasi produktif Indonesia mengalami pembaharuan hidup secara </w:t>
            </w:r>
            <w:commentRangeStart w:id="5"/>
            <w:r w:rsidRPr="00FB1183">
              <w:t>hoistik</w:t>
            </w:r>
            <w:commentRangeEnd w:id="5"/>
            <w:r w:rsidR="00E13C1D" w:rsidRPr="00FB1183">
              <w:rPr>
                <w:rStyle w:val="ReferensiKomentar"/>
                <w:sz w:val="24"/>
                <w:szCs w:val="24"/>
              </w:rPr>
              <w:commentReference w:id="5"/>
            </w:r>
            <w:r w:rsidRPr="00FB1183">
              <w:t xml:space="preserve"> di dalam </w:t>
            </w:r>
            <w:commentRangeStart w:id="6"/>
            <w:r w:rsidRPr="00FB1183">
              <w:t>kristus.</w:t>
            </w:r>
            <w:commentRangeEnd w:id="6"/>
            <w:r w:rsidR="00E13C1D" w:rsidRPr="00FB1183">
              <w:rPr>
                <w:rStyle w:val="ReferensiKomentar"/>
                <w:sz w:val="24"/>
                <w:szCs w:val="24"/>
              </w:rPr>
              <w:commentReference w:id="6"/>
            </w:r>
            <w:r w:rsidRPr="00FB1183">
              <w:t xml:space="preserve"> Kata kunci: Kontekstualisasi; Penginjilan; Bonus Demografi Indonesia.</w:t>
            </w:r>
          </w:p>
          <w:p w14:paraId="71B4EBF7" w14:textId="77777777" w:rsidR="00201645" w:rsidRDefault="00201645" w:rsidP="00201645">
            <w:pPr>
              <w:pBdr>
                <w:top w:val="nil"/>
                <w:left w:val="nil"/>
                <w:bottom w:val="nil"/>
                <w:right w:val="nil"/>
                <w:between w:val="nil"/>
              </w:pBdr>
              <w:rPr>
                <w:rFonts w:eastAsia="Times New Roman"/>
                <w:b/>
                <w:i/>
                <w:color w:val="000000"/>
                <w:sz w:val="22"/>
                <w:szCs w:val="22"/>
              </w:rPr>
            </w:pPr>
          </w:p>
          <w:p w14:paraId="7889CC3C" w14:textId="4E7821C9" w:rsidR="008E2CCF" w:rsidRDefault="006D339D" w:rsidP="00201645">
            <w:pPr>
              <w:pBdr>
                <w:top w:val="nil"/>
                <w:left w:val="nil"/>
                <w:bottom w:val="nil"/>
                <w:right w:val="nil"/>
                <w:between w:val="nil"/>
              </w:pBdr>
              <w:rPr>
                <w:rFonts w:eastAsia="Times New Roman"/>
                <w:b/>
                <w:i/>
                <w:color w:val="000000"/>
                <w:sz w:val="22"/>
                <w:szCs w:val="22"/>
              </w:rPr>
            </w:pPr>
            <w:commentRangeStart w:id="7"/>
            <w:r>
              <w:rPr>
                <w:rFonts w:eastAsia="Times New Roman"/>
                <w:b/>
                <w:i/>
                <w:color w:val="000000"/>
                <w:sz w:val="22"/>
                <w:szCs w:val="22"/>
              </w:rPr>
              <w:t>Kata Kunci:</w:t>
            </w:r>
          </w:p>
          <w:p w14:paraId="596D0205" w14:textId="7BE9A58F" w:rsidR="008E2CCF" w:rsidRDefault="0001498B" w:rsidP="00201645">
            <w:pPr>
              <w:pBdr>
                <w:top w:val="nil"/>
                <w:left w:val="nil"/>
                <w:bottom w:val="nil"/>
                <w:right w:val="nil"/>
                <w:between w:val="nil"/>
              </w:pBdr>
              <w:rPr>
                <w:rFonts w:eastAsia="Times New Roman"/>
                <w:i/>
                <w:color w:val="000000"/>
                <w:sz w:val="22"/>
                <w:szCs w:val="22"/>
              </w:rPr>
            </w:pPr>
            <w:r w:rsidRPr="006B5B63">
              <w:rPr>
                <w:rFonts w:ascii="Goudy Old Style" w:hAnsi="Goudy Old Style"/>
              </w:rPr>
              <w:t>Strategi Kontekstualisasi, Paulus, Kisah Para Rasul, Bonus Demograpi.</w:t>
            </w:r>
            <w:r w:rsidR="006D339D">
              <w:rPr>
                <w:rFonts w:eastAsia="Times New Roman"/>
                <w:i/>
                <w:color w:val="000000"/>
                <w:sz w:val="22"/>
                <w:szCs w:val="22"/>
              </w:rPr>
              <w:t>.</w:t>
            </w:r>
            <w:commentRangeEnd w:id="7"/>
            <w:r w:rsidR="00E13C1D">
              <w:rPr>
                <w:rStyle w:val="ReferensiKomentar"/>
                <w:rFonts w:eastAsia="Times New Roman"/>
                <w:i/>
                <w:color w:val="000000"/>
                <w:sz w:val="22"/>
                <w:szCs w:val="22"/>
              </w:rPr>
              <w:commentReference w:id="7"/>
            </w:r>
          </w:p>
          <w:p w14:paraId="26AE79BC" w14:textId="51AB6B49" w:rsidR="008E2CCF" w:rsidRDefault="008E2CCF" w:rsidP="00201645">
            <w:pPr>
              <w:pBdr>
                <w:top w:val="nil"/>
                <w:left w:val="nil"/>
                <w:bottom w:val="nil"/>
                <w:right w:val="nil"/>
                <w:between w:val="nil"/>
              </w:pBdr>
              <w:jc w:val="both"/>
              <w:rPr>
                <w:rFonts w:eastAsia="Times New Roman"/>
                <w:color w:val="000000"/>
                <w:sz w:val="22"/>
                <w:szCs w:val="22"/>
              </w:rPr>
            </w:pPr>
          </w:p>
          <w:p w14:paraId="383FC30F" w14:textId="012AF3BD" w:rsidR="00EA0A8F" w:rsidRDefault="00EA0A8F" w:rsidP="00201645">
            <w:pPr>
              <w:pBdr>
                <w:top w:val="nil"/>
                <w:left w:val="nil"/>
                <w:bottom w:val="nil"/>
                <w:right w:val="nil"/>
                <w:between w:val="nil"/>
              </w:pBdr>
              <w:jc w:val="both"/>
              <w:rPr>
                <w:rFonts w:eastAsia="Times New Roman"/>
                <w:color w:val="000000"/>
                <w:sz w:val="22"/>
                <w:szCs w:val="22"/>
              </w:rPr>
            </w:pPr>
          </w:p>
          <w:p w14:paraId="67D5529B" w14:textId="77777777" w:rsidR="00EA0A8F" w:rsidRDefault="00EA0A8F" w:rsidP="00201645">
            <w:pPr>
              <w:pBdr>
                <w:top w:val="nil"/>
                <w:left w:val="nil"/>
                <w:bottom w:val="nil"/>
                <w:right w:val="nil"/>
                <w:between w:val="nil"/>
              </w:pBdr>
              <w:jc w:val="both"/>
              <w:rPr>
                <w:rFonts w:eastAsia="Times New Roman"/>
                <w:color w:val="000000"/>
                <w:sz w:val="22"/>
                <w:szCs w:val="22"/>
              </w:rPr>
            </w:pPr>
          </w:p>
          <w:p w14:paraId="0E80E69C" w14:textId="77777777" w:rsidR="008E2CCF" w:rsidRDefault="006D339D" w:rsidP="00201645">
            <w:pPr>
              <w:pBdr>
                <w:top w:val="nil"/>
                <w:left w:val="nil"/>
                <w:bottom w:val="nil"/>
                <w:right w:val="nil"/>
                <w:between w:val="nil"/>
              </w:pBdr>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021BA2D3" w14:textId="77777777" w:rsidR="008E2CCF" w:rsidRDefault="006D339D" w:rsidP="00201645">
            <w:pPr>
              <w:pBdr>
                <w:top w:val="nil"/>
                <w:left w:val="nil"/>
                <w:bottom w:val="nil"/>
                <w:right w:val="nil"/>
                <w:between w:val="nil"/>
              </w:pBdr>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7D10A3BA" w14:textId="26BBDB60" w:rsidR="008E2CCF" w:rsidRPr="0001498B" w:rsidRDefault="0001498B" w:rsidP="00201645">
            <w:pPr>
              <w:pBdr>
                <w:top w:val="nil"/>
                <w:left w:val="nil"/>
                <w:bottom w:val="nil"/>
                <w:right w:val="nil"/>
                <w:between w:val="nil"/>
              </w:pBdr>
              <w:jc w:val="both"/>
              <w:rPr>
                <w:rFonts w:eastAsia="Times New Roman"/>
                <w:i/>
                <w:color w:val="000000"/>
                <w:sz w:val="22"/>
                <w:szCs w:val="22"/>
              </w:rPr>
            </w:pPr>
            <w:r w:rsidRPr="0001498B">
              <w:rPr>
                <w:i/>
                <w:iCs/>
                <w:lang w:val="en" w:eastAsia="en-ID"/>
              </w:rPr>
              <w:t xml:space="preserve">The demographic bonus is a phenomenon experienced by the Indonesian nation where the productive age is increasing, but Indonesia's productive generation is still experiencing many problems and needs the Gospel so that they can experience holistic life renewal in Christ. This </w:t>
            </w:r>
            <w:r w:rsidRPr="0001498B">
              <w:rPr>
                <w:i/>
                <w:iCs/>
                <w:lang w:val="en" w:eastAsia="en-ID"/>
              </w:rPr>
              <w:lastRenderedPageBreak/>
              <w:t>research aims to invite the Church, God's Servants, and believers to see Indonesia's demographic bonus as a pending part and carry out evangelism to them using contextualization strategies. This research was conducted using a qualitative method with data collection techniques through interviews. These results are then reviewed in detail with theoretical studies to obtain an understanding of God's Servants and Believers. Paul's 3 contextualization strategies according to the stories of the apostles: 1) appreciating culture as a contextualization strategy (Acts 17: 22-23), 2) developing one's potential as a contextualization strategy (Acts 18:1-4), 3) using appropriate language as a contextualization strategy (Acts 22:1-3). The researcher hopes that every church, servant of God, and believer will actively reach out to Indonesia's productive generation by using a contextualization strategy so that Indonesia's productive generation experiences a holistic renewal of life in Christ. Keywords: Contextualization; Evangelism; Indonesian Demographic Bonus.</w:t>
            </w:r>
          </w:p>
          <w:p w14:paraId="0265FF40" w14:textId="77777777" w:rsidR="008E2CCF" w:rsidRDefault="006D339D" w:rsidP="00201645">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___________________________________________________________</w:t>
            </w:r>
          </w:p>
          <w:p w14:paraId="087F37E9" w14:textId="77777777" w:rsidR="0001498B" w:rsidRPr="0001498B" w:rsidRDefault="0001498B" w:rsidP="00201645">
            <w:pPr>
              <w:ind w:right="332"/>
              <w:jc w:val="both"/>
              <w:rPr>
                <w:b/>
                <w:bCs/>
              </w:rPr>
            </w:pPr>
            <w:r w:rsidRPr="0001498B">
              <w:rPr>
                <w:i/>
                <w:iCs/>
              </w:rPr>
              <w:t>Keywords: Contextualization Strategy, Paul, Acts, Demographic Bonus</w:t>
            </w:r>
          </w:p>
          <w:p w14:paraId="5A0D2EFB" w14:textId="77777777" w:rsidR="008E2CCF" w:rsidRDefault="008E2CCF" w:rsidP="0080793D">
            <w:pPr>
              <w:pBdr>
                <w:top w:val="nil"/>
                <w:left w:val="nil"/>
                <w:bottom w:val="nil"/>
                <w:right w:val="nil"/>
                <w:between w:val="nil"/>
              </w:pBdr>
              <w:spacing w:line="360" w:lineRule="auto"/>
              <w:jc w:val="both"/>
              <w:rPr>
                <w:rFonts w:ascii="EB Garamond" w:eastAsia="EB Garamond" w:hAnsi="EB Garamond" w:cs="EB Garamond"/>
                <w:color w:val="000000"/>
                <w:sz w:val="20"/>
                <w:szCs w:val="20"/>
              </w:rPr>
            </w:pPr>
          </w:p>
        </w:tc>
      </w:tr>
    </w:tbl>
    <w:p w14:paraId="3CA0E23D" w14:textId="77777777" w:rsidR="008E2CCF" w:rsidRDefault="008E2CCF" w:rsidP="0080793D">
      <w:pPr>
        <w:pBdr>
          <w:top w:val="nil"/>
          <w:left w:val="nil"/>
          <w:bottom w:val="nil"/>
          <w:right w:val="nil"/>
          <w:between w:val="nil"/>
        </w:pBdr>
        <w:spacing w:line="360" w:lineRule="auto"/>
        <w:rPr>
          <w:rFonts w:ascii="Lustria" w:eastAsia="Lustria" w:hAnsi="Lustria" w:cs="Lustria"/>
          <w:color w:val="000000"/>
          <w:sz w:val="16"/>
          <w:szCs w:val="16"/>
        </w:rPr>
        <w:sectPr w:rsidR="008E2CCF">
          <w:headerReference w:type="even" r:id="rId13"/>
          <w:footerReference w:type="even" r:id="rId14"/>
          <w:footerReference w:type="default" r:id="rId15"/>
          <w:headerReference w:type="first" r:id="rId16"/>
          <w:footerReference w:type="first" r:id="rId17"/>
          <w:pgSz w:w="11906" w:h="16838"/>
          <w:pgMar w:top="1418" w:right="1133" w:bottom="1418" w:left="1701" w:header="708" w:footer="708" w:gutter="0"/>
          <w:pgNumType w:start="1"/>
          <w:cols w:space="720"/>
        </w:sectPr>
      </w:pPr>
    </w:p>
    <w:p w14:paraId="0314123C" w14:textId="77777777" w:rsidR="008E2CCF" w:rsidRDefault="008E2CCF" w:rsidP="0080793D">
      <w:pPr>
        <w:widowControl w:val="0"/>
        <w:pBdr>
          <w:top w:val="nil"/>
          <w:left w:val="nil"/>
          <w:bottom w:val="nil"/>
          <w:right w:val="nil"/>
          <w:between w:val="nil"/>
        </w:pBdr>
        <w:spacing w:line="360"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8E2CCF" w14:paraId="625DAAFD" w14:textId="77777777">
        <w:tc>
          <w:tcPr>
            <w:tcW w:w="5111" w:type="dxa"/>
            <w:tcBorders>
              <w:top w:val="single" w:sz="4" w:space="0" w:color="000000"/>
            </w:tcBorders>
          </w:tcPr>
          <w:p w14:paraId="340C33A2" w14:textId="77777777" w:rsidR="008E2CCF" w:rsidRDefault="008E2CCF" w:rsidP="0080793D">
            <w:pPr>
              <w:pBdr>
                <w:top w:val="nil"/>
                <w:left w:val="nil"/>
                <w:bottom w:val="nil"/>
                <w:right w:val="nil"/>
                <w:between w:val="nil"/>
              </w:pBdr>
              <w:spacing w:line="360" w:lineRule="auto"/>
              <w:rPr>
                <w:rFonts w:ascii="Lustria" w:eastAsia="Lustria" w:hAnsi="Lustria" w:cs="Lustria"/>
                <w:color w:val="000000"/>
                <w:sz w:val="16"/>
                <w:szCs w:val="16"/>
              </w:rPr>
            </w:pPr>
          </w:p>
        </w:tc>
        <w:tc>
          <w:tcPr>
            <w:tcW w:w="3556" w:type="dxa"/>
            <w:tcBorders>
              <w:top w:val="single" w:sz="4" w:space="0" w:color="000000"/>
            </w:tcBorders>
          </w:tcPr>
          <w:p w14:paraId="53258B4B" w14:textId="77777777" w:rsidR="008E2CCF" w:rsidRDefault="008E2CCF" w:rsidP="0080793D">
            <w:pPr>
              <w:pBdr>
                <w:top w:val="nil"/>
                <w:left w:val="nil"/>
                <w:bottom w:val="nil"/>
                <w:right w:val="nil"/>
                <w:between w:val="nil"/>
              </w:pBdr>
              <w:tabs>
                <w:tab w:val="left" w:pos="3431"/>
                <w:tab w:val="right" w:pos="4823"/>
              </w:tabs>
              <w:spacing w:line="360" w:lineRule="auto"/>
              <w:jc w:val="right"/>
              <w:rPr>
                <w:rFonts w:ascii="Lustria" w:eastAsia="Lustria" w:hAnsi="Lustria" w:cs="Lustria"/>
                <w:color w:val="000000"/>
                <w:sz w:val="30"/>
                <w:szCs w:val="30"/>
                <w:vertAlign w:val="subscript"/>
              </w:rPr>
            </w:pPr>
          </w:p>
        </w:tc>
      </w:tr>
    </w:tbl>
    <w:p w14:paraId="3E759795" w14:textId="77777777" w:rsidR="008E2CCF" w:rsidRDefault="006D339D" w:rsidP="0080793D">
      <w:pPr>
        <w:spacing w:line="360" w:lineRule="auto"/>
        <w:jc w:val="both"/>
        <w:rPr>
          <w:b/>
        </w:rPr>
      </w:pPr>
      <w:commentRangeStart w:id="8"/>
      <w:r>
        <w:rPr>
          <w:b/>
        </w:rPr>
        <w:t>PENDAHULUAN</w:t>
      </w:r>
      <w:commentRangeEnd w:id="8"/>
      <w:r w:rsidR="00E13C1D">
        <w:rPr>
          <w:rStyle w:val="ReferensiKomentar"/>
          <w:b/>
          <w:sz w:val="24"/>
          <w:szCs w:val="24"/>
        </w:rPr>
        <w:commentReference w:id="8"/>
      </w:r>
    </w:p>
    <w:p w14:paraId="5B94613E" w14:textId="570CF5BD" w:rsidR="0001498B" w:rsidRPr="008E02D7" w:rsidRDefault="0001498B" w:rsidP="0080793D">
      <w:pPr>
        <w:spacing w:line="360" w:lineRule="auto"/>
        <w:ind w:right="283" w:firstLine="720"/>
        <w:jc w:val="both"/>
      </w:pPr>
      <w:commentRangeStart w:id="9"/>
      <w:r w:rsidRPr="008E02D7">
        <w:rPr>
          <w:rFonts w:eastAsia="Times New Roman"/>
          <w:color w:val="000000" w:themeColor="text1"/>
          <w:lang w:eastAsia="en-ID"/>
        </w:rPr>
        <w:t>Di Era Globalisasi</w:t>
      </w:r>
      <w:commentRangeEnd w:id="9"/>
      <w:r w:rsidR="00E13C1D" w:rsidRPr="008E02D7">
        <w:rPr>
          <w:rStyle w:val="ReferensiKomentar"/>
          <w:rFonts w:eastAsia="Times New Roman"/>
          <w:color w:val="000000" w:themeColor="text1"/>
          <w:sz w:val="24"/>
          <w:szCs w:val="24"/>
          <w:lang w:eastAsia="en-ID"/>
        </w:rPr>
        <w:commentReference w:id="9"/>
      </w:r>
      <w:r w:rsidRPr="008E02D7">
        <w:rPr>
          <w:rFonts w:eastAsia="Times New Roman"/>
          <w:color w:val="000000" w:themeColor="text1"/>
          <w:lang w:eastAsia="en-ID"/>
        </w:rPr>
        <w:t>, kehebatan teknologi telah menjadi sebuah tanda kehormatan dan tanda kemajuan suatu bangsa. Suatu negara bisa dianggap maju jika ia mempunyai tingkat dominasi mekanis yang tinggi, sedangkan negara yang tidak bisa menyesuaikan diri dengan kemajuan mekanis sering kali disebut negara yang dibom</w:t>
      </w:r>
      <w:r w:rsidRPr="008E02D7">
        <w:t>).</w:t>
      </w:r>
      <w:r w:rsidRPr="008E02D7">
        <w:rPr>
          <w:rStyle w:val="ReferensiCatatanKaki"/>
        </w:rPr>
        <w:footnoteReference w:id="1"/>
      </w:r>
      <w:r w:rsidRPr="008E02D7">
        <w:t xml:space="preserve"> </w:t>
      </w:r>
      <w:commentRangeStart w:id="10"/>
      <w:r w:rsidRPr="008E02D7">
        <w:t>namun</w:t>
      </w:r>
      <w:commentRangeEnd w:id="10"/>
      <w:r w:rsidR="00E13C1D" w:rsidRPr="008E02D7">
        <w:rPr>
          <w:rStyle w:val="ReferensiKomentar"/>
          <w:sz w:val="24"/>
          <w:szCs w:val="24"/>
        </w:rPr>
        <w:commentReference w:id="10"/>
      </w:r>
      <w:r w:rsidRPr="008E02D7">
        <w:t xml:space="preserve"> ditengah perkembangan zaman dan kemajuan teknologi yang begitu pesat, bangsa Indonesia mengalami Fenomena (bonus demografi), Bonus demografi merupakan kondisi pergeseran rasio kependudukan suatu negara yang ditandai dengan meningkatnya jumlah penduduk usia produktif dibandingkan dengan usia nonproduktif.</w:t>
      </w:r>
      <w:r w:rsidRPr="008E02D7">
        <w:rPr>
          <w:rStyle w:val="ReferensiCatatanKaki"/>
        </w:rPr>
        <w:footnoteReference w:id="2"/>
      </w:r>
      <w:r w:rsidRPr="008E02D7">
        <w:t xml:space="preserve"> Pada tahun 2020-2045 </w:t>
      </w:r>
      <w:commentRangeStart w:id="11"/>
      <w:r w:rsidRPr="008E02D7">
        <w:t xml:space="preserve">indonesia </w:t>
      </w:r>
      <w:commentRangeEnd w:id="11"/>
      <w:r w:rsidR="0086408F" w:rsidRPr="008E02D7">
        <w:rPr>
          <w:rStyle w:val="ReferensiKomentar"/>
          <w:sz w:val="24"/>
          <w:szCs w:val="24"/>
        </w:rPr>
        <w:commentReference w:id="11"/>
      </w:r>
      <w:r w:rsidRPr="008E02D7">
        <w:t>akan mengalami pertambahan jumblah penduduk usia produktif (15-64 tahun) lebih banyak dibandingkan penduduk usia tidak produktif.</w:t>
      </w:r>
      <w:r w:rsidRPr="008E02D7">
        <w:rPr>
          <w:rStyle w:val="ReferensiCatatanKaki"/>
        </w:rPr>
        <w:footnoteReference w:id="3"/>
      </w:r>
      <w:r w:rsidRPr="008E02D7">
        <w:t xml:space="preserve"> Sejak tahun 1971, rentang usia produktif antara 15 dan 64 tahun terus meningkat secara signifikan. Pada tahun 1971 jumlah penduduk usia produktif adalah 53% dari total penduduk dan meningkat menjadi 70 persen pada tahun 2020.</w:t>
      </w:r>
      <w:r w:rsidRPr="008E02D7">
        <w:rPr>
          <w:rStyle w:val="ReferensiCatatanKaki"/>
        </w:rPr>
        <w:footnoteReference w:id="4"/>
      </w:r>
      <w:r w:rsidRPr="008E02D7">
        <w:t xml:space="preserve"> Pada tahun 2018, penduduk Indonesia berjumlah 265 juta orang. Jumlah penduduk Indonesia kemudian bisa mencapai 282 juta pada tahun 2024 dan sekitar 317 juta pada tahun 2045.</w:t>
      </w:r>
      <w:r w:rsidRPr="008E02D7">
        <w:rPr>
          <w:rStyle w:val="ReferensiCatatanKaki"/>
        </w:rPr>
        <w:footnoteReference w:id="5"/>
      </w:r>
      <w:r w:rsidRPr="008E02D7">
        <w:t xml:space="preserve"> Namun tak dapat dipungkiri bahwa saat ini orang usia produktif Indonesia masih mengalami masalah diantaranya, tidak memiliki pekerjaan (pengangguran), Minskin dan paling penting lagi memiliki kerohanian yang tidak baik. </w:t>
      </w:r>
    </w:p>
    <w:p w14:paraId="6663731E" w14:textId="77777777" w:rsidR="0001498B" w:rsidRPr="008E02D7" w:rsidRDefault="0001498B" w:rsidP="0080793D">
      <w:pPr>
        <w:spacing w:line="360" w:lineRule="auto"/>
        <w:ind w:right="283" w:firstLine="720"/>
        <w:jc w:val="both"/>
      </w:pPr>
      <w:r w:rsidRPr="008E02D7">
        <w:t>Dalam penelitian yang berjudul Antisipasi Dan Tantangan Bonus Demografi: Permasalahan Pengangguran Di Indonesia Menuju Tahun 2045 Ira Safitri menjelaskan bahwa Indonesia memiliki suberdaya alam yang melimpah namun masalah yang di hadapi adalah tingkat pengangguran yang tinggi sehingga menyebabkan tingkat kemiskinan yang tinggi.</w:t>
      </w:r>
      <w:r w:rsidRPr="008E02D7">
        <w:rPr>
          <w:rStyle w:val="ReferensiCatatanKaki"/>
        </w:rPr>
        <w:footnoteReference w:id="6"/>
      </w:r>
      <w:r w:rsidRPr="008E02D7">
        <w:t xml:space="preserve"> Yunardi Kristian Zega dalam penelitiannya yang berjudul Pendidikan Agama </w:t>
      </w:r>
      <w:r w:rsidRPr="008E02D7">
        <w:lastRenderedPageBreak/>
        <w:t>Kristen Dalam Keluarga: Upaya Membangun Spiritualitas Remaja Generasi Z menjelaskan bahwa terjadi kemunduran Kerohanian di generasi saat ini  yang di tandai dengan banyak generasi saat ini yang meninggalkan gereja karena cenderung ingin menyenangkan diri sendiri.</w:t>
      </w:r>
      <w:r w:rsidRPr="008E02D7">
        <w:rPr>
          <w:rStyle w:val="ReferensiCatatanKaki"/>
        </w:rPr>
        <w:footnoteReference w:id="7"/>
      </w:r>
      <w:r w:rsidRPr="008E02D7">
        <w:t xml:space="preserve"> Maka generasi saat ini sangat memerlukan Injil supaya mereka mengalami pembaharuan hidup secara holistik dalam kristus, namun di tengah kemajuan teknologi, pemberitaan Injil tidak semudah yang di bayangkan sehingga kontekstualisasi menjadi jawaban penting dalam pemberitaan injil di Era Bonus Demografi Indonesia.</w:t>
      </w:r>
    </w:p>
    <w:p w14:paraId="6B0B9E8A" w14:textId="77777777" w:rsidR="0001498B" w:rsidRPr="008E02D7" w:rsidRDefault="0001498B" w:rsidP="0080793D">
      <w:pPr>
        <w:pStyle w:val="DaftarParagraf"/>
        <w:spacing w:after="0" w:line="360" w:lineRule="auto"/>
        <w:ind w:left="0" w:right="283" w:firstLine="709"/>
        <w:jc w:val="both"/>
        <w:rPr>
          <w:rFonts w:ascii="Times New Roman" w:hAnsi="Times New Roman"/>
          <w:sz w:val="24"/>
          <w:szCs w:val="24"/>
        </w:rPr>
      </w:pPr>
      <w:r w:rsidRPr="008E02D7">
        <w:rPr>
          <w:rFonts w:ascii="Times New Roman" w:hAnsi="Times New Roman"/>
          <w:sz w:val="24"/>
          <w:szCs w:val="24"/>
        </w:rPr>
        <w:t xml:space="preserve">Menurut Yakub Tomatala kontekstual </w:t>
      </w:r>
      <w:bookmarkStart w:id="12" w:name="_Hlk158713368"/>
      <w:r w:rsidRPr="008E02D7">
        <w:rPr>
          <w:rFonts w:ascii="Times New Roman" w:hAnsi="Times New Roman"/>
          <w:sz w:val="24"/>
          <w:szCs w:val="24"/>
        </w:rPr>
        <w:t>adalah sebuah refleksi dari setiap orang Kristen dalam konteks hidupnya atas Injil Yesus Kristus, jadi konteksualisasi adalah sebuah upaya untuk merumuskan dan menjelaskan tentang iman Kristen pada konteks ruang dan waktu yang tertentu.</w:t>
      </w:r>
      <w:r w:rsidRPr="008E02D7">
        <w:rPr>
          <w:rStyle w:val="ReferensiCatatanKaki"/>
          <w:rFonts w:ascii="Times New Roman" w:hAnsi="Times New Roman"/>
          <w:sz w:val="24"/>
          <w:szCs w:val="24"/>
        </w:rPr>
        <w:footnoteReference w:id="8"/>
      </w:r>
      <w:bookmarkEnd w:id="12"/>
      <w:r w:rsidRPr="008E02D7">
        <w:rPr>
          <w:rFonts w:ascii="Times New Roman" w:hAnsi="Times New Roman"/>
          <w:sz w:val="24"/>
          <w:szCs w:val="24"/>
        </w:rPr>
        <w:t xml:space="preserve"> Jadi jelas kontekstualisasi adalah suatu aktivitas atau kesan dari setiap individu yang menaruh kepercayaan pada Tuhan, dengan tujuan akhir untuk menjelaskan keyakinan Kristiani dalam waktu dan konteks tertentu. sehingga di tengah perkembangan zaman dan kemajuan teknologi kontekstualisasi dapat menolong Hamba Tuhan dan orang percaya dalam melaksanakan penginjilan kepada</w:t>
      </w:r>
      <w:r w:rsidRPr="008E02D7">
        <w:rPr>
          <w:rFonts w:ascii="Times New Roman" w:hAnsi="Times New Roman"/>
        </w:rPr>
        <w:t xml:space="preserve"> </w:t>
      </w:r>
      <w:r w:rsidRPr="008E02D7">
        <w:rPr>
          <w:rFonts w:ascii="Times New Roman" w:hAnsi="Times New Roman"/>
          <w:sz w:val="24"/>
          <w:szCs w:val="24"/>
        </w:rPr>
        <w:t>Generasi Produktif Indonesia sehingga mereka mengalami pembaharuan hidup secara holistik dalam Kristus.</w:t>
      </w:r>
    </w:p>
    <w:p w14:paraId="37CE0055" w14:textId="77777777" w:rsidR="0001498B" w:rsidRPr="008E02D7" w:rsidRDefault="0001498B" w:rsidP="0080793D">
      <w:pPr>
        <w:pStyle w:val="DaftarParagraf"/>
        <w:spacing w:after="0" w:line="360" w:lineRule="auto"/>
        <w:ind w:left="0" w:right="283" w:firstLine="709"/>
        <w:jc w:val="both"/>
        <w:rPr>
          <w:rFonts w:ascii="Times New Roman" w:hAnsi="Times New Roman"/>
          <w:sz w:val="24"/>
          <w:szCs w:val="24"/>
        </w:rPr>
      </w:pPr>
      <w:r w:rsidRPr="008E02D7">
        <w:rPr>
          <w:rFonts w:ascii="Times New Roman" w:hAnsi="Times New Roman"/>
          <w:sz w:val="24"/>
          <w:szCs w:val="24"/>
        </w:rPr>
        <w:t>Pada penelitian-penelitian terdahulu tentang kontekstualisasi, Tanama, Pakpahan dan purnama menjelaskan tentang kontekstualisasi para guru Kristen.</w:t>
      </w:r>
      <w:r w:rsidRPr="008E02D7">
        <w:rPr>
          <w:rStyle w:val="ReferensiCatatanKaki"/>
          <w:rFonts w:ascii="Times New Roman" w:hAnsi="Times New Roman"/>
          <w:sz w:val="24"/>
          <w:szCs w:val="24"/>
        </w:rPr>
        <w:footnoteReference w:id="9"/>
      </w:r>
      <w:r w:rsidRPr="008E02D7">
        <w:rPr>
          <w:rFonts w:ascii="Times New Roman" w:hAnsi="Times New Roman"/>
          <w:sz w:val="24"/>
          <w:szCs w:val="24"/>
        </w:rPr>
        <w:t xml:space="preserve"> dimana guru Kristen harus dapat beradaptasi dengan perkembangan teknologi, Selanjutnya kusmanto menjelaskan mengenai pelaksanaan pendekatan penginjilan kontekstual.</w:t>
      </w:r>
      <w:r w:rsidRPr="008E02D7">
        <w:rPr>
          <w:rStyle w:val="ReferensiCatatanKaki"/>
          <w:rFonts w:ascii="Times New Roman" w:hAnsi="Times New Roman"/>
          <w:sz w:val="24"/>
          <w:szCs w:val="24"/>
        </w:rPr>
        <w:footnoteReference w:id="10"/>
      </w:r>
      <w:r w:rsidRPr="008E02D7">
        <w:rPr>
          <w:rFonts w:ascii="Times New Roman" w:hAnsi="Times New Roman"/>
          <w:sz w:val="24"/>
          <w:szCs w:val="24"/>
        </w:rPr>
        <w:t xml:space="preserve"> Dimana fokus penginjilan kontekstual dalam penerapannya bagi kaum muslim di salatiga, Nainggolan, Nome dan Ridolf menjelaskan mengenai pentingnya kontekstualisasi pada Pendidikan kristen</w:t>
      </w:r>
      <w:r w:rsidRPr="008E02D7">
        <w:rPr>
          <w:rStyle w:val="ReferensiCatatanKaki"/>
          <w:rFonts w:ascii="Times New Roman" w:hAnsi="Times New Roman"/>
          <w:sz w:val="24"/>
          <w:szCs w:val="24"/>
        </w:rPr>
        <w:footnoteReference w:id="11"/>
      </w:r>
      <w:r w:rsidRPr="008E02D7">
        <w:rPr>
          <w:rFonts w:ascii="Times New Roman" w:hAnsi="Times New Roman"/>
          <w:sz w:val="24"/>
          <w:szCs w:val="24"/>
        </w:rPr>
        <w:t xml:space="preserve"> guru Kristen harus lebih kreatif dan inovatif sehingga dapat menyesuaikan dengan perkembangan saat ini, selanjutnya penelitan terdahulu terkait pelayanan kontekstualisasi Paulus, Iwan Setiawan dan Banea menjelaskan tentang prinsip kontekstualisasi menurut Kisah Para Rasul 17:16-34.</w:t>
      </w:r>
      <w:r w:rsidRPr="008E02D7">
        <w:rPr>
          <w:rStyle w:val="ReferensiCatatanKaki"/>
          <w:rFonts w:ascii="Times New Roman" w:hAnsi="Times New Roman"/>
          <w:sz w:val="24"/>
          <w:szCs w:val="24"/>
        </w:rPr>
        <w:footnoteReference w:id="12"/>
      </w:r>
      <w:r w:rsidRPr="008E02D7">
        <w:rPr>
          <w:rFonts w:ascii="Times New Roman" w:hAnsi="Times New Roman"/>
          <w:sz w:val="24"/>
          <w:szCs w:val="24"/>
        </w:rPr>
        <w:t xml:space="preserve"> Kisah Para Rasul 17:16-34 memperkenalkan tiga prinsip kontekstualisasi yang Paulus laksanakan kepada orang-orang di Atena, selanjutnya </w:t>
      </w:r>
      <w:r w:rsidRPr="008E02D7">
        <w:rPr>
          <w:rFonts w:ascii="Times New Roman" w:hAnsi="Times New Roman"/>
          <w:sz w:val="24"/>
          <w:szCs w:val="24"/>
        </w:rPr>
        <w:lastRenderedPageBreak/>
        <w:t>Tampubolon menjelaskan mengenai kontekstualisasi metodologi misiologi Paulus dalam Dunia kontemporer.</w:t>
      </w:r>
      <w:r w:rsidRPr="008E02D7">
        <w:rPr>
          <w:rStyle w:val="ReferensiCatatanKaki"/>
          <w:rFonts w:ascii="Times New Roman" w:hAnsi="Times New Roman"/>
          <w:sz w:val="24"/>
          <w:szCs w:val="24"/>
        </w:rPr>
        <w:footnoteReference w:id="13"/>
      </w:r>
      <w:r w:rsidRPr="008E02D7">
        <w:rPr>
          <w:rFonts w:ascii="Times New Roman" w:hAnsi="Times New Roman"/>
          <w:sz w:val="24"/>
          <w:szCs w:val="24"/>
        </w:rPr>
        <w:t xml:space="preserve"> Metodologi Paulus tidak dapat dipisahkan dengan teologi Paulus sehingga bagian ini secara spesifik juga menjelaskan mengenai konsep teologi Paulus.</w:t>
      </w:r>
    </w:p>
    <w:p w14:paraId="08EA883B" w14:textId="15426932" w:rsidR="0001498B" w:rsidRPr="008E02D7" w:rsidRDefault="0001498B" w:rsidP="00201645">
      <w:pPr>
        <w:pStyle w:val="DaftarParagraf"/>
        <w:spacing w:after="0" w:line="360" w:lineRule="auto"/>
        <w:ind w:left="0" w:right="283" w:firstLine="709"/>
        <w:jc w:val="both"/>
        <w:rPr>
          <w:rFonts w:ascii="Times New Roman" w:hAnsi="Times New Roman"/>
          <w:sz w:val="24"/>
          <w:szCs w:val="24"/>
        </w:rPr>
      </w:pPr>
      <w:r w:rsidRPr="008E02D7">
        <w:rPr>
          <w:rFonts w:ascii="Times New Roman" w:hAnsi="Times New Roman"/>
          <w:sz w:val="24"/>
          <w:szCs w:val="24"/>
        </w:rPr>
        <w:t xml:space="preserve">Dalam penelitian terdahulu yang membahas mengenai kontekstualisasi fokus pembahasan lebih kepada </w:t>
      </w:r>
      <w:commentRangeStart w:id="13"/>
      <w:r w:rsidRPr="008E02D7">
        <w:rPr>
          <w:rFonts w:ascii="Times New Roman" w:hAnsi="Times New Roman"/>
          <w:sz w:val="24"/>
          <w:szCs w:val="24"/>
        </w:rPr>
        <w:t>membawah</w:t>
      </w:r>
      <w:commentRangeEnd w:id="13"/>
      <w:r w:rsidR="0086408F" w:rsidRPr="008E02D7">
        <w:rPr>
          <w:rStyle w:val="ReferensiKomentar"/>
          <w:rFonts w:ascii="Times New Roman" w:hAnsi="Times New Roman"/>
          <w:sz w:val="24"/>
          <w:szCs w:val="24"/>
        </w:rPr>
        <w:commentReference w:id="13"/>
      </w:r>
      <w:r w:rsidRPr="008E02D7">
        <w:rPr>
          <w:rFonts w:ascii="Times New Roman" w:hAnsi="Times New Roman"/>
          <w:sz w:val="24"/>
          <w:szCs w:val="24"/>
        </w:rPr>
        <w:t xml:space="preserve"> guru untuk lebih kreatfi dan lebih melihat serta</w:t>
      </w:r>
      <w:r w:rsidRPr="008E02D7">
        <w:rPr>
          <w:rFonts w:ascii="Times New Roman" w:hAnsi="Times New Roman"/>
        </w:rPr>
        <w:t xml:space="preserve"> </w:t>
      </w:r>
      <w:r w:rsidRPr="008E02D7">
        <w:rPr>
          <w:rFonts w:ascii="Times New Roman" w:hAnsi="Times New Roman"/>
          <w:sz w:val="24"/>
          <w:szCs w:val="24"/>
        </w:rPr>
        <w:t>mengikuti perkembangan zaman, penyesuaian tersebut baik secara pratis serta pengajaran atau dogma.</w:t>
      </w:r>
      <w:r w:rsidR="00201645">
        <w:rPr>
          <w:rFonts w:ascii="Times New Roman" w:hAnsi="Times New Roman"/>
          <w:sz w:val="24"/>
          <w:szCs w:val="24"/>
          <w:lang w:val="en-US"/>
        </w:rPr>
        <w:t xml:space="preserve"> </w:t>
      </w:r>
      <w:r w:rsidRPr="008E02D7">
        <w:rPr>
          <w:rFonts w:ascii="Times New Roman" w:hAnsi="Times New Roman"/>
          <w:sz w:val="24"/>
          <w:szCs w:val="24"/>
        </w:rPr>
        <w:t xml:space="preserve">Berdasarkan penelitian terdahulu penulis tidak melihat secara spesifik membahas mengenai strategi kontekstualisasi Paulus menurut </w:t>
      </w:r>
      <w:commentRangeStart w:id="14"/>
      <w:r w:rsidRPr="008E02D7">
        <w:rPr>
          <w:rFonts w:ascii="Times New Roman" w:hAnsi="Times New Roman"/>
          <w:sz w:val="24"/>
          <w:szCs w:val="24"/>
        </w:rPr>
        <w:t xml:space="preserve">kisah para rasul </w:t>
      </w:r>
      <w:commentRangeEnd w:id="14"/>
      <w:r w:rsidR="0086408F" w:rsidRPr="008E02D7">
        <w:rPr>
          <w:rStyle w:val="ReferensiKomentar"/>
          <w:rFonts w:ascii="Times New Roman" w:hAnsi="Times New Roman"/>
          <w:sz w:val="24"/>
          <w:szCs w:val="24"/>
        </w:rPr>
        <w:commentReference w:id="14"/>
      </w:r>
      <w:r w:rsidRPr="008E02D7">
        <w:rPr>
          <w:rFonts w:ascii="Times New Roman" w:hAnsi="Times New Roman"/>
          <w:sz w:val="24"/>
          <w:szCs w:val="24"/>
        </w:rPr>
        <w:t>dimana fokus penelitian tersebut kepada pengajaran serta pratisi kontekstualisasi, sehingga fokus penelitian penulis ialah strategi kontekstualisasi Paulus menurut kisah para rasul bagi penginjilan di era bonus demografi Indonesia, sehingga yang menjadi ciri khas dari tulisan ini adalah menemukan Strategi-strategi kontekstualisasi yang Paulus lakukan dalam kisah para rasul: 1) menghargai kebudayaan sebagai strategi kontekstualisasi (Kis 17: 22-23), 2) pengembangan potensi diri menjadi strategi kontekstualisasi (Kis 18:1-4), 3) penggunaan Bahasa yang tepat menjadi strategi kontekstualisasi (Kis 22:1-3). Penelitian ini bertujuan untuk menemukan strategi kontekstualisasi Paulus serta memberikan sumbangsi dalam pelayanan penginjilan di Era Bonus demografi Indonesia.</w:t>
      </w:r>
    </w:p>
    <w:p w14:paraId="2D29689C" w14:textId="287902B9" w:rsidR="008E2CCF" w:rsidRDefault="008E2CCF" w:rsidP="0080793D">
      <w:pPr>
        <w:spacing w:line="360" w:lineRule="auto"/>
        <w:ind w:firstLine="720"/>
        <w:jc w:val="both"/>
        <w:sectPr w:rsidR="008E2CCF">
          <w:pgSz w:w="11906" w:h="16838"/>
          <w:pgMar w:top="1418" w:right="1133" w:bottom="1418" w:left="1701" w:header="708" w:footer="708" w:gutter="0"/>
          <w:cols w:space="720"/>
        </w:sectPr>
      </w:pPr>
    </w:p>
    <w:p w14:paraId="289EFA45" w14:textId="77777777" w:rsidR="008E2CCF" w:rsidRDefault="008E2CCF" w:rsidP="0080793D">
      <w:pPr>
        <w:pBdr>
          <w:top w:val="nil"/>
          <w:left w:val="nil"/>
          <w:bottom w:val="nil"/>
          <w:right w:val="nil"/>
          <w:between w:val="nil"/>
        </w:pBdr>
        <w:spacing w:line="360" w:lineRule="auto"/>
        <w:jc w:val="both"/>
        <w:rPr>
          <w:rFonts w:eastAsia="Times New Roman"/>
          <w:color w:val="000000"/>
        </w:rPr>
      </w:pPr>
    </w:p>
    <w:p w14:paraId="75F3FB7C" w14:textId="77777777" w:rsidR="008E2CCF" w:rsidRDefault="006D339D" w:rsidP="0080793D">
      <w:pPr>
        <w:tabs>
          <w:tab w:val="left" w:pos="284"/>
        </w:tabs>
        <w:spacing w:line="360" w:lineRule="auto"/>
        <w:jc w:val="both"/>
        <w:rPr>
          <w:b/>
        </w:rPr>
      </w:pPr>
      <w:r>
        <w:rPr>
          <w:b/>
        </w:rPr>
        <w:t xml:space="preserve">METODE </w:t>
      </w:r>
      <w:commentRangeStart w:id="15"/>
      <w:r>
        <w:rPr>
          <w:b/>
        </w:rPr>
        <w:t>PENELITIAN</w:t>
      </w:r>
      <w:commentRangeEnd w:id="15"/>
      <w:r w:rsidR="005E6642">
        <w:rPr>
          <w:rStyle w:val="ReferensiKomentar"/>
          <w:b/>
          <w:sz w:val="24"/>
          <w:szCs w:val="24"/>
        </w:rPr>
        <w:commentReference w:id="15"/>
      </w:r>
    </w:p>
    <w:p w14:paraId="2C03BCC2" w14:textId="6FFBC263" w:rsidR="008E2CCF" w:rsidRPr="008E02D7" w:rsidRDefault="008E02D7" w:rsidP="0080793D">
      <w:pPr>
        <w:spacing w:line="360" w:lineRule="auto"/>
        <w:ind w:firstLine="720"/>
        <w:jc w:val="both"/>
      </w:pPr>
      <w:r w:rsidRPr="008E02D7">
        <w:t>Metode penelitian yang peneliti gunakan di dalam penelitian ini adalah fenomenologis dengan pendekatan kualitatif. Metode penelitian yang digunakan untuk meneliti pada kondisi obyek yang alamiah, di mana peneliti merupakan instrumen kunci, teknik pengumpulan data dilakukan secara triangulasi, analisa data bersifat induktif, dan hasil penelitian kualitatif lebih menekankan makna daripada generalisasi. Metode penelitian kualitatif juga menghasilkan data deskiptif berupa kata-kata tertulis atau pun secara lisan dari orang-orang dan perilaku yang dapat diamati.</w:t>
      </w:r>
      <w:r w:rsidRPr="008E02D7">
        <w:rPr>
          <w:rStyle w:val="ReferensiCatatanKaki"/>
        </w:rPr>
        <w:footnoteReference w:id="14"/>
      </w:r>
      <w:r w:rsidRPr="008E02D7">
        <w:t xml:space="preserve"> Selain itu dalam mengumpulkan data data yang baik maka penulis melakukan eksposisi dengan mengumpulkan data yang berkaitan dengan objek serta suatu pola yang mendasar. Melalui metode kulitatif penulis akan mencari dan mengumpulak data dengan menganalisi beberapa teks dalam Kisah Para Rasul, serta menggunakan beberapa terjemahan</w:t>
      </w:r>
      <w:r w:rsidR="006D339D" w:rsidRPr="008E02D7">
        <w:t xml:space="preserve">, </w:t>
      </w:r>
      <w:r w:rsidRPr="008E02D7">
        <w:t>dan buku refrensi untuk mengetahui tentang strategi kontekstualisasi Paulus yang benar melalui teks tersebut.</w:t>
      </w:r>
    </w:p>
    <w:p w14:paraId="08C92678" w14:textId="77777777" w:rsidR="008E2CCF" w:rsidRDefault="006D339D" w:rsidP="0080793D">
      <w:pPr>
        <w:spacing w:line="360" w:lineRule="auto"/>
        <w:jc w:val="both"/>
        <w:rPr>
          <w:b/>
        </w:rPr>
      </w:pPr>
      <w:r>
        <w:rPr>
          <w:b/>
        </w:rPr>
        <w:lastRenderedPageBreak/>
        <w:t>HASIL DAN PEMBAHASAN</w:t>
      </w:r>
    </w:p>
    <w:p w14:paraId="7F4A16C5" w14:textId="77777777" w:rsidR="008E02D7" w:rsidRPr="00FB1183" w:rsidRDefault="008E02D7" w:rsidP="0080793D">
      <w:pPr>
        <w:spacing w:line="360" w:lineRule="auto"/>
        <w:ind w:firstLine="720"/>
        <w:jc w:val="both"/>
      </w:pPr>
      <w:r w:rsidRPr="00FB1183">
        <w:t>Penulis akan memaparkan strategi-strategi kontekstualisasi Paulus yang penulis temukan dalam Kisah Para Rasul yang akan di terapkan bagi penginjilan di era bonus demografi Indonesia. Secara teori kontekstual telah dikembangkan sejak tahun 1972, kemudian pada perkembangannya terus digunakan sesuai dengan konteks zaman, teori ini memberi penekanan pada pemberitaan Injil dengan memperhatikan konteks budaya serta berbagai perubahan yang sedang terjadi.</w:t>
      </w:r>
      <w:r w:rsidRPr="00FB1183">
        <w:rPr>
          <w:rStyle w:val="ReferensiCatatanKaki"/>
        </w:rPr>
        <w:footnoteReference w:id="15"/>
      </w:r>
      <w:r w:rsidRPr="00FB1183">
        <w:t xml:space="preserve"> Maka kontekstualisasi dalam pembahasan penulis berhubungan dengan strategi-strategi kontekstual yang Paulus lakukan menurut Kisah Para Rasul yaitu dengan menghargai kebudayaan, mengembangkan potensi dan menggunakan Bahasa yang tepat.</w:t>
      </w:r>
    </w:p>
    <w:p w14:paraId="585879F4" w14:textId="77777777" w:rsidR="008E02D7" w:rsidRPr="00FB1183" w:rsidRDefault="008E02D7" w:rsidP="0080793D">
      <w:pPr>
        <w:spacing w:line="360" w:lineRule="auto"/>
        <w:jc w:val="both"/>
      </w:pPr>
    </w:p>
    <w:p w14:paraId="554B5F2E" w14:textId="77777777" w:rsidR="008E02D7" w:rsidRPr="00FB1183" w:rsidRDefault="008E02D7" w:rsidP="00201645">
      <w:pPr>
        <w:spacing w:line="360" w:lineRule="auto"/>
        <w:rPr>
          <w:b/>
          <w:bCs/>
        </w:rPr>
      </w:pPr>
      <w:r w:rsidRPr="00FB1183">
        <w:rPr>
          <w:b/>
          <w:bCs/>
        </w:rPr>
        <w:t>Menghargai Kebudayaan Menjadi Strategi Kontekstualisasi Paulus (Kis 17:22-23)</w:t>
      </w:r>
    </w:p>
    <w:p w14:paraId="49E631E7" w14:textId="77777777" w:rsidR="008E02D7" w:rsidRPr="00FB1183" w:rsidRDefault="008E02D7" w:rsidP="0080793D">
      <w:pPr>
        <w:spacing w:line="360" w:lineRule="auto"/>
        <w:ind w:firstLine="426"/>
        <w:jc w:val="both"/>
      </w:pPr>
      <w:r w:rsidRPr="00FB1183">
        <w:t>Kata “sangat beribadah” dalam bahasa Yunani menggunakan kata δεισιδαιμονεστέρους kata ini (adjective masculine plural accusative comparative) yang juga dapat diartikan yang sangat religius.</w:t>
      </w:r>
      <w:r w:rsidRPr="00FB1183">
        <w:rPr>
          <w:rStyle w:val="ReferensiCatatanKaki"/>
        </w:rPr>
        <w:footnoteReference w:id="16"/>
      </w:r>
      <w:r w:rsidRPr="00FB1183">
        <w:t xml:space="preserve"> Kata ini berasal dari kata dasar δεισιδαίμων (deisidaimon) yang berarti religius, kata ini digunakan sebanyak 1 kali dalam perjanjian baru.</w:t>
      </w:r>
      <w:r w:rsidRPr="00FB1183">
        <w:rPr>
          <w:rStyle w:val="ReferensiCatatanKaki"/>
        </w:rPr>
        <w:footnoteReference w:id="17"/>
      </w:r>
      <w:r w:rsidRPr="00FB1183">
        <w:t xml:space="preserve"> Berangkat dari kata dasar maka penulis menyimpulkan arti kata ini adalah religius. NIV menerjemahkan kata ini dengan kata religius yang berarti keagamaan, sedangakan dalam Bahasa Indonesia Sehari-hari menggunakan kata sangat beragama.</w:t>
      </w:r>
      <w:r w:rsidRPr="00FB1183">
        <w:rPr>
          <w:rStyle w:val="ReferensiCatatanKaki"/>
        </w:rPr>
        <w:footnoteReference w:id="18"/>
      </w:r>
      <w:r w:rsidRPr="00FB1183">
        <w:t xml:space="preserve"> Kata ini adalah kata sifat berjenis kelamin laki-laki, jamak accusative comparative, accusative sendiri menujuk kepada suatu objek. Maka penulis menyimpulkan bahwa yang sangat religius atau yang sangat beragama adalah orang-orang yang ada di Atena. Komparatif ingin menunjukkan sesuatu yang dilakukan itu suatu yang lebih, dalam teks ini digunakan kata sangat, hal ini merupakan apresiasi Paulus bahwa orang-orang Athena sangat beribadah atau sangat religius.</w:t>
      </w:r>
    </w:p>
    <w:p w14:paraId="1F154B6E" w14:textId="77777777" w:rsidR="008E02D7" w:rsidRPr="00FB1183" w:rsidRDefault="008E02D7" w:rsidP="0080793D">
      <w:pPr>
        <w:spacing w:line="360" w:lineRule="auto"/>
        <w:ind w:firstLine="426"/>
        <w:jc w:val="both"/>
      </w:pPr>
      <w:r w:rsidRPr="00FB1183">
        <w:t>Dalam Analytical Greek Lexicon menerjemahkan dengan kata of carefulness and precision, in religion religious yang berarti ketelitian dalam beragama. Sedangkan dalam Greek english Dictionary menerjemahkan bagian ini dengan kata Very religions yang berarti sangat beragama.</w:t>
      </w:r>
      <w:r w:rsidRPr="00FB1183">
        <w:rPr>
          <w:rStyle w:val="ReferensiCatatanKaki"/>
        </w:rPr>
        <w:footnoteReference w:id="19"/>
      </w:r>
      <w:r w:rsidRPr="00FB1183">
        <w:t xml:space="preserve"> Menurut Eka Darmaputera, “cinta” menjadi titik awal Paulus dalam mengajarkan Injil, dimana dengan menghargai dan memujanya ia dipandang sebagai orang </w:t>
      </w:r>
      <w:r w:rsidRPr="00FB1183">
        <w:lastRenderedPageBreak/>
        <w:t>yang sungguh-sungguh menghargai keyakinan masing-masing orang.</w:t>
      </w:r>
      <w:r w:rsidRPr="00FB1183">
        <w:rPr>
          <w:rStyle w:val="ReferensiCatatanKaki"/>
        </w:rPr>
        <w:footnoteReference w:id="20"/>
      </w:r>
      <w:r w:rsidRPr="00FB1183">
        <w:t xml:space="preserve"> Sementara itu, Carlton mengklaim bahwa penggunaan frasa "sangat saleh" oleh Paulus untuk menggambarkan orang Athena sebagai "sangat saleh" adalah pujian yang dimaksudkan untuk menarik perhatian mereka.</w:t>
      </w:r>
      <w:r w:rsidRPr="00FB1183">
        <w:rPr>
          <w:rStyle w:val="ReferensiCatatanKaki"/>
        </w:rPr>
        <w:footnoteReference w:id="21"/>
      </w:r>
      <w:r w:rsidRPr="00FB1183">
        <w:t xml:space="preserve"> Maka kesimpulannya adalah bagian ini menjelaskan strategi kontekstualisasi yang Paulus lakukan kepada orang-orang di Atena dengan cara menghormati kebudayaan dan menghargai kepercayaan setempat. Setelah melaksanakan hal ini barulah Paulus menyampaikan Injil kepada mereka. Jelas ini menjadi strategi kontekstualisasi yang Paulus laksanakan terhadap orang orang atena, dan hal ini juga baik untuk kita terapkan di era bonus demografi Indonesia dimana baiklah kita untuk menghargai kebudayaan serta kebiasaan generasi produktif Indonesia dan lewat hal itu kita dapat menyetakan injil bagi mereka.</w:t>
      </w:r>
    </w:p>
    <w:p w14:paraId="7F1A5261" w14:textId="77777777" w:rsidR="00201645" w:rsidRDefault="00201645" w:rsidP="0080793D">
      <w:pPr>
        <w:spacing w:line="360" w:lineRule="auto"/>
        <w:rPr>
          <w:b/>
          <w:bCs/>
        </w:rPr>
      </w:pPr>
    </w:p>
    <w:p w14:paraId="47A438BC" w14:textId="2FCA4DE0" w:rsidR="008E02D7" w:rsidRPr="00FB1183" w:rsidRDefault="008E02D7" w:rsidP="0080793D">
      <w:pPr>
        <w:spacing w:line="360" w:lineRule="auto"/>
        <w:rPr>
          <w:b/>
          <w:bCs/>
        </w:rPr>
      </w:pPr>
      <w:r w:rsidRPr="00FB1183">
        <w:rPr>
          <w:b/>
          <w:bCs/>
        </w:rPr>
        <w:t>Pengembangan Potensi Diri Menjadi Strategi Kontekstualisasi Paulus (Kis 18:1-3)</w:t>
      </w:r>
    </w:p>
    <w:p w14:paraId="02216D0D" w14:textId="77777777" w:rsidR="008E02D7" w:rsidRPr="00FB1183" w:rsidRDefault="008E02D7" w:rsidP="0080793D">
      <w:pPr>
        <w:tabs>
          <w:tab w:val="left" w:pos="2926"/>
        </w:tabs>
        <w:spacing w:line="360" w:lineRule="auto"/>
        <w:jc w:val="both"/>
      </w:pPr>
      <w:r w:rsidRPr="00FB1183">
        <w:t xml:space="preserve">           Kata “Pekerjaan yang sama” dalam Bahasa Yunani (Omotekhnon) kata ini (Adjective, Masculin,singular Accusative, no degree) yang berarti juga berkepandaian sama.</w:t>
      </w:r>
      <w:r w:rsidRPr="00FB1183">
        <w:rPr>
          <w:rStyle w:val="ReferensiCatatanKaki"/>
        </w:rPr>
        <w:footnoteReference w:id="22"/>
      </w:r>
      <w:r w:rsidRPr="00FB1183">
        <w:t xml:space="preserve"> Kata ini berasal dari kata dasar (homotekhnos) yang berarti yang berkepandaian sama, kata ini digunakan sebanyak 1 kali dalam perjanjian baru.</w:t>
      </w:r>
      <w:r w:rsidRPr="00FB1183">
        <w:rPr>
          <w:rStyle w:val="ReferensiCatatanKaki"/>
        </w:rPr>
        <w:footnoteReference w:id="23"/>
      </w:r>
      <w:r w:rsidRPr="00FB1183">
        <w:t xml:space="preserve"> Berangkat dari kata dasar penulis menyimpulkan kata ini adalah kepandaian yang sama. NIV menjelaskan bagian ini menjadi </w:t>
      </w:r>
      <w:r w:rsidRPr="00FB1183">
        <w:rPr>
          <w:i/>
          <w:iCs/>
        </w:rPr>
        <w:t>a tentmaker</w:t>
      </w:r>
      <w:r w:rsidRPr="00FB1183">
        <w:t xml:space="preserve"> yang artinya seorang pembuat Tenda, dalam BIS menggunakan kata mata pencaharian yang sama.</w:t>
      </w:r>
      <w:r w:rsidRPr="00FB1183">
        <w:rPr>
          <w:rStyle w:val="ReferensiCatatanKaki"/>
        </w:rPr>
        <w:footnoteReference w:id="24"/>
      </w:r>
      <w:r w:rsidRPr="00FB1183">
        <w:t xml:space="preserve"> Kata ini adalah kata sifat berjenis kelamin laki-laki, jamak accusative comparative, accusative sendiri menujuk kepada suatu objek. Maka penulis menyimpulkan bahwa keduanya memiliki kepandaian atau skill yang sama, sedangkan no degree menjelaskan tenang kesetaraan atau tidak ada yang lebih dan tidak ada yang kurang (setara). Dalam </w:t>
      </w:r>
      <w:r w:rsidRPr="00FB1183">
        <w:rPr>
          <w:rFonts w:eastAsia="Times New Roman"/>
          <w:lang w:eastAsia="en-ID"/>
        </w:rPr>
        <w:t xml:space="preserve">Exegetical dictionary of the new Testament (EDNT) menggunakan kata </w:t>
      </w:r>
      <w:r w:rsidRPr="00FB1183">
        <w:rPr>
          <w:rFonts w:eastAsia="Times New Roman"/>
          <w:i/>
          <w:iCs/>
          <w:lang w:eastAsia="en-ID"/>
        </w:rPr>
        <w:t>tentmaker</w:t>
      </w:r>
      <w:r w:rsidRPr="00FB1183">
        <w:t xml:space="preserve"> yang berarti pembuat tenda.</w:t>
      </w:r>
      <w:r w:rsidRPr="00FB1183">
        <w:rPr>
          <w:rStyle w:val="ReferensiCatatanKaki"/>
        </w:rPr>
        <w:footnoteReference w:id="25"/>
      </w:r>
      <w:r w:rsidRPr="00FB1183">
        <w:t xml:space="preserve"> </w:t>
      </w:r>
      <w:r w:rsidRPr="00FB1183">
        <w:rPr>
          <w:rFonts w:eastAsia="Times New Roman"/>
          <w:lang w:eastAsia="en-ID"/>
        </w:rPr>
        <w:t xml:space="preserve">Sedangkan dalam Vine’s Expocitory Dictionary of </w:t>
      </w:r>
      <w:r w:rsidRPr="00FB1183">
        <w:rPr>
          <w:rFonts w:eastAsia="Times New Roman"/>
          <w:lang w:eastAsia="en-ID"/>
        </w:rPr>
        <w:lastRenderedPageBreak/>
        <w:t xml:space="preserve">the New Testament, kata </w:t>
      </w:r>
      <w:r w:rsidRPr="00FB1183">
        <w:rPr>
          <w:rFonts w:eastAsia="Times New Roman"/>
          <w:i/>
          <w:iCs/>
          <w:lang w:eastAsia="en-ID"/>
        </w:rPr>
        <w:t xml:space="preserve">Tentmakers </w:t>
      </w:r>
      <w:r w:rsidRPr="00FB1183">
        <w:rPr>
          <w:rFonts w:eastAsia="Times New Roman"/>
          <w:lang w:eastAsia="en-ID"/>
        </w:rPr>
        <w:t>yang berarti pembuat tenda.</w:t>
      </w:r>
      <w:r w:rsidRPr="00FB1183">
        <w:rPr>
          <w:rStyle w:val="ReferensiCatatanKaki"/>
          <w:rFonts w:eastAsia="Times New Roman"/>
          <w:lang w:eastAsia="en-ID"/>
        </w:rPr>
        <w:footnoteReference w:id="26"/>
      </w:r>
      <w:r w:rsidRPr="00FB1183">
        <w:rPr>
          <w:rFonts w:eastAsia="Times New Roman"/>
          <w:lang w:eastAsia="en-ID"/>
        </w:rPr>
        <w:t xml:space="preserve"> </w:t>
      </w:r>
      <w:r w:rsidRPr="00FB1183">
        <w:t>Maka dalam bagian ini mau menjelaskan tentang kesamaan skill atau kepandaian dari Paulus dan Akwila yaitu sebagai seorang tentmaker atau pembuat tenda.</w:t>
      </w:r>
    </w:p>
    <w:p w14:paraId="625A6815" w14:textId="77777777" w:rsidR="008E02D7" w:rsidRPr="00FB1183" w:rsidRDefault="008E02D7" w:rsidP="0080793D">
      <w:pPr>
        <w:shd w:val="clear" w:color="auto" w:fill="FDFDFD"/>
        <w:spacing w:line="360" w:lineRule="auto"/>
        <w:ind w:firstLine="720"/>
        <w:jc w:val="both"/>
        <w:rPr>
          <w:rFonts w:eastAsia="Times New Roman"/>
          <w:lang w:eastAsia="en-ID"/>
        </w:rPr>
      </w:pPr>
      <w:r w:rsidRPr="00FB1183">
        <w:t>Kata “Mereka Bekerja” dalam Bahasa Yunani menggunakan kata (ergazeto), kata ini adalah (Verb, third person, Singular, Imperfect, Middle, indicative) yang berarti mereka bekerja.</w:t>
      </w:r>
      <w:r w:rsidRPr="00FB1183">
        <w:rPr>
          <w:rStyle w:val="ReferensiCatatanKaki"/>
        </w:rPr>
        <w:footnoteReference w:id="27"/>
      </w:r>
      <w:r w:rsidRPr="00FB1183">
        <w:t xml:space="preserve"> Kata ini berasal dari kata dasar (ergazomai) yang berarti Bekerja, Berdagang, berbuat, menghasilkan. Kata ini digunakan sebanyak 41 kali dalam perjanjian baru.</w:t>
      </w:r>
      <w:r w:rsidRPr="00FB1183">
        <w:rPr>
          <w:rStyle w:val="ReferensiCatatanKaki"/>
        </w:rPr>
        <w:footnoteReference w:id="28"/>
      </w:r>
      <w:r w:rsidRPr="00FB1183">
        <w:t xml:space="preserve"> Berangkat dari kata dasar penulis menyimpulkan bahwa kata ini adalah bekerja. Dalam NIV menggunakan kata worked yang artinya bekerja, dalam BIS juga menggunakan kata bekerja.</w:t>
      </w:r>
      <w:r w:rsidRPr="00FB1183">
        <w:rPr>
          <w:rStyle w:val="ReferensiCatatanKaki"/>
        </w:rPr>
        <w:footnoteReference w:id="29"/>
      </w:r>
      <w:r w:rsidRPr="00FB1183">
        <w:t xml:space="preserve"> Kata ini adalah kata kerja orang ketiga tunggal Imperfect middle indicative. imperfect menjelaskan sesuatu hal yang telah di lakukan dan bisa berkali-kali atau terus menerus dilakukan sedangkan middle menjelaskan tentang kesungguhan, dedikasi dan totalitas dalam melakukan sesuatu, indicative adalah penegasan bahwa tindakan itu sebuah keyakinan atau realitas. Oleh sebab itu penulis menyimpulkan kata ini menjelaskan suatu tindakan yang sedang dilakukan dan dia melakukannya dengan kesungguhan hatinya dimana tindakan tersebut ialah Paulus melaksanakan pekerjaan secara Bersama sama dengan Akwila selagi ia tinggal Bersama mereka. Dalam </w:t>
      </w:r>
      <w:r w:rsidRPr="00FB1183">
        <w:rPr>
          <w:rFonts w:eastAsia="Times New Roman"/>
          <w:lang w:eastAsia="en-ID"/>
        </w:rPr>
        <w:t xml:space="preserve">Exegetical dictionary of the new Testament (EDNT) menggunakan kata </w:t>
      </w:r>
      <w:r w:rsidRPr="00FB1183">
        <w:rPr>
          <w:rFonts w:eastAsia="Times New Roman"/>
          <w:i/>
          <w:iCs/>
          <w:lang w:eastAsia="en-ID"/>
        </w:rPr>
        <w:t xml:space="preserve">work, accomplish, carry out </w:t>
      </w:r>
      <w:r w:rsidRPr="00FB1183">
        <w:rPr>
          <w:rFonts w:eastAsia="Times New Roman"/>
          <w:lang w:eastAsia="en-ID"/>
        </w:rPr>
        <w:t>yang berarti bekerja, menyelesaikan, melaksanakan.</w:t>
      </w:r>
      <w:r w:rsidRPr="00FB1183">
        <w:rPr>
          <w:rStyle w:val="ReferensiCatatanKaki"/>
          <w:rFonts w:eastAsia="Times New Roman"/>
          <w:lang w:eastAsia="en-ID"/>
        </w:rPr>
        <w:footnoteReference w:id="30"/>
      </w:r>
      <w:r w:rsidRPr="00FB1183">
        <w:rPr>
          <w:rFonts w:eastAsia="Times New Roman"/>
          <w:lang w:eastAsia="en-ID"/>
        </w:rPr>
        <w:t xml:space="preserve"> Sedangan </w:t>
      </w:r>
      <w:r w:rsidRPr="00FB1183">
        <w:rPr>
          <w:rFonts w:eastAsia="Times New Roman"/>
          <w:i/>
          <w:iCs/>
          <w:lang w:eastAsia="en-ID"/>
        </w:rPr>
        <w:t>Theological Dictionary of the New Testament (TDNT</w:t>
      </w:r>
      <w:r w:rsidRPr="00FB1183">
        <w:rPr>
          <w:rFonts w:eastAsia="Times New Roman"/>
          <w:lang w:eastAsia="en-ID"/>
        </w:rPr>
        <w:t xml:space="preserve">) menjelaskan  </w:t>
      </w:r>
      <w:r w:rsidRPr="00FB1183">
        <w:rPr>
          <w:i/>
          <w:iCs/>
          <w:color w:val="000000"/>
        </w:rPr>
        <w:t xml:space="preserve">They both denote action or active zeal in contrast to idleness </w:t>
      </w:r>
      <w:r w:rsidRPr="00FB1183">
        <w:rPr>
          <w:color w:val="000000"/>
        </w:rPr>
        <w:t xml:space="preserve">or </w:t>
      </w:r>
      <w:r w:rsidRPr="00FB1183">
        <w:rPr>
          <w:i/>
          <w:iCs/>
          <w:color w:val="000000"/>
        </w:rPr>
        <w:t xml:space="preserve">useful activity in contrast to useless busy-ness </w:t>
      </w:r>
      <w:r w:rsidRPr="00FB1183">
        <w:rPr>
          <w:rStyle w:val="ts-alignment-element"/>
        </w:rPr>
        <w:t>yang berarti bahwa Keduanya</w:t>
      </w:r>
      <w:r w:rsidRPr="00FB1183">
        <w:t xml:space="preserve"> </w:t>
      </w:r>
      <w:r w:rsidRPr="00FB1183">
        <w:rPr>
          <w:rStyle w:val="ts-alignment-element"/>
        </w:rPr>
        <w:t>menunjukkan</w:t>
      </w:r>
      <w:r w:rsidRPr="00FB1183">
        <w:t xml:space="preserve"> </w:t>
      </w:r>
      <w:r w:rsidRPr="00FB1183">
        <w:rPr>
          <w:rStyle w:val="ts-alignment-element"/>
        </w:rPr>
        <w:t>tindakan</w:t>
      </w:r>
      <w:r w:rsidRPr="00FB1183">
        <w:t xml:space="preserve"> </w:t>
      </w:r>
      <w:r w:rsidRPr="00FB1183">
        <w:rPr>
          <w:rStyle w:val="ts-alignment-element"/>
        </w:rPr>
        <w:t>atau</w:t>
      </w:r>
      <w:r w:rsidRPr="00FB1183">
        <w:t xml:space="preserve"> </w:t>
      </w:r>
      <w:r w:rsidRPr="00FB1183">
        <w:rPr>
          <w:rStyle w:val="ts-alignment-element"/>
        </w:rPr>
        <w:t>semangat</w:t>
      </w:r>
      <w:r w:rsidRPr="00FB1183">
        <w:t xml:space="preserve"> </w:t>
      </w:r>
      <w:r w:rsidRPr="00FB1183">
        <w:rPr>
          <w:rStyle w:val="ts-alignment-element"/>
        </w:rPr>
        <w:t>aktif</w:t>
      </w:r>
      <w:r w:rsidRPr="00FB1183">
        <w:t xml:space="preserve"> </w:t>
      </w:r>
      <w:r w:rsidRPr="00FB1183">
        <w:rPr>
          <w:rStyle w:val="ts-alignment-element"/>
        </w:rPr>
        <w:t>berbeda</w:t>
      </w:r>
      <w:r w:rsidRPr="00FB1183">
        <w:t xml:space="preserve"> </w:t>
      </w:r>
      <w:r w:rsidRPr="00FB1183">
        <w:rPr>
          <w:rStyle w:val="ts-alignment-element"/>
        </w:rPr>
        <w:t>dengan</w:t>
      </w:r>
      <w:r w:rsidRPr="00FB1183">
        <w:t xml:space="preserve"> </w:t>
      </w:r>
      <w:r w:rsidRPr="00FB1183">
        <w:rPr>
          <w:rStyle w:val="ts-alignment-element"/>
        </w:rPr>
        <w:t>kemalasan</w:t>
      </w:r>
      <w:r w:rsidRPr="00FB1183">
        <w:t xml:space="preserve"> </w:t>
      </w:r>
      <w:r w:rsidRPr="00FB1183">
        <w:rPr>
          <w:rFonts w:eastAsia="Times New Roman"/>
          <w:lang w:eastAsia="en-ID"/>
        </w:rPr>
        <w:t>atau aktivitas yang bermanfaat berbeda dengan kesibukan yang tidak berguna.</w:t>
      </w:r>
      <w:r w:rsidRPr="00FB1183">
        <w:rPr>
          <w:rStyle w:val="ReferensiCatatanKaki"/>
          <w:rFonts w:eastAsia="Times New Roman"/>
          <w:lang w:eastAsia="en-ID"/>
        </w:rPr>
        <w:footnoteReference w:id="31"/>
      </w:r>
      <w:r w:rsidRPr="00FB1183">
        <w:rPr>
          <w:rFonts w:eastAsia="Times New Roman"/>
          <w:lang w:eastAsia="en-ID"/>
        </w:rPr>
        <w:t xml:space="preserve"> Maka bagian ini menjelaskan dimana Paulus yang dengan sungguh sungguh mengerjakan pekerjaan yang pernah dialakukan sebelumnya, dan saat ini dialakukan besama sama dan pekerjaan tersebut mempunyai kegunaan dan manfaat bagi Paulus dan pelayanannya.</w:t>
      </w:r>
    </w:p>
    <w:p w14:paraId="495FA3AC" w14:textId="77777777" w:rsidR="008E02D7" w:rsidRPr="00FB1183" w:rsidRDefault="008E02D7" w:rsidP="0080793D">
      <w:pPr>
        <w:spacing w:line="360" w:lineRule="auto"/>
        <w:ind w:firstLine="567"/>
        <w:jc w:val="both"/>
      </w:pPr>
      <w:r w:rsidRPr="00FB1183">
        <w:lastRenderedPageBreak/>
        <w:t>Menurut William Barclay dalam bagian ini menjelaskan Dia (Paulus) adalah seorang rabi dan harus mempunyai keterampilan tertentu sesuai dengan tata kehidupan orang yahudi, dia harus bekerja untuk menghidupi dirinya. Mereka berkata mempelajari hukum taurat bersamaan dengan keterampilan kerja adalah sangat baik. Akan tetapi mengerti semua hukum taurat tanpa begerja hanya akan berakhir dengan kegagalan dan menyebabkan kesalahan.</w:t>
      </w:r>
      <w:r w:rsidRPr="00FB1183">
        <w:rPr>
          <w:rStyle w:val="ReferensiCatatanKaki"/>
        </w:rPr>
        <w:footnoteReference w:id="32"/>
      </w:r>
      <w:r w:rsidRPr="00FB1183">
        <w:t xml:space="preserve"> Sedangakan Witness Lee menjelaskan bahwa Paulus dalam melaksanakan ministry Tuhan dia juga bekerja, pekerjaan yang Paulus lakukan untuk menunjang dirinya bahkan lebih dari pada itu untuk menunjang sekerja sekerjanya, maka orang-orang yang terbeban untuk melayani Tuhan harusnya melayani Tuhan sepenuh waktu jika lingkungan dan keuangan mengizinkan tapi jika lingkungan tidak mendukung maka ia harus mengerjakan bebannya( pelayanan) tapi juga harus begerja untuk menyesuaikan diri dengan kebutuhannya.</w:t>
      </w:r>
      <w:r w:rsidRPr="00FB1183">
        <w:rPr>
          <w:rStyle w:val="ReferensiCatatanKaki"/>
        </w:rPr>
        <w:footnoteReference w:id="33"/>
      </w:r>
      <w:r w:rsidRPr="00FB1183">
        <w:t xml:space="preserve"> Bagian ini juga menjelaskan bahwa Di korintus, Paulus melakukan pekerjaan lain di samping memberitakan Injil dia seorang tukang kemah, serta mencari nafkah dengan cara ini sepanjang perjalananya atau ketika tinggal di suatu tempat, Alkitab dan para rasul telah memberi contoh lebih dahulu tentang hal merangkap pekerjaan, John R. Tan menegaskan bahwa Allah mempertemukan Paulus dengan Akwila dan Prikila yang ternyata memiliki profesi yang sama sebagai pembuat tenda dan menjadi teman akrab dalam pelayanan penginjilan.</w:t>
      </w:r>
      <w:r w:rsidRPr="00FB1183">
        <w:rPr>
          <w:rStyle w:val="ReferensiCatatanKaki"/>
        </w:rPr>
        <w:footnoteReference w:id="34"/>
      </w:r>
      <w:r w:rsidRPr="00FB1183">
        <w:t xml:space="preserve"> Menurut Paulus, dia dan Barnabas "berhak untuk dibebaskan dari pekerjaan tangan" bersama para rasul lainnya. Sekalipun demikian, ia melibatkan pekerjaannya sebagai pembuat tenda untuk mengajarkan Injil. Sesuai tradisi pada masa itu, khususnya di Yunani, lingkungan kerja terbuka dan dimanfaatkan untuk berbincang atau setidaknya untuk berbincang dan bertukar pikiran.</w:t>
      </w:r>
      <w:r w:rsidRPr="00FB1183">
        <w:rPr>
          <w:rStyle w:val="ReferensiCatatanKaki"/>
        </w:rPr>
        <w:footnoteReference w:id="35"/>
      </w:r>
      <w:r w:rsidRPr="00FB1183">
        <w:t xml:space="preserve"> Maka bekerja Bersama menjadi seorang tukang kemah menjadi salah satu cara Paulus menyesuaikan diri dengan keadaan untuk injil diberitakan.</w:t>
      </w:r>
    </w:p>
    <w:p w14:paraId="7516D513" w14:textId="77777777" w:rsidR="008E02D7" w:rsidRPr="00FB1183" w:rsidRDefault="008E02D7" w:rsidP="0080793D">
      <w:pPr>
        <w:spacing w:line="360" w:lineRule="auto"/>
        <w:ind w:firstLine="567"/>
        <w:jc w:val="both"/>
      </w:pPr>
      <w:r w:rsidRPr="00FB1183">
        <w:t xml:space="preserve">Berdasarkan bagian di atas penulis menyimpulkan bahwa bagian ini menjadi sebuah strategi kotekstualisasi yang Paulus lakukan dimana Paulus tahu bahwa dalam pembritaan injil dia harus dapat berkontekstualisasi dengan keadaan sekitar, Paulus memanfaatkan keahlian atau potensi dalam dirinya demi injil diberitakan, dengan memanfaatkan </w:t>
      </w:r>
      <w:r w:rsidRPr="00FB1183">
        <w:lastRenderedPageBreak/>
        <w:t>keahliannya, Paulus melaksanakan pekerjaan sampingan sebagai tukang kemah untuk menyesuaikan diri dengan konteks dikorintus waktu itu dan sambil bekerja Paulus melaksanakan tugas utamanya yaitu memberitakan injil ke rumah-rumah ibadat bahkan dalam pekerjaannya juga dia terus menjadi berkat bagai banyak orang. Demikian setiap kita orang percaya seharusnya kita yang diperlengkapi dengan berbagai potensi dan keahlian dalam diri kita baiklah kita dapat menggunakannya menjadi sebuah strategi kontekstualisasi dalam memberitakan kabar baik kepada Generasi Produktif Indonesia sehinggan mereka mengalami pembaharuan hidup secara holistik didalam Kristus.</w:t>
      </w:r>
    </w:p>
    <w:p w14:paraId="07F920B5" w14:textId="77777777" w:rsidR="008E02D7" w:rsidRPr="00FB1183" w:rsidRDefault="008E02D7" w:rsidP="0080793D">
      <w:pPr>
        <w:spacing w:line="360" w:lineRule="auto"/>
        <w:jc w:val="both"/>
      </w:pPr>
    </w:p>
    <w:p w14:paraId="7B687B52" w14:textId="77777777" w:rsidR="008E02D7" w:rsidRPr="00FB1183" w:rsidRDefault="008E02D7" w:rsidP="00201645">
      <w:pPr>
        <w:spacing w:line="360" w:lineRule="auto"/>
        <w:ind w:right="-144"/>
        <w:jc w:val="both"/>
        <w:rPr>
          <w:rFonts w:eastAsia="Times New Roman"/>
          <w:b/>
          <w:bCs/>
          <w:lang w:eastAsia="en-ID"/>
        </w:rPr>
      </w:pPr>
      <w:r w:rsidRPr="00FB1183">
        <w:rPr>
          <w:rFonts w:eastAsia="Times New Roman"/>
          <w:b/>
          <w:bCs/>
          <w:lang w:eastAsia="en-ID"/>
        </w:rPr>
        <w:t>Penggunaan Bahasa Yang Tepat Menjadi Strategi Kontekstualisasi Paulus (Kis 22:1-4)</w:t>
      </w:r>
    </w:p>
    <w:p w14:paraId="7DB607F6" w14:textId="2B3A0E81" w:rsidR="008E02D7" w:rsidRPr="00FB1183" w:rsidRDefault="008E02D7" w:rsidP="0080793D">
      <w:pPr>
        <w:spacing w:line="360" w:lineRule="auto"/>
        <w:ind w:firstLine="567"/>
        <w:jc w:val="both"/>
        <w:rPr>
          <w:rFonts w:eastAsia="Times New Roman"/>
          <w:lang w:eastAsia="en-ID"/>
        </w:rPr>
      </w:pPr>
      <w:r w:rsidRPr="00FB1183">
        <w:rPr>
          <w:rFonts w:eastAsia="Times New Roman"/>
          <w:lang w:eastAsia="en-ID"/>
        </w:rPr>
        <w:t>Kata mendengar dalam Bahasa Yunani (akouosantes) kata ini (verb, Aorist, Active Participle, Masculin, Plural Nominative) yang berarti juga ketika mendengar.</w:t>
      </w:r>
      <w:r w:rsidRPr="00FB1183">
        <w:rPr>
          <w:rStyle w:val="ReferensiCatatanKaki"/>
          <w:rFonts w:eastAsia="Times New Roman"/>
          <w:lang w:eastAsia="en-ID"/>
        </w:rPr>
        <w:footnoteReference w:id="36"/>
      </w:r>
      <w:r w:rsidRPr="00FB1183">
        <w:rPr>
          <w:rFonts w:eastAsia="Times New Roman"/>
          <w:lang w:eastAsia="en-ID"/>
        </w:rPr>
        <w:t xml:space="preserve"> Kata ini berasal dari kata dasar (akouo) yang berarti Mendengar, Mendengarkan, mendengar (dalam pemeriksaan masalah), mengetahui, menaati, mengerti, kata ini digunakan sebanyak 428 kali dalam perjanjian baru.</w:t>
      </w:r>
      <w:r w:rsidRPr="00FB1183">
        <w:rPr>
          <w:rStyle w:val="ReferensiCatatanKaki"/>
          <w:rFonts w:eastAsia="Times New Roman"/>
          <w:lang w:eastAsia="en-ID"/>
        </w:rPr>
        <w:footnoteReference w:id="37"/>
      </w:r>
      <w:r w:rsidRPr="00FB1183">
        <w:rPr>
          <w:rFonts w:eastAsia="Times New Roman"/>
          <w:lang w:eastAsia="en-ID"/>
        </w:rPr>
        <w:t xml:space="preserve"> Berangkat dari kata dasar penulis menyimpulkan kata ini adalah mendengar(dalam pemeriksaan masalah. Kata ini Dalam NIV mengunakan kata </w:t>
      </w:r>
      <w:r w:rsidRPr="00FB1183">
        <w:rPr>
          <w:rFonts w:eastAsia="Times New Roman"/>
          <w:i/>
          <w:iCs/>
          <w:lang w:eastAsia="en-ID"/>
        </w:rPr>
        <w:t xml:space="preserve">Heard </w:t>
      </w:r>
      <w:r w:rsidRPr="00FB1183">
        <w:rPr>
          <w:rFonts w:eastAsia="Times New Roman"/>
          <w:lang w:eastAsia="en-ID"/>
        </w:rPr>
        <w:t>yang artinya mendengar, dalam BIS menggunakan kata mereka mendengar.</w:t>
      </w:r>
      <w:r w:rsidRPr="00FB1183">
        <w:rPr>
          <w:rStyle w:val="ReferensiCatatanKaki"/>
          <w:rFonts w:eastAsia="Times New Roman"/>
          <w:lang w:eastAsia="en-ID"/>
        </w:rPr>
        <w:footnoteReference w:id="38"/>
      </w:r>
      <w:r w:rsidRPr="00FB1183">
        <w:rPr>
          <w:rFonts w:eastAsia="Times New Roman"/>
          <w:lang w:eastAsia="en-ID"/>
        </w:rPr>
        <w:t xml:space="preserve"> Kata ini adalah kata kerja Aorist active participle masculine plural nominative. Tens Aorist untuk menyatakan bahwa suatu hal pernah terjadi atau pernah dilakukan, tidak meyatakan terus-menerus atau berulang kali di lakukan. Sedakan participle adalah kata kerja yang dapat berubah menjadi kata sifat maka bagian ini mau menjelaskan bahwa pada waktu itu orang Yahudi mendengarkan dan menjadi pendengar atas perkataan rasul Paulus dengan menggunakan Bahasa Ibrani.  dalam Exegetical dictionary of the new Testament (EDNT) kata ini adalah </w:t>
      </w:r>
      <w:r w:rsidRPr="00FB1183">
        <w:rPr>
          <w:rFonts w:eastAsia="Times New Roman"/>
          <w:i/>
          <w:iCs/>
          <w:lang w:eastAsia="en-ID"/>
        </w:rPr>
        <w:t>Hear, Come to Know,</w:t>
      </w:r>
      <w:r w:rsidRPr="00FB1183">
        <w:rPr>
          <w:rFonts w:eastAsia="Times New Roman"/>
          <w:lang w:eastAsia="en-ID"/>
        </w:rPr>
        <w:t xml:space="preserve">yang berarti  </w:t>
      </w:r>
      <w:r w:rsidRPr="00FB1183">
        <w:rPr>
          <w:rFonts w:eastAsia="Times New Roman"/>
          <w:i/>
          <w:iCs/>
          <w:lang w:eastAsia="en-ID"/>
        </w:rPr>
        <w:t>dengar dan menjadi tahu.</w:t>
      </w:r>
      <w:r w:rsidRPr="00FB1183">
        <w:rPr>
          <w:rStyle w:val="ReferensiCatatanKaki"/>
          <w:rFonts w:eastAsia="Times New Roman"/>
          <w:i/>
          <w:iCs/>
          <w:lang w:eastAsia="en-ID"/>
        </w:rPr>
        <w:footnoteReference w:id="39"/>
      </w:r>
      <w:r w:rsidRPr="00FB1183">
        <w:rPr>
          <w:rFonts w:eastAsia="Times New Roman"/>
          <w:i/>
          <w:iCs/>
          <w:lang w:eastAsia="en-ID"/>
        </w:rPr>
        <w:t xml:space="preserve"> </w:t>
      </w:r>
      <w:r w:rsidRPr="00FB1183">
        <w:rPr>
          <w:rFonts w:eastAsia="Times New Roman"/>
          <w:lang w:eastAsia="en-ID"/>
        </w:rPr>
        <w:t xml:space="preserve">Sedangkan dalam Vine’s Expocitory Dictionary of the New Testament, kata ini </w:t>
      </w:r>
      <w:r w:rsidRPr="00FB1183">
        <w:rPr>
          <w:rFonts w:eastAsia="Times New Roman"/>
          <w:i/>
          <w:iCs/>
          <w:lang w:eastAsia="en-ID"/>
        </w:rPr>
        <w:t>the usual word denoting to hear is used intransitively</w:t>
      </w:r>
      <w:r w:rsidRPr="00FB1183">
        <w:rPr>
          <w:rFonts w:eastAsia="Times New Roman"/>
          <w:lang w:eastAsia="en-ID"/>
        </w:rPr>
        <w:t xml:space="preserve"> yang berarti kata biasa yang menunjukkan mendengar digunakan secara intransitif.</w:t>
      </w:r>
      <w:r w:rsidRPr="00FB1183">
        <w:rPr>
          <w:rStyle w:val="ReferensiCatatanKaki"/>
          <w:rFonts w:eastAsia="Times New Roman"/>
          <w:lang w:eastAsia="en-ID"/>
        </w:rPr>
        <w:footnoteReference w:id="40"/>
      </w:r>
      <w:r w:rsidRPr="00FB1183">
        <w:rPr>
          <w:rFonts w:eastAsia="Times New Roman"/>
          <w:lang w:eastAsia="en-ID"/>
        </w:rPr>
        <w:t xml:space="preserve"> intransitif sendiri berbicara tentang kata kerja yang tidak membutuhkan objek, dan dalam Theological Dictionary of the New Testament (TDNT)  menggunakan kata </w:t>
      </w:r>
      <w:r w:rsidRPr="00FB1183">
        <w:rPr>
          <w:rFonts w:eastAsia="Times New Roman"/>
          <w:i/>
          <w:iCs/>
          <w:lang w:eastAsia="en-ID"/>
        </w:rPr>
        <w:t xml:space="preserve">the </w:t>
      </w:r>
      <w:r w:rsidRPr="00FB1183">
        <w:rPr>
          <w:rFonts w:eastAsia="Times New Roman"/>
          <w:i/>
          <w:iCs/>
          <w:lang w:eastAsia="en-ID"/>
        </w:rPr>
        <w:lastRenderedPageBreak/>
        <w:t xml:space="preserve">hearning of man </w:t>
      </w:r>
      <w:r w:rsidRPr="00FB1183">
        <w:rPr>
          <w:rFonts w:eastAsia="Times New Roman"/>
          <w:lang w:eastAsia="en-ID"/>
        </w:rPr>
        <w:t>yang berarti sebuah pendengaran manusia.</w:t>
      </w:r>
      <w:r w:rsidRPr="00FB1183">
        <w:rPr>
          <w:rStyle w:val="ReferensiCatatanKaki"/>
          <w:rFonts w:eastAsia="Times New Roman"/>
          <w:lang w:eastAsia="en-ID"/>
        </w:rPr>
        <w:footnoteReference w:id="41"/>
      </w:r>
      <w:r w:rsidRPr="00FB1183">
        <w:rPr>
          <w:rFonts w:eastAsia="Times New Roman"/>
          <w:lang w:eastAsia="en-ID"/>
        </w:rPr>
        <w:t xml:space="preserve"> Maka kesimpulannya kata ini menjelaskan bahwa orang orang Yahudi pada waktu itu Bersama sama mendengarkan dan telah menjadi pendengar tentang perkataan perkataan Paulus.</w:t>
      </w:r>
    </w:p>
    <w:p w14:paraId="3F785566" w14:textId="77777777" w:rsidR="008E02D7" w:rsidRPr="00FB1183" w:rsidRDefault="008E02D7" w:rsidP="0080793D">
      <w:pPr>
        <w:spacing w:line="360" w:lineRule="auto"/>
        <w:ind w:firstLine="567"/>
        <w:jc w:val="both"/>
      </w:pPr>
      <w:r w:rsidRPr="00FB1183">
        <w:rPr>
          <w:rFonts w:eastAsia="Times New Roman"/>
          <w:lang w:eastAsia="en-ID"/>
        </w:rPr>
        <w:t>Kata berbicara dalam Bahasa Yunani (prosefoonei) kata ini (verb, 3 singular, imperfeck, active, indicative) yang berarti juga ia berbicara.</w:t>
      </w:r>
      <w:r w:rsidRPr="00FB1183">
        <w:rPr>
          <w:rStyle w:val="ReferensiCatatanKaki"/>
          <w:rFonts w:eastAsia="Times New Roman"/>
          <w:lang w:eastAsia="en-ID"/>
        </w:rPr>
        <w:footnoteReference w:id="42"/>
      </w:r>
      <w:r w:rsidRPr="00FB1183">
        <w:rPr>
          <w:rFonts w:eastAsia="Times New Roman"/>
          <w:lang w:eastAsia="en-ID"/>
        </w:rPr>
        <w:t xml:space="preserve"> Kata ini berasal dari kata dasar (prosphoneo) yang berarti berseru, berbicara, memanggil datang, kata ini digunakan sebanyak 7 kali dalam perjanjian baru.</w:t>
      </w:r>
      <w:r w:rsidRPr="00FB1183">
        <w:rPr>
          <w:rStyle w:val="ReferensiCatatanKaki"/>
          <w:rFonts w:eastAsia="Times New Roman"/>
          <w:lang w:eastAsia="en-ID"/>
        </w:rPr>
        <w:footnoteReference w:id="43"/>
      </w:r>
      <w:r w:rsidRPr="00FB1183">
        <w:rPr>
          <w:rFonts w:eastAsia="Times New Roman"/>
          <w:lang w:eastAsia="en-ID"/>
        </w:rPr>
        <w:t xml:space="preserve"> Berangkat dari kata dasar penulis menyimpulkan kata ini adalah mendengar (dalam pemeriksaan masalah. Kata ini Dalam NIV mengunakan kata </w:t>
      </w:r>
      <w:r w:rsidRPr="00FB1183">
        <w:rPr>
          <w:rFonts w:eastAsia="Times New Roman"/>
          <w:i/>
          <w:iCs/>
          <w:lang w:eastAsia="en-ID"/>
        </w:rPr>
        <w:t xml:space="preserve">him spake </w:t>
      </w:r>
      <w:r w:rsidRPr="00FB1183">
        <w:rPr>
          <w:rFonts w:eastAsia="Times New Roman"/>
          <w:lang w:eastAsia="en-ID"/>
        </w:rPr>
        <w:t xml:space="preserve">yang artinya dia berbicara, dalam BIS menggunakan kata Paulus berbicara. Kata ini dalah kata kerja orang ketiga tunggal, imperfect, active, indicative, </w:t>
      </w:r>
      <w:r w:rsidRPr="00FB1183">
        <w:t xml:space="preserve">Kata kerja biasanya digunakan sebagai kata yang menjelaskan tindakan atau keadaan dari sebuah keberadaan, tense imperfek menunjuk kepada sebuah tindakan yang dilakukan pada masa lampau dan bisa juga berulang kali dan bisa terus menerus,  indicative adalah sebuah penegasan akan hal yang dilakukan atau tindakan itu merupakan suatu realitas. Maka dapat disimpulkan bahwa pada waktu itu Paulus benar benar berbicara kepada orang orang Yahudi dan hal ini pernah dilakukannya di masa lampau dalan Paulus berbicara kepada mereka menggunakan Bahasa Ibarani yang dimana menjadi Bahasa orang Yahudi. </w:t>
      </w:r>
    </w:p>
    <w:p w14:paraId="103F9DF4" w14:textId="77777777" w:rsidR="008E02D7" w:rsidRPr="00FB1183" w:rsidRDefault="008E02D7" w:rsidP="0080793D">
      <w:pPr>
        <w:shd w:val="clear" w:color="auto" w:fill="FDFDFD"/>
        <w:spacing w:line="360" w:lineRule="auto"/>
        <w:jc w:val="both"/>
        <w:rPr>
          <w:rStyle w:val="ts-alignment-element"/>
        </w:rPr>
      </w:pPr>
      <w:r w:rsidRPr="00FB1183">
        <w:rPr>
          <w:rFonts w:eastAsia="Times New Roman"/>
          <w:lang w:eastAsia="en-ID"/>
        </w:rPr>
        <w:tab/>
        <w:t xml:space="preserve">Dalam </w:t>
      </w:r>
      <w:r w:rsidRPr="00FB1183">
        <w:rPr>
          <w:rFonts w:eastAsia="Times New Roman"/>
          <w:i/>
          <w:iCs/>
          <w:lang w:eastAsia="en-ID"/>
        </w:rPr>
        <w:t>Exegetical dictionary of the New Testament</w:t>
      </w:r>
      <w:r w:rsidRPr="00FB1183">
        <w:rPr>
          <w:rFonts w:eastAsia="Times New Roman"/>
          <w:lang w:eastAsia="en-ID"/>
        </w:rPr>
        <w:t xml:space="preserve"> (EDNT) kata ini adalah </w:t>
      </w:r>
      <w:r w:rsidRPr="00FB1183">
        <w:rPr>
          <w:rFonts w:eastAsia="Times New Roman"/>
          <w:i/>
          <w:iCs/>
          <w:lang w:eastAsia="en-ID"/>
        </w:rPr>
        <w:t>call out, call to oneself</w:t>
      </w:r>
      <w:r w:rsidRPr="00FB1183">
        <w:rPr>
          <w:rFonts w:eastAsia="Times New Roman"/>
          <w:lang w:eastAsia="en-ID"/>
        </w:rPr>
        <w:t xml:space="preserve"> yang berarti berseru, memanggil diri sendiri.</w:t>
      </w:r>
      <w:r w:rsidRPr="00FB1183">
        <w:rPr>
          <w:rStyle w:val="ReferensiCatatanKaki"/>
          <w:rFonts w:eastAsia="Times New Roman"/>
          <w:lang w:eastAsia="en-ID"/>
        </w:rPr>
        <w:footnoteReference w:id="44"/>
      </w:r>
      <w:r w:rsidRPr="00FB1183">
        <w:rPr>
          <w:rFonts w:eastAsia="Times New Roman"/>
          <w:lang w:eastAsia="en-ID"/>
        </w:rPr>
        <w:t xml:space="preserve"> Sedangkan dalam </w:t>
      </w:r>
      <w:r w:rsidRPr="00FB1183">
        <w:rPr>
          <w:rFonts w:eastAsia="Times New Roman"/>
          <w:i/>
          <w:iCs/>
          <w:lang w:eastAsia="en-ID"/>
        </w:rPr>
        <w:t>Vine’s Expocitory Dictionary of the New Testament</w:t>
      </w:r>
      <w:r w:rsidRPr="00FB1183">
        <w:rPr>
          <w:rFonts w:eastAsia="Times New Roman"/>
          <w:lang w:eastAsia="en-ID"/>
        </w:rPr>
        <w:t xml:space="preserve">, kata ini </w:t>
      </w:r>
      <w:r w:rsidRPr="00FB1183">
        <w:rPr>
          <w:i/>
          <w:iCs/>
          <w:color w:val="000000"/>
        </w:rPr>
        <w:t xml:space="preserve">to address, call to," is rendered "spake unto </w:t>
      </w:r>
      <w:r w:rsidRPr="00FB1183">
        <w:rPr>
          <w:color w:val="000000"/>
        </w:rPr>
        <w:t>yang berarti untuk mengalamatkan, memanggil," diterjemahkan "berbicara kepada.</w:t>
      </w:r>
      <w:r w:rsidRPr="00FB1183">
        <w:rPr>
          <w:rStyle w:val="ReferensiCatatanKaki"/>
          <w:color w:val="000000"/>
        </w:rPr>
        <w:footnoteReference w:id="45"/>
      </w:r>
      <w:r w:rsidRPr="00FB1183">
        <w:rPr>
          <w:color w:val="000000"/>
        </w:rPr>
        <w:t xml:space="preserve"> Dan dalam </w:t>
      </w:r>
      <w:r w:rsidRPr="00FB1183">
        <w:rPr>
          <w:i/>
          <w:iCs/>
          <w:color w:val="000000"/>
        </w:rPr>
        <w:t xml:space="preserve">Greek English Lexicon of the New Testament </w:t>
      </w:r>
      <w:r w:rsidRPr="00FB1183">
        <w:rPr>
          <w:color w:val="000000"/>
        </w:rPr>
        <w:t xml:space="preserve">menggunakan kata </w:t>
      </w:r>
      <w:r w:rsidRPr="00FB1183">
        <w:rPr>
          <w:i/>
          <w:iCs/>
          <w:color w:val="000000"/>
        </w:rPr>
        <w:t xml:space="preserve">to address an audience, with possible emphasis upon loudness 'to address, to speak out to, </w:t>
      </w:r>
      <w:r w:rsidRPr="00FB1183">
        <w:rPr>
          <w:color w:val="000000"/>
        </w:rPr>
        <w:t xml:space="preserve">when they were quiet, he addressed them in Hebrew'  yang berarti </w:t>
      </w:r>
      <w:r w:rsidRPr="00FB1183">
        <w:rPr>
          <w:rFonts w:eastAsia="Times New Roman"/>
          <w:lang w:eastAsia="en-ID"/>
        </w:rPr>
        <w:t xml:space="preserve">untuk berbicara kepada audiens, dengan kemungkinan penekanan pada kenyaringan, untuk mengalamatkan, untuk berbicara kepada, </w:t>
      </w:r>
      <w:r w:rsidRPr="00FB1183">
        <w:rPr>
          <w:rStyle w:val="ts-alignment-element"/>
        </w:rPr>
        <w:t>ketika</w:t>
      </w:r>
      <w:r w:rsidRPr="00FB1183">
        <w:t xml:space="preserve"> </w:t>
      </w:r>
      <w:r w:rsidRPr="00FB1183">
        <w:rPr>
          <w:rStyle w:val="ts-alignment-element"/>
        </w:rPr>
        <w:t>mereka</w:t>
      </w:r>
      <w:r w:rsidRPr="00FB1183">
        <w:t xml:space="preserve"> </w:t>
      </w:r>
      <w:r w:rsidRPr="00FB1183">
        <w:rPr>
          <w:rStyle w:val="ts-alignment-element"/>
        </w:rPr>
        <w:t>diam,</w:t>
      </w:r>
      <w:r w:rsidRPr="00FB1183">
        <w:t xml:space="preserve"> </w:t>
      </w:r>
      <w:r w:rsidRPr="00FB1183">
        <w:rPr>
          <w:rStyle w:val="ts-alignment-element"/>
        </w:rPr>
        <w:t>dia</w:t>
      </w:r>
      <w:r w:rsidRPr="00FB1183">
        <w:t xml:space="preserve"> </w:t>
      </w:r>
      <w:r w:rsidRPr="00FB1183">
        <w:rPr>
          <w:rStyle w:val="ts-alignment-element"/>
        </w:rPr>
        <w:t>berbicara</w:t>
      </w:r>
      <w:r w:rsidRPr="00FB1183">
        <w:t xml:space="preserve"> </w:t>
      </w:r>
      <w:r w:rsidRPr="00FB1183">
        <w:rPr>
          <w:rStyle w:val="ts-alignment-element"/>
        </w:rPr>
        <w:t>kepada</w:t>
      </w:r>
      <w:r w:rsidRPr="00FB1183">
        <w:t xml:space="preserve"> </w:t>
      </w:r>
      <w:r w:rsidRPr="00FB1183">
        <w:rPr>
          <w:rStyle w:val="ts-alignment-element"/>
        </w:rPr>
        <w:t>mereka</w:t>
      </w:r>
      <w:r w:rsidRPr="00FB1183">
        <w:t xml:space="preserve"> </w:t>
      </w:r>
      <w:r w:rsidRPr="00FB1183">
        <w:rPr>
          <w:rStyle w:val="ts-alignment-element"/>
        </w:rPr>
        <w:t>dalam</w:t>
      </w:r>
      <w:r w:rsidRPr="00FB1183">
        <w:t xml:space="preserve"> </w:t>
      </w:r>
      <w:r w:rsidRPr="00FB1183">
        <w:rPr>
          <w:rStyle w:val="ts-alignment-element"/>
        </w:rPr>
        <w:t>bahasa</w:t>
      </w:r>
      <w:r w:rsidRPr="00FB1183">
        <w:t xml:space="preserve"> </w:t>
      </w:r>
      <w:r w:rsidRPr="00FB1183">
        <w:rPr>
          <w:rStyle w:val="ts-alignment-element"/>
        </w:rPr>
        <w:t>Ibrani.</w:t>
      </w:r>
      <w:r w:rsidRPr="00FB1183">
        <w:rPr>
          <w:rStyle w:val="ReferensiCatatanKaki"/>
        </w:rPr>
        <w:footnoteReference w:id="46"/>
      </w:r>
      <w:r w:rsidRPr="00FB1183">
        <w:rPr>
          <w:rStyle w:val="ts-alignment-element"/>
        </w:rPr>
        <w:t xml:space="preserve"> Berdasarkan bagian berikut maka jelas bahwa kata ini menjelaskan tentang Paulus yang benar benar berbicara </w:t>
      </w:r>
      <w:r w:rsidRPr="00FB1183">
        <w:rPr>
          <w:rStyle w:val="ts-alignment-element"/>
        </w:rPr>
        <w:lastRenderedPageBreak/>
        <w:t>kepada orang orang Yahudi pada waktu itu dengan suara yang nyaring dan menggunakan Bahasa Ibrani yang membuat mereka (orang orang yahudi) terdiam mulai mendengarkannya.</w:t>
      </w:r>
    </w:p>
    <w:p w14:paraId="739B47DE" w14:textId="77777777" w:rsidR="008E02D7" w:rsidRPr="00FB1183" w:rsidRDefault="008E02D7" w:rsidP="0080793D">
      <w:pPr>
        <w:shd w:val="clear" w:color="auto" w:fill="FDFDFD"/>
        <w:spacing w:line="360" w:lineRule="auto"/>
        <w:ind w:firstLine="720"/>
        <w:jc w:val="both"/>
        <w:rPr>
          <w:color w:val="000000"/>
        </w:rPr>
      </w:pPr>
      <w:r w:rsidRPr="00FB1183">
        <w:rPr>
          <w:rStyle w:val="ts-alignment-element"/>
        </w:rPr>
        <w:t xml:space="preserve">Mathew Henry menjelaskan bagian ini dimana </w:t>
      </w:r>
      <w:r w:rsidRPr="00FB1183">
        <w:rPr>
          <w:color w:val="000000"/>
        </w:rPr>
        <w:t>Dia (Paulus) berbicara dalam bahasa Ibrani, yaitu, bahasa vulgar orang Yahudi, Itu menunjukkan rasa hormatnya yang berkelanjutan kepada orang-orang sebangsanya, orang-orang Yahudi. Meskipun dia telah berbicara begitu banyak dengan orang-orang bukan Yahudi, namun dia masih mempertahankan bahasa orang Yahudi, dan dapat membicarakannya dengan mudah; dengan ini tampaknya dia adalah seorang Yahudi, Apa yang dia katakan adalah yang lebih umum dipahami, karena itu adalah bahasa yang digunakan setiap orang, dan oleh karena itu berbicara dalam bahasa itu memang untuk menarik orang-orang, karena itu, ketika mereka mendengar bahwa dia berbicara dalam bahasa Ibrani, mereka semakin diam.</w:t>
      </w:r>
      <w:r w:rsidRPr="00FB1183">
        <w:rPr>
          <w:rStyle w:val="ReferensiCatatanKaki"/>
          <w:color w:val="000000"/>
        </w:rPr>
        <w:footnoteReference w:id="47"/>
      </w:r>
    </w:p>
    <w:p w14:paraId="39244499" w14:textId="77777777" w:rsidR="008E02D7" w:rsidRPr="00FB1183" w:rsidRDefault="008E02D7" w:rsidP="0080793D">
      <w:pPr>
        <w:spacing w:line="360" w:lineRule="auto"/>
        <w:ind w:firstLine="720"/>
        <w:jc w:val="both"/>
        <w:rPr>
          <w:rFonts w:eastAsia="Times New Roman"/>
          <w:lang w:eastAsia="en-ID"/>
        </w:rPr>
      </w:pPr>
      <w:r w:rsidRPr="00FB1183">
        <w:rPr>
          <w:noProof/>
        </w:rPr>
        <w:t>R Jamieson, A R Fausset, and D Brown</w:t>
      </w:r>
      <w:r w:rsidRPr="00FB1183">
        <w:t xml:space="preserve"> commentary menjelaskan bagian ini: </w:t>
      </w:r>
      <w:r w:rsidRPr="00FB1183">
        <w:rPr>
          <w:bCs/>
          <w:color w:val="000000"/>
        </w:rPr>
        <w:t xml:space="preserve">And when they heard that he spake in the Hebrew tongue. to them, they kept the more silence. They could have understood him in Greek, and doubtless fully expected the renegade to address them in that language; but the sound of their holy mother-tongue awed them into deeper silence. Yang artinya </w:t>
      </w:r>
      <w:r w:rsidRPr="00FB1183">
        <w:rPr>
          <w:rFonts w:eastAsia="Times New Roman"/>
          <w:lang w:eastAsia="en-ID"/>
        </w:rPr>
        <w:t>Dan ketika mereka mendengar bahwa dia berbicara dalam bahasa Ibrani kepada mereka, mereka semakin diam. Mereka bisa memahaminya dalam bahasa Yunani, dan tidak diragukan lagi sepenuhnya mengharapkan pengkhianat untuk menyapa mereka dalam bahasa itu; Tetapi suara bahasa ibu mereka yang suci membuat mereka terpesona ke dalam keheningan yang lebih dalam.</w:t>
      </w:r>
      <w:r w:rsidRPr="00FB1183">
        <w:rPr>
          <w:rStyle w:val="ReferensiCatatanKaki"/>
          <w:rFonts w:eastAsia="Times New Roman"/>
          <w:lang w:eastAsia="en-ID"/>
        </w:rPr>
        <w:footnoteReference w:id="48"/>
      </w:r>
      <w:r w:rsidRPr="00FB1183">
        <w:rPr>
          <w:rFonts w:eastAsia="Times New Roman"/>
          <w:lang w:eastAsia="en-ID"/>
        </w:rPr>
        <w:t xml:space="preserve"> Maka peneliti menyimpulkan bahwa bagian ini menjelaskan bagaimana Paulus menggunakan Bahasa yang tepat dan membuat orang orang Yahudi menjadi terdiam dan mendengarkan Paulus terus berbicara, dan tanpa membuang kesempatan di bagian selanjutnya Paulus menyampaikan kesaksian hidupnya bagaimana Tuhan menangkap dan menyelamatkan dirinya. Jelas penggunaan Bahasa yang tepat menjadi strategi yang baik dalam memberitakan kabar baik khususnya kepada generasi produktif Indonesia saat ini.</w:t>
      </w:r>
    </w:p>
    <w:p w14:paraId="3F687D5F" w14:textId="20732801" w:rsidR="008E02D7" w:rsidRDefault="008E02D7" w:rsidP="0080793D">
      <w:pPr>
        <w:spacing w:line="360" w:lineRule="auto"/>
        <w:ind w:firstLine="720"/>
        <w:jc w:val="both"/>
        <w:rPr>
          <w:rFonts w:eastAsia="Times New Roman"/>
          <w:lang w:eastAsia="en-ID"/>
        </w:rPr>
      </w:pPr>
    </w:p>
    <w:p w14:paraId="269E6C8C" w14:textId="77777777" w:rsidR="008E02D7" w:rsidRPr="00FB1183" w:rsidRDefault="008E02D7" w:rsidP="0080793D">
      <w:pPr>
        <w:spacing w:line="360" w:lineRule="auto"/>
        <w:rPr>
          <w:rFonts w:eastAsia="Times New Roman"/>
          <w:b/>
          <w:bCs/>
          <w:lang w:eastAsia="en-ID"/>
        </w:rPr>
      </w:pPr>
      <w:r w:rsidRPr="00FB1183">
        <w:rPr>
          <w:rFonts w:eastAsia="Times New Roman"/>
          <w:b/>
          <w:bCs/>
          <w:lang w:eastAsia="en-ID"/>
        </w:rPr>
        <w:t>Hasil Temuan</w:t>
      </w:r>
    </w:p>
    <w:p w14:paraId="26B6F1D4" w14:textId="77777777" w:rsidR="008E02D7" w:rsidRPr="00FB1183" w:rsidRDefault="008E02D7" w:rsidP="0080793D">
      <w:pPr>
        <w:spacing w:line="360" w:lineRule="auto"/>
        <w:jc w:val="both"/>
        <w:rPr>
          <w:b/>
          <w:bCs/>
          <w:iCs/>
        </w:rPr>
      </w:pPr>
      <w:r w:rsidRPr="00FB1183">
        <w:rPr>
          <w:b/>
          <w:bCs/>
          <w:iCs/>
        </w:rPr>
        <w:t xml:space="preserve">Pemanfaatan Media Social Sebagai Strategi Kontekstualisasi Bagi Penginjilan Di Era Bonus Demografi </w:t>
      </w:r>
      <w:commentRangeStart w:id="16"/>
      <w:r w:rsidRPr="00FB1183">
        <w:rPr>
          <w:b/>
          <w:bCs/>
          <w:iCs/>
        </w:rPr>
        <w:t>Indonesia</w:t>
      </w:r>
      <w:commentRangeEnd w:id="16"/>
      <w:r w:rsidR="005E6642" w:rsidRPr="00FB1183">
        <w:rPr>
          <w:rStyle w:val="ReferensiKomentar"/>
          <w:b/>
          <w:bCs/>
          <w:iCs/>
          <w:sz w:val="24"/>
          <w:szCs w:val="24"/>
        </w:rPr>
        <w:commentReference w:id="16"/>
      </w:r>
    </w:p>
    <w:p w14:paraId="5E1F6576" w14:textId="1F381284" w:rsidR="008E02D7" w:rsidRDefault="008E02D7" w:rsidP="0080793D">
      <w:pPr>
        <w:spacing w:line="360" w:lineRule="auto"/>
        <w:ind w:firstLine="567"/>
        <w:jc w:val="both"/>
        <w:rPr>
          <w:iCs/>
        </w:rPr>
      </w:pPr>
      <w:r w:rsidRPr="00FB1183">
        <w:rPr>
          <w:iCs/>
        </w:rPr>
        <w:lastRenderedPageBreak/>
        <w:t>Pemanfaatan media social adalah strategi kontekstualisasi yang menjelaskan bagaimana upaya setiap orang percaya untuk menyampaikan injil dengan mengunakan media social, dimana penyampaian injil kepada generasi produktif Indonesia melalui media social seperi You Tube, Tik-tok, Facebook dan lain sebagainya.</w:t>
      </w:r>
    </w:p>
    <w:p w14:paraId="452B128B" w14:textId="77777777" w:rsidR="0080793D" w:rsidRPr="0080793D" w:rsidRDefault="0080793D" w:rsidP="0080793D">
      <w:pPr>
        <w:spacing w:line="360" w:lineRule="auto"/>
        <w:ind w:firstLine="567"/>
        <w:jc w:val="both"/>
        <w:rPr>
          <w:iCs/>
        </w:rPr>
      </w:pPr>
    </w:p>
    <w:p w14:paraId="7584538E" w14:textId="77777777" w:rsidR="008E02D7" w:rsidRPr="00FB1183" w:rsidRDefault="008E02D7" w:rsidP="0080793D">
      <w:pPr>
        <w:spacing w:line="360" w:lineRule="auto"/>
        <w:jc w:val="both"/>
        <w:rPr>
          <w:b/>
          <w:bCs/>
          <w:iCs/>
        </w:rPr>
      </w:pPr>
      <w:r w:rsidRPr="00FB1183">
        <w:rPr>
          <w:b/>
          <w:bCs/>
          <w:iCs/>
        </w:rPr>
        <w:t>In Culture Sebagai Strategi Kontesktualisasi Bagi Penginjilan Di Era Bonus Demografi</w:t>
      </w:r>
    </w:p>
    <w:p w14:paraId="708659CE" w14:textId="77777777" w:rsidR="008E02D7" w:rsidRPr="00FB1183" w:rsidRDefault="008E02D7" w:rsidP="0080793D">
      <w:pPr>
        <w:spacing w:line="360" w:lineRule="auto"/>
        <w:ind w:firstLine="567"/>
        <w:jc w:val="both"/>
        <w:rPr>
          <w:iCs/>
        </w:rPr>
      </w:pPr>
      <w:r w:rsidRPr="00FB1183">
        <w:rPr>
          <w:iCs/>
        </w:rPr>
        <w:t>Strategi kontekstualisasi ini adalah upaya orang percaya menyampaikan injil dengan masuk kedalam budaya generasi produktif indonesia, saat ini generasi produktif Indonesia memiliki banyak budaya atau kebiasaan dan strategi ini memberikan kita gambaran untuk kita melakukan pedekatan dengan masuk melalui budaya mereka dengan fokus untuk injil diberitakan.</w:t>
      </w:r>
    </w:p>
    <w:p w14:paraId="4954B13A" w14:textId="6D303157" w:rsidR="00D1136F" w:rsidRDefault="00D1136F" w:rsidP="0080793D">
      <w:pPr>
        <w:spacing w:line="360" w:lineRule="auto"/>
        <w:ind w:firstLine="720"/>
        <w:jc w:val="both"/>
      </w:pPr>
    </w:p>
    <w:p w14:paraId="313065F5" w14:textId="77777777" w:rsidR="008E2CCF" w:rsidRDefault="006D339D" w:rsidP="0080793D">
      <w:pPr>
        <w:tabs>
          <w:tab w:val="left" w:pos="284"/>
        </w:tabs>
        <w:spacing w:line="360" w:lineRule="auto"/>
        <w:jc w:val="both"/>
        <w:rPr>
          <w:b/>
        </w:rPr>
      </w:pPr>
      <w:commentRangeStart w:id="17"/>
      <w:r>
        <w:rPr>
          <w:b/>
        </w:rPr>
        <w:t>KESIMPULAN</w:t>
      </w:r>
      <w:commentRangeEnd w:id="17"/>
      <w:r w:rsidR="005E6642">
        <w:rPr>
          <w:rStyle w:val="ReferensiKomentar"/>
          <w:b/>
          <w:sz w:val="24"/>
          <w:szCs w:val="24"/>
        </w:rPr>
        <w:commentReference w:id="17"/>
      </w:r>
    </w:p>
    <w:p w14:paraId="72E9D053" w14:textId="77777777" w:rsidR="008E02D7" w:rsidRPr="00FB1183" w:rsidRDefault="008E02D7" w:rsidP="0080793D">
      <w:pPr>
        <w:spacing w:line="360" w:lineRule="auto"/>
        <w:ind w:firstLine="720"/>
        <w:jc w:val="both"/>
        <w:rPr>
          <w:iCs/>
        </w:rPr>
      </w:pPr>
      <w:r w:rsidRPr="00FB1183">
        <w:rPr>
          <w:iCs/>
        </w:rPr>
        <w:t>Ditengah perkembangan teknologi, Indonesia mengalami Fenomena bonus demografi, bonus demografi indonesia merupakan suatu peningkatan usia prodktif di Indonesia sebesar 70 persen dimana usia produktif mencapai 200 juta jiwa, sehingga hal ini mejadi suatu ladang misi baru dimana Injil harus disampaikan bagi mereka.</w:t>
      </w:r>
    </w:p>
    <w:p w14:paraId="28C43A80" w14:textId="08EDBF8C" w:rsidR="008E02D7" w:rsidRPr="00FB1183" w:rsidRDefault="008E02D7" w:rsidP="0080793D">
      <w:pPr>
        <w:spacing w:line="360" w:lineRule="auto"/>
        <w:ind w:firstLine="720"/>
        <w:jc w:val="both"/>
        <w:rPr>
          <w:iCs/>
        </w:rPr>
        <w:sectPr w:rsidR="008E02D7" w:rsidRPr="00FB1183">
          <w:type w:val="continuous"/>
          <w:pgSz w:w="11906" w:h="16838"/>
          <w:pgMar w:top="1418" w:right="1418" w:bottom="1418" w:left="1701" w:header="708" w:footer="708" w:gutter="0"/>
          <w:cols w:space="720"/>
        </w:sectPr>
      </w:pPr>
      <w:r w:rsidRPr="00FB1183">
        <w:rPr>
          <w:iCs/>
        </w:rPr>
        <w:t>Dalam pemberitaan injil ditengah perkembangan teknologi serta fenomena bonus demografi Indonesia maka hamba Tuhan orang percaya memerlukan strategi kontekstualisasi. Paulus, dalam Kisah Para Rasul memberi kitastrategi kontekstualisasi yang dapat digunakan dalam pemberitaan injil kepada generasi produktif Indonesia. Berikut tiga strategi kontekstualisasi Paulus menurut kisah para rasul, pertama menghargai kebudayaan sebagai strategi kontekstualisasi dimana Paulus memuji kebudayaan orang-orang Atena sebelum membritakan Injil, kedua pengembangan potensi diri sebagai strategi kontekstualisasi dimana Paulus dengan keahliannya dia melakasanakan pekerjaan sabilan untuk menyesuaikan diri dengan konteks sekitar demi injil diberitakan, ketiga penggunaan Bahasa yang tepat sebagai strategi kontekstualisasi dimana Paulus tahu bahwa ia berbicara dengan orang Yahudi sehingga  menggunakan Bahasa Ibrani yaitu Bahasa orang Yahudi dan lewat hal tersebut orang-orang Yahudi menghargai dan memperhatikan yang diperkatakan Paul</w:t>
      </w:r>
    </w:p>
    <w:p w14:paraId="0B0519D1" w14:textId="77777777" w:rsidR="008E2CCF" w:rsidRDefault="008E2CCF" w:rsidP="0080793D">
      <w:pPr>
        <w:spacing w:line="360" w:lineRule="auto"/>
        <w:rPr>
          <w:b/>
        </w:rPr>
      </w:pPr>
    </w:p>
    <w:p w14:paraId="6E498252" w14:textId="4947CB20" w:rsidR="00FB1183" w:rsidRPr="00FB1183" w:rsidRDefault="006D339D" w:rsidP="0080793D">
      <w:pPr>
        <w:spacing w:line="360" w:lineRule="auto"/>
        <w:rPr>
          <w:b/>
        </w:rPr>
      </w:pPr>
      <w:r>
        <w:rPr>
          <w:b/>
        </w:rPr>
        <w:t xml:space="preserve">DAFTAR PUSTAKA </w:t>
      </w:r>
    </w:p>
    <w:p w14:paraId="6EAFEFF5" w14:textId="3ED62BBF" w:rsidR="00201645" w:rsidRPr="00201645" w:rsidRDefault="00201645" w:rsidP="00201645">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Pr="00201645">
        <w:rPr>
          <w:noProof/>
        </w:rPr>
        <w:t xml:space="preserve">Balz, H R, and G Schneider. </w:t>
      </w:r>
      <w:r w:rsidRPr="00201645">
        <w:rPr>
          <w:i/>
          <w:iCs/>
          <w:noProof/>
        </w:rPr>
        <w:t>Exegetical Dictionary of the New Testament: Pagideuō- Ōphelimos</w:t>
      </w:r>
      <w:r w:rsidRPr="00201645">
        <w:rPr>
          <w:noProof/>
        </w:rPr>
        <w:t>. Exegetical Dictionary of the New Testament. Eerdmans, 1990. https://books.google.co.id/books?id=eFTzzQEACAAJ.</w:t>
      </w:r>
    </w:p>
    <w:p w14:paraId="6E9574ED"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Barclay, W. </w:t>
      </w:r>
      <w:r w:rsidRPr="00201645">
        <w:rPr>
          <w:i/>
          <w:iCs/>
          <w:noProof/>
        </w:rPr>
        <w:t>Pash Kitab Kisah Para Rasul</w:t>
      </w:r>
      <w:r w:rsidRPr="00201645">
        <w:rPr>
          <w:noProof/>
        </w:rPr>
        <w:t>. BPK Gunung Mulia, n.d. https://books.google.co.id/books?id=Bsb5UTHiI00C.</w:t>
      </w:r>
    </w:p>
    <w:p w14:paraId="76B389BA"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Carlton, Matthew E. </w:t>
      </w:r>
      <w:r w:rsidRPr="00201645">
        <w:rPr>
          <w:i/>
          <w:iCs/>
          <w:noProof/>
        </w:rPr>
        <w:t>Kisah Para Rasul, Terjemahan Khusus Untuk Penerjemahan Dan Pendalaman Alkitab</w:t>
      </w:r>
      <w:r w:rsidRPr="00201645">
        <w:rPr>
          <w:noProof/>
        </w:rPr>
        <w:t>. Jakarta: Yayasan Karunia Bakti Budaya Indonesia, 2002.</w:t>
      </w:r>
    </w:p>
    <w:p w14:paraId="60B7987C"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Darmaputera, Eka. </w:t>
      </w:r>
      <w:r w:rsidRPr="00201645">
        <w:rPr>
          <w:i/>
          <w:iCs/>
          <w:noProof/>
        </w:rPr>
        <w:t>Menjadi Saksi Kristus (Pemahaman Kitab Kisah Para Rasul Tentang Pekabaran Injil Keseluruh Dunia</w:t>
      </w:r>
      <w:r w:rsidRPr="00201645">
        <w:rPr>
          <w:noProof/>
        </w:rPr>
        <w:t>. Jakarta: BPK Gunung Mulia, 2017.</w:t>
      </w:r>
    </w:p>
    <w:p w14:paraId="7E61A6E2"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Hasan Susanto. </w:t>
      </w:r>
      <w:r w:rsidRPr="00201645">
        <w:rPr>
          <w:i/>
          <w:iCs/>
          <w:noProof/>
        </w:rPr>
        <w:t>Perjanjian Baru Interlinear Yunani-Indonesia Dan Konkordansi Perjanjian Baru (PBIK) Jilid I</w:t>
      </w:r>
      <w:r w:rsidRPr="00201645">
        <w:rPr>
          <w:noProof/>
        </w:rPr>
        <w:t>. Jakarta: Lembaga Alkitab Indonesia, 2014.</w:t>
      </w:r>
    </w:p>
    <w:p w14:paraId="034C2424"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 </w:t>
      </w:r>
      <w:r w:rsidRPr="00201645">
        <w:rPr>
          <w:i/>
          <w:iCs/>
          <w:noProof/>
        </w:rPr>
        <w:t>Perjanjian Baru Interlinier Yunani-Indonesia Dan Konkordansi Perjanjian Baru Jilid 2</w:t>
      </w:r>
      <w:r w:rsidRPr="00201645">
        <w:rPr>
          <w:noProof/>
        </w:rPr>
        <w:t>. Malang: Literatur SAAT, 2014.</w:t>
      </w:r>
    </w:p>
    <w:p w14:paraId="1B132C42"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Henry, M. </w:t>
      </w:r>
      <w:r w:rsidRPr="00201645">
        <w:rPr>
          <w:i/>
          <w:iCs/>
          <w:noProof/>
        </w:rPr>
        <w:t>Matthew Henry’s Commentary on the Whole Bible: Volume VI-I - Acts - Romans</w:t>
      </w:r>
      <w:r w:rsidRPr="00201645">
        <w:rPr>
          <w:noProof/>
        </w:rPr>
        <w:t>. Lulu.com, n.d. https://books.google.co.id/books?id=mklHDwAAQBAJ.</w:t>
      </w:r>
    </w:p>
    <w:p w14:paraId="499595C7"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Jamieson, R, A R Fausset, and D Brown. </w:t>
      </w:r>
      <w:r w:rsidRPr="00201645">
        <w:rPr>
          <w:i/>
          <w:iCs/>
          <w:noProof/>
        </w:rPr>
        <w:t>Jamieson-Fausset-Brown Bible Commentary</w:t>
      </w:r>
      <w:r w:rsidRPr="00201645">
        <w:rPr>
          <w:noProof/>
        </w:rPr>
        <w:t>. Hendrickson Publishers Marketing, LLC, 1996. https://books.google.co.id/books?id=XecMAAAACAAJ.</w:t>
      </w:r>
    </w:p>
    <w:p w14:paraId="0A9FCDCF"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Karamoy, Ilona Olvy, Moody Daniel Goni, and Abiyah Elia Alexander. “Tinjauan Kewirausahaan Menurut Kisah Para Rasul 18: 3 Untuk Menunjang Pelayanan Hamba Tuhan Masa Kini.” </w:t>
      </w:r>
      <w:r w:rsidRPr="00201645">
        <w:rPr>
          <w:i/>
          <w:iCs/>
          <w:noProof/>
        </w:rPr>
        <w:t>DIDASKO: Jurnal Teologi Dan Pendidikan Kristen</w:t>
      </w:r>
      <w:r w:rsidRPr="00201645">
        <w:rPr>
          <w:noProof/>
        </w:rPr>
        <w:t xml:space="preserve"> 4, no. 1 (2024): 62–73.</w:t>
      </w:r>
    </w:p>
    <w:p w14:paraId="2FA741DC"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Kittel, G, G W Bromiley, and G Friedrich. </w:t>
      </w:r>
      <w:r w:rsidRPr="00201645">
        <w:rPr>
          <w:i/>
          <w:iCs/>
          <w:noProof/>
        </w:rPr>
        <w:t>Theological Dictionary of the New Testament, Volume I</w:t>
      </w:r>
      <w:r w:rsidRPr="00201645">
        <w:rPr>
          <w:noProof/>
        </w:rPr>
        <w:t>. Theological Dictionary of the New Testament. Eerdmans Publishing Company, 1964. https://books.google.co.id/books?id=4wVDJXzSHOUC.</w:t>
      </w:r>
    </w:p>
    <w:p w14:paraId="3E966F96"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Kusmanto, Fransius. “Pelaksanaan Pendekatan Penginjilan Kontekstual.” </w:t>
      </w:r>
      <w:r w:rsidRPr="00201645">
        <w:rPr>
          <w:i/>
          <w:iCs/>
          <w:noProof/>
        </w:rPr>
        <w:t>Jurnal Teologi Kontekstual</w:t>
      </w:r>
      <w:r w:rsidRPr="00201645">
        <w:rPr>
          <w:noProof/>
        </w:rPr>
        <w:t xml:space="preserve"> 2, no. 2 (2021): 16–26.</w:t>
      </w:r>
    </w:p>
    <w:p w14:paraId="2C439F17"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Lee, W, and Y P I Indonesia. </w:t>
      </w:r>
      <w:r w:rsidRPr="00201645">
        <w:rPr>
          <w:i/>
          <w:iCs/>
          <w:noProof/>
        </w:rPr>
        <w:t>Pelajaran-Hayat Kisah Para Rasul</w:t>
      </w:r>
      <w:r w:rsidRPr="00201645">
        <w:rPr>
          <w:noProof/>
        </w:rPr>
        <w:t>. Yayasan Perpustakaan Injil Indonesia (Yasperin), 2020. https://books.google.co.id/books?id=tlIOEAAAQBAJ.</w:t>
      </w:r>
    </w:p>
    <w:p w14:paraId="393B07C7"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Lexy, J Moleong. “Metode Penelitian Kualitatif Edisi Revisi.” </w:t>
      </w:r>
      <w:r w:rsidRPr="00201645">
        <w:rPr>
          <w:i/>
          <w:iCs/>
          <w:noProof/>
        </w:rPr>
        <w:t>Bandung: Rosda Karya</w:t>
      </w:r>
      <w:r w:rsidRPr="00201645">
        <w:rPr>
          <w:noProof/>
        </w:rPr>
        <w:t>, 2017, 50336–71.</w:t>
      </w:r>
    </w:p>
    <w:p w14:paraId="28A62FA4"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Louw, J, and E Nida. </w:t>
      </w:r>
      <w:r w:rsidRPr="00201645">
        <w:rPr>
          <w:i/>
          <w:iCs/>
          <w:noProof/>
        </w:rPr>
        <w:t>Greek-English Lexicon of the New Testament: Based on Semantic Domains</w:t>
      </w:r>
      <w:r w:rsidRPr="00201645">
        <w:rPr>
          <w:noProof/>
        </w:rPr>
        <w:t>. Hendrickson Publishers Marketing, LLC, 2019. https://books.google.co.id/books?id=YFpsuQEACAAJ.</w:t>
      </w:r>
    </w:p>
    <w:p w14:paraId="0A7E71F6"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Nainggolan, Donna Mutiara, Nehemia Nome, and S Ridolf. “PENTINGNYA KONTEKSTUALISASI PADA PENDIDIKAN KRISTEN.” </w:t>
      </w:r>
      <w:r w:rsidRPr="00201645">
        <w:rPr>
          <w:i/>
          <w:iCs/>
          <w:noProof/>
        </w:rPr>
        <w:t>Phronesis: Jurnal Teologi Dan Misi</w:t>
      </w:r>
      <w:r w:rsidRPr="00201645">
        <w:rPr>
          <w:noProof/>
        </w:rPr>
        <w:t xml:space="preserve"> 4, no. 1 (2021): 40–52.</w:t>
      </w:r>
    </w:p>
    <w:p w14:paraId="2FE69381"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Nasution, Marihot. “Studi Hubungan Bonus Demografi, Indeks Pembangunan Manusia, Dan Indeks Pembangunan Ketenagakerjaan Dengan Pertumbuhan Ekonomi.” </w:t>
      </w:r>
      <w:r w:rsidRPr="00201645">
        <w:rPr>
          <w:i/>
          <w:iCs/>
          <w:noProof/>
        </w:rPr>
        <w:t>Jurnal Budget: Isu Dan Masalah Keuangan Negara</w:t>
      </w:r>
      <w:r w:rsidRPr="00201645">
        <w:rPr>
          <w:noProof/>
        </w:rPr>
        <w:t xml:space="preserve"> 6, no. 1 (2021): 74–95.</w:t>
      </w:r>
    </w:p>
    <w:p w14:paraId="3BB58AFD"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Ngafifi, Muhamad. “Kemajuan Teknologi Dan Pola Hidup Manusia Dalam Perspektif Sosial Budaya.” </w:t>
      </w:r>
      <w:r w:rsidRPr="00201645">
        <w:rPr>
          <w:i/>
          <w:iCs/>
          <w:noProof/>
        </w:rPr>
        <w:t>Jurnal Pembangunan Pendidikan: Fondasi Dan Aplikasi</w:t>
      </w:r>
      <w:r w:rsidRPr="00201645">
        <w:rPr>
          <w:noProof/>
        </w:rPr>
        <w:t xml:space="preserve"> 2, no. 1 (2014).</w:t>
      </w:r>
    </w:p>
    <w:p w14:paraId="3EA1DE8E"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Prasarti, Suci, and Erik Teguh Prakoso. “Karakter Dan Perilaku Milineal: Peluang Atau Ancaman Bonus Demografi.” </w:t>
      </w:r>
      <w:r w:rsidRPr="00201645">
        <w:rPr>
          <w:i/>
          <w:iCs/>
          <w:noProof/>
        </w:rPr>
        <w:t>Consilia: Jurnal Ilmiah Bimbingan Dan Konseling</w:t>
      </w:r>
      <w:r w:rsidRPr="00201645">
        <w:rPr>
          <w:noProof/>
        </w:rPr>
        <w:t xml:space="preserve"> 3, no. 1 (2020): 10–22.</w:t>
      </w:r>
    </w:p>
    <w:p w14:paraId="62E3D4D6" w14:textId="77777777" w:rsidR="00201645" w:rsidRPr="00201645" w:rsidRDefault="00201645" w:rsidP="00201645">
      <w:pPr>
        <w:widowControl w:val="0"/>
        <w:autoSpaceDE w:val="0"/>
        <w:autoSpaceDN w:val="0"/>
        <w:adjustRightInd w:val="0"/>
        <w:ind w:left="480" w:hanging="480"/>
        <w:rPr>
          <w:noProof/>
        </w:rPr>
      </w:pPr>
      <w:r w:rsidRPr="00201645">
        <w:rPr>
          <w:noProof/>
        </w:rPr>
        <w:lastRenderedPageBreak/>
        <w:t xml:space="preserve">Safitri, Ira, Ayu Novidaniati Rusnita, Ramadani Shohiro Hasibuan, Fandy Franata Tarigan, and Tiur Malasari Siregar. “Antisipasi Dan Tantangan Bonus Demografi: Permasalahan Pengangguran Di Indonesia Menuju Tahun 2045.” </w:t>
      </w:r>
      <w:r w:rsidRPr="00201645">
        <w:rPr>
          <w:i/>
          <w:iCs/>
          <w:noProof/>
        </w:rPr>
        <w:t>Jurnal Pendidikan Tambusai</w:t>
      </w:r>
      <w:r w:rsidRPr="00201645">
        <w:rPr>
          <w:noProof/>
        </w:rPr>
        <w:t xml:space="preserve"> 7, no. 3 (2023): 28450–57.</w:t>
      </w:r>
    </w:p>
    <w:p w14:paraId="5968FB1E"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Setiawan, David Eko. “Kepemimpinan Kristen Di Era Bonus Demografi Pasca Sensus Penduduk Indonesia Tahun 2020.” </w:t>
      </w:r>
      <w:r w:rsidRPr="00201645">
        <w:rPr>
          <w:i/>
          <w:iCs/>
          <w:noProof/>
        </w:rPr>
        <w:t>KINAA: Jurnal Kepemimpinan Kristen Dan Pemberdayaan Jemaat</w:t>
      </w:r>
      <w:r w:rsidRPr="00201645">
        <w:rPr>
          <w:noProof/>
        </w:rPr>
        <w:t xml:space="preserve"> 2, no. 1 (2021).</w:t>
      </w:r>
    </w:p>
    <w:p w14:paraId="2B76A4E3"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Setiawan, I, and R P Banea. “Kontekstualisasi Menurut Kisah Para Rasul 17: 16-34.” </w:t>
      </w:r>
      <w:r w:rsidRPr="00201645">
        <w:rPr>
          <w:i/>
          <w:iCs/>
          <w:noProof/>
        </w:rPr>
        <w:t>Te Deum (Jurnal Teologi Dan …</w:t>
      </w:r>
      <w:r w:rsidRPr="00201645">
        <w:rPr>
          <w:noProof/>
        </w:rPr>
        <w:t>, 2023. https://ojs.sttsappi.ac.id/index.php/tedeum/article/view/227.</w:t>
      </w:r>
    </w:p>
    <w:p w14:paraId="01A05D07"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Setiawan, Satria Aji. “Mengoptimalkan Bonus Demografi Untuk Mengurangi Tingkat Kemiskinan Di Indonesia.” </w:t>
      </w:r>
      <w:r w:rsidRPr="00201645">
        <w:rPr>
          <w:i/>
          <w:iCs/>
          <w:noProof/>
        </w:rPr>
        <w:t>Jurnal Analis Kebijakan</w:t>
      </w:r>
      <w:r w:rsidRPr="00201645">
        <w:rPr>
          <w:noProof/>
        </w:rPr>
        <w:t xml:space="preserve"> 2, no. 2 (2018).</w:t>
      </w:r>
    </w:p>
    <w:p w14:paraId="001D90BE"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Sutanto, Hasan. </w:t>
      </w:r>
      <w:r w:rsidRPr="00201645">
        <w:rPr>
          <w:i/>
          <w:iCs/>
          <w:noProof/>
        </w:rPr>
        <w:t>Perjanjian Baru Interlinier Yunani-Indonesia Dan Konkordansi Perjanjian Baru (PBIK),” Jilid II</w:t>
      </w:r>
      <w:r w:rsidRPr="00201645">
        <w:rPr>
          <w:noProof/>
        </w:rPr>
        <w:t>. Jakarta: LAI, 2006.</w:t>
      </w:r>
    </w:p>
    <w:p w14:paraId="0946692C"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Tampubolon, Yohanes Hasiholan. “Kontekstualisasi Metodologi Misiologi Paulus Dalam Dunia Kontemporer.” </w:t>
      </w:r>
      <w:r w:rsidRPr="00201645">
        <w:rPr>
          <w:i/>
          <w:iCs/>
          <w:noProof/>
        </w:rPr>
        <w:t>Excelsis Deo: Jurnal Teologi, Misiologi, Dan Pendidikan</w:t>
      </w:r>
      <w:r w:rsidRPr="00201645">
        <w:rPr>
          <w:noProof/>
        </w:rPr>
        <w:t xml:space="preserve"> 3, no. 2 (2019): 13–25.</w:t>
      </w:r>
    </w:p>
    <w:p w14:paraId="6D3D7909"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Tanama, Yulia Jayanti, Duma Fitri Pakpahan, and Wahyu Sapta Purnama. “Kontekstualisasi Pendidikan Agama Kristen Bagi Remaja.” </w:t>
      </w:r>
      <w:r w:rsidRPr="00201645">
        <w:rPr>
          <w:i/>
          <w:iCs/>
          <w:noProof/>
        </w:rPr>
        <w:t>PASCA: Jurnal Teologi Dan Pendidikan Agama Kristen</w:t>
      </w:r>
      <w:r w:rsidRPr="00201645">
        <w:rPr>
          <w:noProof/>
        </w:rPr>
        <w:t xml:space="preserve"> 18, no. 2 (2022): 208–19.</w:t>
      </w:r>
    </w:p>
    <w:p w14:paraId="6A593D9C"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Vine, W E, and E Rev Terry Kulakowski. </w:t>
      </w:r>
      <w:r w:rsidRPr="00201645">
        <w:rPr>
          <w:i/>
          <w:iCs/>
          <w:noProof/>
        </w:rPr>
        <w:t>Vines Expository Dictionary of New Testament Words</w:t>
      </w:r>
      <w:r w:rsidRPr="00201645">
        <w:rPr>
          <w:noProof/>
        </w:rPr>
        <w:t>. Reformed Church Publications, 2015. https://books.google.co.id/books?id=DrsYCwAAQBAJ.</w:t>
      </w:r>
    </w:p>
    <w:p w14:paraId="7C9D86E0"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Zega, Yunardi Kristian. “Pendidikan Agama Kristen Dalam Keluarga: Upaya Membangun Spiritualitas Remaja Generasi Z.” </w:t>
      </w:r>
      <w:r w:rsidRPr="00201645">
        <w:rPr>
          <w:i/>
          <w:iCs/>
          <w:noProof/>
        </w:rPr>
        <w:t>Jurnal Luxnos</w:t>
      </w:r>
      <w:r w:rsidRPr="00201645">
        <w:rPr>
          <w:noProof/>
        </w:rPr>
        <w:t xml:space="preserve"> 7, no. 1 (2021): 105–16.</w:t>
      </w:r>
    </w:p>
    <w:p w14:paraId="5DD055D8" w14:textId="78B1249A" w:rsidR="008E2CCF" w:rsidRDefault="00201645" w:rsidP="0080793D">
      <w:pPr>
        <w:spacing w:line="276" w:lineRule="auto"/>
        <w:ind w:left="360" w:hanging="360"/>
        <w:jc w:val="both"/>
      </w:pPr>
      <w:r>
        <w:fldChar w:fldCharType="end"/>
      </w:r>
    </w:p>
    <w:sectPr w:rsidR="008E2CCF">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enulis" w:initials="A">
    <w:p w14:paraId="3DBA2916" w14:textId="5AEE3512" w:rsidR="00E13C1D" w:rsidRDefault="00E13C1D">
      <w:pPr>
        <w:pStyle w:val="TeksKomentar"/>
      </w:pPr>
      <w:r>
        <w:rPr>
          <w:rStyle w:val="ReferensiKomentar"/>
        </w:rPr>
        <w:annotationRef/>
      </w:r>
      <w:r>
        <w:t>di mana</w:t>
      </w:r>
    </w:p>
  </w:comment>
  <w:comment w:id="1" w:author="Penulis" w:initials="A">
    <w:p w14:paraId="4528264D" w14:textId="4E340BEC" w:rsidR="00E13C1D" w:rsidRDefault="00E13C1D">
      <w:pPr>
        <w:pStyle w:val="TeksKomentar"/>
      </w:pPr>
      <w:r>
        <w:rPr>
          <w:rStyle w:val="ReferensiKomentar"/>
        </w:rPr>
        <w:annotationRef/>
      </w:r>
      <w:r>
        <w:t>produktif</w:t>
      </w:r>
    </w:p>
  </w:comment>
  <w:comment w:id="2" w:author="Penulis" w:initials="A">
    <w:p w14:paraId="7F76D0BF" w14:textId="2E4C25B3" w:rsidR="00E13C1D" w:rsidRDefault="00E13C1D">
      <w:pPr>
        <w:pStyle w:val="TeksKomentar"/>
      </w:pPr>
      <w:r>
        <w:rPr>
          <w:rStyle w:val="ReferensiKomentar"/>
        </w:rPr>
        <w:annotationRef/>
      </w:r>
      <w:r>
        <w:t>penting</w:t>
      </w:r>
    </w:p>
  </w:comment>
  <w:comment w:id="3" w:author="Penulis" w:initials="A">
    <w:p w14:paraId="3A4EFD20" w14:textId="5C378859" w:rsidR="00E13C1D" w:rsidRDefault="00E13C1D">
      <w:pPr>
        <w:pStyle w:val="TeksKomentar"/>
      </w:pPr>
      <w:r>
        <w:rPr>
          <w:rStyle w:val="ReferensiKomentar"/>
        </w:rPr>
        <w:annotationRef/>
      </w:r>
      <w:r>
        <w:t>kualitatif</w:t>
      </w:r>
    </w:p>
  </w:comment>
  <w:comment w:id="4" w:author="Penulis" w:initials="A">
    <w:p w14:paraId="5976A429" w14:textId="27A48E3A" w:rsidR="00E13C1D" w:rsidRDefault="00E13C1D">
      <w:pPr>
        <w:pStyle w:val="TeksKomentar"/>
      </w:pPr>
      <w:r>
        <w:rPr>
          <w:rStyle w:val="ReferensiKomentar"/>
        </w:rPr>
        <w:annotationRef/>
      </w:r>
      <w:r>
        <w:t>ditinjau</w:t>
      </w:r>
    </w:p>
  </w:comment>
  <w:comment w:id="5" w:author="Penulis" w:initials="A">
    <w:p w14:paraId="6EF119DD" w14:textId="5479697F" w:rsidR="00E13C1D" w:rsidRDefault="00E13C1D">
      <w:pPr>
        <w:pStyle w:val="TeksKomentar"/>
      </w:pPr>
      <w:r>
        <w:rPr>
          <w:rStyle w:val="ReferensiKomentar"/>
        </w:rPr>
        <w:annotationRef/>
      </w:r>
      <w:r>
        <w:t>holistik</w:t>
      </w:r>
    </w:p>
  </w:comment>
  <w:comment w:id="6" w:author="Penulis" w:initials="A">
    <w:p w14:paraId="50D11A9B" w14:textId="21D67029" w:rsidR="00E13C1D" w:rsidRDefault="00E13C1D">
      <w:pPr>
        <w:pStyle w:val="TeksKomentar"/>
      </w:pPr>
      <w:r>
        <w:rPr>
          <w:rStyle w:val="ReferensiKomentar"/>
        </w:rPr>
        <w:annotationRef/>
      </w:r>
      <w:r>
        <w:t>K huruf besar</w:t>
      </w:r>
    </w:p>
  </w:comment>
  <w:comment w:id="7" w:author="Penulis" w:initials="A">
    <w:p w14:paraId="4A29CE50" w14:textId="77777777" w:rsidR="00E13C1D" w:rsidRDefault="00E13C1D">
      <w:pPr>
        <w:pStyle w:val="TeksKomentar"/>
      </w:pPr>
      <w:r>
        <w:rPr>
          <w:rStyle w:val="ReferensiKomentar"/>
        </w:rPr>
        <w:annotationRef/>
      </w:r>
      <w:r>
        <w:t>Kata Kunci diulang 2 x, supaya satu dihapus.</w:t>
      </w:r>
    </w:p>
    <w:p w14:paraId="6C830FDB" w14:textId="77777777" w:rsidR="00E13C1D" w:rsidRDefault="00E13C1D">
      <w:pPr>
        <w:pStyle w:val="TeksKomentar"/>
      </w:pPr>
    </w:p>
    <w:p w14:paraId="3A9997F5" w14:textId="2D99B7E8" w:rsidR="00E13C1D" w:rsidRDefault="00E13C1D">
      <w:pPr>
        <w:pStyle w:val="TeksKomentar"/>
      </w:pPr>
      <w:r>
        <w:t>MOHON PERHATIAN: TOLONG BACA ULANG DAN KOREKSI BANYAK KESALAHAN PENGETIKAN KATA</w:t>
      </w:r>
    </w:p>
  </w:comment>
  <w:comment w:id="8" w:author="Penulis" w:initials="A">
    <w:p w14:paraId="7D311D50" w14:textId="1C888D58" w:rsidR="00E13C1D" w:rsidRDefault="00E13C1D">
      <w:pPr>
        <w:pStyle w:val="TeksKomentar"/>
      </w:pPr>
      <w:r>
        <w:rPr>
          <w:rStyle w:val="ReferensiKomentar"/>
        </w:rPr>
        <w:annotationRef/>
      </w:r>
      <w:r>
        <w:t>Tolong dibaca ulang, dan perbaiki pengetikan kata-kata yang salah (Huruf besar, awalan dan atau kata depan harus bisa dibedakan)</w:t>
      </w:r>
    </w:p>
  </w:comment>
  <w:comment w:id="9" w:author="Penulis" w:initials="A">
    <w:p w14:paraId="0B7486B9" w14:textId="36E7DEF8" w:rsidR="00E13C1D" w:rsidRDefault="00E13C1D">
      <w:pPr>
        <w:pStyle w:val="TeksKomentar"/>
      </w:pPr>
      <w:r>
        <w:rPr>
          <w:rStyle w:val="ReferensiKomentar"/>
        </w:rPr>
        <w:annotationRef/>
      </w:r>
      <w:r>
        <w:t xml:space="preserve">Tidak perlu setiap kata huruf besar kecuali </w:t>
      </w:r>
      <w:r w:rsidR="0086408F">
        <w:t>yang di awal</w:t>
      </w:r>
    </w:p>
  </w:comment>
  <w:comment w:id="10" w:author="Penulis" w:initials="A">
    <w:p w14:paraId="3DA33ACA" w14:textId="4992452C" w:rsidR="00E13C1D" w:rsidRDefault="00E13C1D">
      <w:pPr>
        <w:pStyle w:val="TeksKomentar"/>
      </w:pPr>
      <w:r>
        <w:rPr>
          <w:rStyle w:val="ReferensiKomentar"/>
        </w:rPr>
        <w:annotationRef/>
      </w:r>
      <w:r>
        <w:t>Awal kalimat huruf besar</w:t>
      </w:r>
    </w:p>
  </w:comment>
  <w:comment w:id="11" w:author="Penulis" w:initials="A">
    <w:p w14:paraId="7861A0B7" w14:textId="63A6315C" w:rsidR="0086408F" w:rsidRDefault="0086408F">
      <w:pPr>
        <w:pStyle w:val="TeksKomentar"/>
      </w:pPr>
      <w:r>
        <w:rPr>
          <w:rStyle w:val="ReferensiKomentar"/>
        </w:rPr>
        <w:annotationRef/>
      </w:r>
      <w:r>
        <w:t>I besar</w:t>
      </w:r>
    </w:p>
  </w:comment>
  <w:comment w:id="13" w:author="Penulis" w:initials="A">
    <w:p w14:paraId="79C09486" w14:textId="57DFC054" w:rsidR="0086408F" w:rsidRDefault="0086408F">
      <w:pPr>
        <w:pStyle w:val="TeksKomentar"/>
      </w:pPr>
      <w:r>
        <w:rPr>
          <w:rStyle w:val="ReferensiKomentar"/>
        </w:rPr>
        <w:annotationRef/>
      </w:r>
      <w:r>
        <w:t>membawa</w:t>
      </w:r>
    </w:p>
  </w:comment>
  <w:comment w:id="14" w:author="Penulis" w:initials="A">
    <w:p w14:paraId="3DE24C3A" w14:textId="29239667" w:rsidR="0086408F" w:rsidRDefault="0086408F">
      <w:pPr>
        <w:pStyle w:val="TeksKomentar"/>
      </w:pPr>
      <w:r>
        <w:rPr>
          <w:rStyle w:val="ReferensiKomentar"/>
        </w:rPr>
        <w:annotationRef/>
      </w:r>
      <w:r>
        <w:t>nama kitab dimulai hurf kapital</w:t>
      </w:r>
    </w:p>
  </w:comment>
  <w:comment w:id="15" w:author="Penulis" w:initials="A">
    <w:p w14:paraId="4C341587" w14:textId="5A923E00" w:rsidR="005E6642" w:rsidRDefault="005E6642">
      <w:pPr>
        <w:pStyle w:val="TeksKomentar"/>
      </w:pPr>
      <w:r>
        <w:rPr>
          <w:rStyle w:val="ReferensiKomentar"/>
        </w:rPr>
        <w:annotationRef/>
      </w:r>
      <w:r>
        <w:t>Di bagian Abstrak disebutkan ada wawancara, tetapi di metode penelitian tidak ada wawancara. Mana yang benar?</w:t>
      </w:r>
    </w:p>
  </w:comment>
  <w:comment w:id="16" w:author="Penulis" w:initials="A">
    <w:p w14:paraId="7A54F11E" w14:textId="77777777" w:rsidR="005E6642" w:rsidRDefault="005E6642">
      <w:pPr>
        <w:pStyle w:val="TeksKomentar"/>
      </w:pPr>
      <w:r>
        <w:rPr>
          <w:rStyle w:val="ReferensiKomentar"/>
        </w:rPr>
        <w:annotationRef/>
      </w:r>
      <w:r>
        <w:t xml:space="preserve">Hasil temuan tentang pemanfaatan media sosial, sepertinya tidak menjadi cakupan dari judul artikel. </w:t>
      </w:r>
    </w:p>
    <w:p w14:paraId="37617A71" w14:textId="7E69FD5A" w:rsidR="005E6642" w:rsidRDefault="005E6642">
      <w:pPr>
        <w:pStyle w:val="TeksKomentar"/>
      </w:pPr>
      <w:r>
        <w:t>Mengapa hasil temuannya seperti ini, bisa lebih diperjelas?</w:t>
      </w:r>
    </w:p>
  </w:comment>
  <w:comment w:id="17" w:author="Penulis" w:initials="A">
    <w:p w14:paraId="43295411" w14:textId="37899C9C" w:rsidR="005E6642" w:rsidRDefault="005E6642">
      <w:pPr>
        <w:pStyle w:val="TeksKomentar"/>
      </w:pPr>
      <w:r>
        <w:rPr>
          <w:rStyle w:val="ReferensiKomentar"/>
        </w:rPr>
        <w:annotationRef/>
      </w:r>
      <w:r>
        <w:t>Tolong kesimpulannya dibaca ulang dan perbaiki kata-kata yang kurang lengkap.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DBA2916" w15:done="0"/>
  <w15:commentEx w15:paraId="4528264D" w15:done="0"/>
  <w15:commentEx w15:paraId="7F76D0BF" w15:done="0"/>
  <w15:commentEx w15:paraId="3A4EFD20" w15:done="0"/>
  <w15:commentEx w15:paraId="5976A429" w15:done="0"/>
  <w15:commentEx w15:paraId="6EF119DD" w15:done="0"/>
  <w15:commentEx w15:paraId="50D11A9B" w15:done="0"/>
  <w15:commentEx w15:paraId="3A9997F5" w15:done="0"/>
  <w15:commentEx w15:paraId="7D311D50" w15:done="0"/>
  <w15:commentEx w15:paraId="0B7486B9" w15:done="0"/>
  <w15:commentEx w15:paraId="3DA33ACA" w15:done="0"/>
  <w15:commentEx w15:paraId="7861A0B7" w15:done="0"/>
  <w15:commentEx w15:paraId="79C09486" w15:done="0"/>
  <w15:commentEx w15:paraId="3DE24C3A" w15:done="0"/>
  <w15:commentEx w15:paraId="4C341587" w15:done="0"/>
  <w15:commentEx w15:paraId="37617A71" w15:done="0"/>
  <w15:commentEx w15:paraId="4329541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DBA2916" w16cid:durableId="22944C19"/>
  <w16cid:commentId w16cid:paraId="4528264D" w16cid:durableId="2B328724"/>
  <w16cid:commentId w16cid:paraId="7F76D0BF" w16cid:durableId="2ED73579"/>
  <w16cid:commentId w16cid:paraId="3A4EFD20" w16cid:durableId="12C04E0C"/>
  <w16cid:commentId w16cid:paraId="5976A429" w16cid:durableId="4398D9AF"/>
  <w16cid:commentId w16cid:paraId="6EF119DD" w16cid:durableId="3C8B361D"/>
  <w16cid:commentId w16cid:paraId="50D11A9B" w16cid:durableId="36382659"/>
  <w16cid:commentId w16cid:paraId="3A9997F5" w16cid:durableId="3ECF6814"/>
  <w16cid:commentId w16cid:paraId="7D311D50" w16cid:durableId="0FD29EA8"/>
  <w16cid:commentId w16cid:paraId="0B7486B9" w16cid:durableId="764B2335"/>
  <w16cid:commentId w16cid:paraId="3DA33ACA" w16cid:durableId="59561A56"/>
  <w16cid:commentId w16cid:paraId="7861A0B7" w16cid:durableId="176839A1"/>
  <w16cid:commentId w16cid:paraId="79C09486" w16cid:durableId="26EC7799"/>
  <w16cid:commentId w16cid:paraId="3DE24C3A" w16cid:durableId="211B26D6"/>
  <w16cid:commentId w16cid:paraId="4C341587" w16cid:durableId="53C95D80"/>
  <w16cid:commentId w16cid:paraId="37617A71" w16cid:durableId="545C6B80"/>
  <w16cid:commentId w16cid:paraId="43295411" w16cid:durableId="66ED2E5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0E2E8" w14:textId="77777777" w:rsidR="007A6524" w:rsidRDefault="007A6524">
      <w:r>
        <w:separator/>
      </w:r>
    </w:p>
  </w:endnote>
  <w:endnote w:type="continuationSeparator" w:id="0">
    <w:p w14:paraId="0C7887F4" w14:textId="77777777" w:rsidR="007A6524" w:rsidRDefault="007A6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ustria">
    <w:altName w:val="Cambria"/>
    <w:charset w:val="00"/>
    <w:family w:val="auto"/>
    <w:pitch w:val="default"/>
  </w:font>
  <w:font w:name="Goudy Old Style">
    <w:panose1 w:val="02020502050305020303"/>
    <w:charset w:val="00"/>
    <w:family w:val="roman"/>
    <w:pitch w:val="variable"/>
    <w:sig w:usb0="00000003" w:usb1="00000000" w:usb2="00000000" w:usb3="00000000" w:csb0="00000001" w:csb1="00000000"/>
  </w:font>
  <w:font w:name="EB Garamond">
    <w:altName w:val="Calibri"/>
    <w:charset w:val="00"/>
    <w:family w:val="auto"/>
    <w:pitch w:val="variable"/>
    <w:sig w:usb0="E00002FF" w:usb1="02000413" w:usb2="00000000" w:usb3="00000000" w:csb0="000001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orben">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475C9" w14:textId="77777777" w:rsidR="008E2CCF" w:rsidRDefault="006D339D">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81F0A" w14:textId="77777777" w:rsidR="008E2CCF" w:rsidRDefault="006D339D">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51AD9" w14:textId="77777777" w:rsidR="008E2CCF" w:rsidRDefault="006D339D">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52F8B" w14:textId="77777777" w:rsidR="007A6524" w:rsidRDefault="007A6524">
      <w:r>
        <w:separator/>
      </w:r>
    </w:p>
  </w:footnote>
  <w:footnote w:type="continuationSeparator" w:id="0">
    <w:p w14:paraId="2DDA8750" w14:textId="77777777" w:rsidR="007A6524" w:rsidRDefault="007A6524">
      <w:r>
        <w:continuationSeparator/>
      </w:r>
    </w:p>
  </w:footnote>
  <w:footnote w:id="1">
    <w:p w14:paraId="0C01362C"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{"citationItems":[{"id":"ITEM-1","itemData":{"ISSN":"2502-1648","author":[{"dropping-particle":"","family":"Ngafifi","given":"Muhamad","non-dropping-particle":"","parse-names":false,"suffix":""}],"container-title":"Jurnal Pembangunan Pendidikan: Fondasi dan Aplikasi","id":"ITEM-1","issue":"1","issued":{"date-parts":[["2014"]]},"title":"Kemajuan teknologi dan pola hidup manusia dalam perspektif sosial budaya","type":"article-journal","volume":"2"},"uris":["http://www.mendeley.com/documents/?uuid=d4666d58-72bf-4317-81a3-1dc4dd393f69","http://www.mendeley.com/documents/?uuid=ca80f5b9-0580-45e8-b1f4-fa3adea59af7"]}],"mendeley":{"formattedCitation":"Muhamad Ngafifi, “Kemajuan Teknologi Dan Pola Hidup Manusia Dalam Perspektif Sosial Budaya,” &lt;i&gt;Jurnal Pembangunan Pendidikan: Fondasi Dan Aplikasi&lt;/i&gt; 2, no. 1 (2014).","plainTextFormattedCitation":"Muhamad Ngafifi, “Kemajuan Teknologi Dan Pola Hidup Manusia Dalam Perspektif Sosial Budaya,” Jurnal Pembangunan Pendidikan: Fondasi Dan Aplikasi 2, no. 1 (2014).","previouslyFormattedCitation":"Muhamad Ngafifi, “Kemajuan Teknologi Dan Pola Hidup Manusia Dalam Perspektif Sosial Budaya,” &lt;i&gt;Jurnal Pembangunan Pendidikan: Fondasi Dan Aplikasi&lt;/i&gt; 2, no. 1 (2014)."},"properties":{"noteIndex":1},"schema":"https://github.com/citation-style-language/schema/raw/master/csl-citation.json"}</w:instrText>
      </w:r>
      <w:r w:rsidRPr="005B0611">
        <w:fldChar w:fldCharType="separate"/>
      </w:r>
      <w:r w:rsidRPr="005B0611">
        <w:rPr>
          <w:noProof/>
        </w:rPr>
        <w:t xml:space="preserve">Muhamad Ngafifi, “Kemajuan Teknologi Dan Pola Hidup Manusia Dalam Perspektif Sosial Budaya,” </w:t>
      </w:r>
      <w:r w:rsidRPr="005B0611">
        <w:rPr>
          <w:i/>
          <w:noProof/>
        </w:rPr>
        <w:t>Jurnal Pembangunan Pendidikan: Fondasi Dan Aplikasi</w:t>
      </w:r>
      <w:r w:rsidRPr="005B0611">
        <w:rPr>
          <w:noProof/>
        </w:rPr>
        <w:t xml:space="preserve"> 2, no. 1 (2014).</w:t>
      </w:r>
      <w:r w:rsidRPr="005B0611">
        <w:fldChar w:fldCharType="end"/>
      </w:r>
    </w:p>
  </w:footnote>
  <w:footnote w:id="2">
    <w:p w14:paraId="2587E052"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{"citationItems":[{"id":"ITEM-1","itemData":{"ISSN":"2722-8827","author":[{"dropping-particle":"","family":"Setiawan","given":"David Eko","non-dropping-particle":"","parse-names":false,"suffix":""}],"container-title":"KINAA: Jurnal Kepemimpinan Kristen dan Pemberdayaan Jemaat","id":"ITEM-1","issue":"1","issued":{"date-parts":[["2021"]]},"title":"Kepemimpinan Kristen di Era Bonus Demografi Pasca Sensus Penduduk Indonesia Tahun 2020","type":"article-journal","volume":"2"},"uris":["http://www.mendeley.com/documents/?uuid=4b277df3-af8d-426c-a6d1-5f80ba5b1ee0","http://www.mendeley.com/documents/?uuid=2d1d6c4b-6d3a-42c4-bd9a-295fae4c7bc8"]}],"mendeley":{"formattedCitation":"David Eko Setiawan, “Kepemimpinan Kristen Di Era Bonus Demografi Pasca Sensus Penduduk Indonesia Tahun 2020,” &lt;i&gt;KINAA: Jurnal Kepemimpinan Kristen Dan Pemberdayaan Jemaat&lt;/i&gt; 2, no. 1 (2021).","plainTextFormattedCitation":"David Eko Setiawan, “Kepemimpinan Kristen Di Era Bonus Demografi Pasca Sensus Penduduk Indonesia Tahun 2020,” KINAA: Jurnal Kepemimpinan Kristen Dan Pemberdayaan Jemaat 2, no. 1 (2021).","previouslyFormattedCitation":"David Eko Setiawan, “Kepemimpinan Kristen Di Era Bonus Demografi Pasca Sensus Penduduk Indonesia Tahun 2020,” &lt;i&gt;KINAA: Jurnal Kepemimpinan Kristen Dan Pemberdayaan Jemaat&lt;/i&gt; 2, no. 1 (2021)."},"properties":{"noteIndex":2},"schema":"https://github.com/citation-style-language/schema/raw/master/csl-citation.json"}</w:instrText>
      </w:r>
      <w:r w:rsidRPr="005B0611">
        <w:fldChar w:fldCharType="separate"/>
      </w:r>
      <w:r w:rsidRPr="005B0611">
        <w:rPr>
          <w:noProof/>
        </w:rPr>
        <w:t xml:space="preserve">David Eko Setiawan, “Kepemimpinan Kristen Di Era Bonus Demografi Pasca Sensus Penduduk Indonesia Tahun 2020,” </w:t>
      </w:r>
      <w:r w:rsidRPr="005B0611">
        <w:rPr>
          <w:i/>
          <w:noProof/>
        </w:rPr>
        <w:t>KINAA: Jurnal Kepemimpinan Kristen Dan Pemberdayaan Jemaat</w:t>
      </w:r>
      <w:r w:rsidRPr="005B0611">
        <w:rPr>
          <w:noProof/>
        </w:rPr>
        <w:t xml:space="preserve"> 2, no. 1 (2021).</w:t>
      </w:r>
      <w:r w:rsidRPr="005B0611">
        <w:fldChar w:fldCharType="end"/>
      </w:r>
    </w:p>
  </w:footnote>
  <w:footnote w:id="3">
    <w:p w14:paraId="68B57551"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{"citationItems":[{"id":"ITEM-1","itemData":{"ISSN":"2714-5441","author":[{"dropping-particle":"","family":"Setiawan","given":"Satria Aji","non-dropping-particle":"","parse-names":false,"suffix":""}],"container-title":"Jurnal Analis Kebijakan","id":"ITEM-1","issue":"2","issued":{"date-parts":[["2018"]]},"title":"Mengoptimalkan bonus demografi untuk mengurangi tingkat kemiskinan di Indonesia","type":"article-journal","volume":"2"},"uris":["http://www.mendeley.com/documents/?uuid=c87c6b32-2c39-471f-94ff-0daa0a714869","http://www.mendeley.com/documents/?uuid=91c4334b-c910-4c5d-b760-f9345f85577a"]}],"mendeley":{"formattedCitation":"Satria Aji Setiawan, “Mengoptimalkan Bonus Demografi Untuk Mengurangi Tingkat Kemiskinan Di Indonesia,” &lt;i&gt;Jurnal Analis Kebijakan&lt;/i&gt; 2, no. 2 (2018).","plainTextFormattedCitation":"Satria Aji Setiawan, “Mengoptimalkan Bonus Demografi Untuk Mengurangi Tingkat Kemiskinan Di Indonesia,” Jurnal Analis Kebijakan 2, no. 2 (2018).","previouslyFormattedCitation":"Satria Aji Setiawan, “Mengoptimalkan Bonus Demografi Untuk Mengurangi Tingkat Kemiskinan Di Indonesia,” &lt;i&gt;Jurnal Analis Kebijakan&lt;/i&gt; 2, no. 2 (2018)."},"properties":{"noteIndex":3},"schema":"https://github.com/citation-style-language/schema/raw/master/csl-citation.json"}</w:instrText>
      </w:r>
      <w:r w:rsidRPr="005B0611">
        <w:fldChar w:fldCharType="separate"/>
      </w:r>
      <w:r w:rsidRPr="005B0611">
        <w:rPr>
          <w:noProof/>
        </w:rPr>
        <w:t xml:space="preserve">Satria Aji Setiawan, “Mengoptimalkan Bonus Demografi Untuk Mengurangi Tingkat Kemiskinan Di Indonesia,” </w:t>
      </w:r>
      <w:r w:rsidRPr="005B0611">
        <w:rPr>
          <w:i/>
          <w:noProof/>
        </w:rPr>
        <w:t>Jurnal Analis Kebijakan</w:t>
      </w:r>
      <w:r w:rsidRPr="005B0611">
        <w:rPr>
          <w:noProof/>
        </w:rPr>
        <w:t xml:space="preserve"> 2, no. 2 (2018).</w:t>
      </w:r>
      <w:r w:rsidRPr="005B0611">
        <w:fldChar w:fldCharType="end"/>
      </w:r>
    </w:p>
  </w:footnote>
  <w:footnote w:id="4">
    <w:p w14:paraId="146281DD" w14:textId="1202A3C2"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{"citationItems":[{"id":"ITEM-1","itemData":{"author":[{"dropping-particle":"","family":"Nasution","given":"Marihot","non-dropping-particle":"","parse-names":false,"suffix":""}],"container-title":"Jurnal Budget: Isu dan Masalah Keuangan Negara","id":"ITEM-1","issue":"1","issued":{"date-parts":[["2021"]]},"page":"74-95","title":"Studi Hubungan Bonus Demografi, Indeks Pembangunan Manusia, Dan Indeks Pembangunan Ketenagakerjaan Dengan Pertumbuhan Ekonomi","type":"article-journal","volume":"6"},"uris":["http://www.mendeley.com/documents/?uuid=0ecb07f5-beff-4eab-8b59-57bd7d639e54","http://www.mendeley.com/documents/?uuid=59491b2a-6f7d-46dc-b795-67f4540a5ccf"]}],"mendeley":{"formattedCitation":"Marihot Nasution, “Studi Hubungan Bonus Demografi, Indeks Pembangunan Manusia, Dan Indeks Pembangunan Ketenagakerjaan Dengan Pertumbuhan Ekonomi,” &lt;i&gt;Jurnal Budget: Isu Dan Masalah Keuangan Negara&lt;/i&gt; 6, no. 1 (2021): 74–95.","plainTextFormattedCitation":"Marihot Nasution, “Studi Hubungan Bonus Demografi, Indeks Pembangunan Manusia, Dan Indeks Pembangunan Ketenagakerjaan Dengan Pertumbuhan Ekonomi,” Jurnal Budget: Isu Dan Masalah Keuangan Negara 6, no. 1 (2021): 74–95.","previouslyFormattedCitation":"Marihot Nasution, “Studi Hubungan Bonus Demografi, Indeks Pembangunan Manusia, Dan Indeks Pembangunan Ketenagakerjaan Dengan Pertumbuhan Ekonomi,” &lt;i&gt;Jurnal Budget: Isu Dan Masalah Keuangan Negara&lt;/i&gt; 6, no. 1 (2021): 74–95."},"properties":{"noteIndex":4},"schema":"https://github.com/citation-style-language/schema/raw/master/csl-citation.json"}</w:instrText>
      </w:r>
      <w:r w:rsidRPr="005B0611">
        <w:fldChar w:fldCharType="separate"/>
      </w:r>
      <w:r w:rsidRPr="005B0611">
        <w:rPr>
          <w:noProof/>
        </w:rPr>
        <w:t xml:space="preserve">Marihot Nasution, “Studi Hubungan Bonus Demografi, Indeks Pembangunan Manusia, Dan Indeks Pembangunan Ketenagakerjaan Dengan Pertumbuhan Ekonomi,” </w:t>
      </w:r>
      <w:r w:rsidRPr="005B0611">
        <w:rPr>
          <w:i/>
          <w:noProof/>
        </w:rPr>
        <w:t>Jurnal Budget: Isu Dan Masalah Keuangan Negara</w:t>
      </w:r>
      <w:r w:rsidRPr="005B0611">
        <w:rPr>
          <w:noProof/>
        </w:rPr>
        <w:t xml:space="preserve"> 6, no. 1 (2021): 74–95.</w:t>
      </w:r>
      <w:r w:rsidRPr="005B0611">
        <w:fldChar w:fldCharType="end"/>
      </w:r>
    </w:p>
  </w:footnote>
  <w:footnote w:id="5">
    <w:p w14:paraId="221CC22B"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{"citationItems":[{"id":"ITEM-1","itemData":{"ISSN":"2620-5343","author":[{"dropping-particle":"","family":"Prasarti","given":"Suci","non-dropping-particle":"","parse-names":false,"suffix":""},{"dropping-particle":"","family":"Prakoso","given":"Erik Teguh","non-dropping-particle":"","parse-names":false,"suffix":""}],"container-title":"Consilia: Jurnal Ilmiah Bimbingan Dan Konseling","id":"ITEM-1","issue":"1","issued":{"date-parts":[["2020"]]},"page":"10-22","title":"Karakter dan perilaku milineal: peluang atau ancaman bonus demografi","type":"article-journal","volume":"3"},"uris":["http://www.mendeley.com/documents/?uuid=d7abc9d8-4765-41c4-8d2d-add814cc0d6f","http://www.mendeley.com/documents/?uuid=3b2ca980-7c60-42eb-8207-c2eaff14b1e5"]}],"mendeley":{"formattedCitation":"Suci Prasarti and Erik Teguh Prakoso, “Karakter Dan Perilaku Milineal: Peluang Atau Ancaman Bonus Demografi,” &lt;i&gt;Consilia: Jurnal Ilmiah Bimbingan Dan Konseling&lt;/i&gt; 3, no. 1 (2020): 10–22.","plainTextFormattedCitation":"Suci Prasarti and Erik Teguh Prakoso, “Karakter Dan Perilaku Milineal: Peluang Atau Ancaman Bonus Demografi,” Consilia: Jurnal Ilmiah Bimbingan Dan Konseling 3, no. 1 (2020): 10–22.","previouslyFormattedCitation":"Suci Prasarti and Erik Teguh Prakoso, “Karakter Dan Perilaku Milineal: Peluang Atau Ancaman Bonus Demografi,” &lt;i&gt;Consilia: Jurnal Ilmiah Bimbingan Dan Konseling&lt;/i&gt; 3, no. 1 (2020): 10–22."},"properties":{"noteIndex":5},"schema":"https://github.com/citation-style-language/schema/raw/master/csl-citation.json"}</w:instrText>
      </w:r>
      <w:r w:rsidRPr="005B0611">
        <w:fldChar w:fldCharType="separate"/>
      </w:r>
      <w:r w:rsidRPr="005B0611">
        <w:rPr>
          <w:noProof/>
        </w:rPr>
        <w:t xml:space="preserve">Suci Prasarti and Erik Teguh Prakoso, “Karakter Dan Perilaku Milineal: Peluang Atau Ancaman Bonus Demografi,” </w:t>
      </w:r>
      <w:r w:rsidRPr="005B0611">
        <w:rPr>
          <w:i/>
          <w:noProof/>
        </w:rPr>
        <w:t>Consilia: Jurnal Ilmiah Bimbingan Dan Konseling</w:t>
      </w:r>
      <w:r w:rsidRPr="005B0611">
        <w:rPr>
          <w:noProof/>
        </w:rPr>
        <w:t xml:space="preserve"> 3, no. 1 (2020): 10–22.</w:t>
      </w:r>
      <w:r w:rsidRPr="005B0611">
        <w:fldChar w:fldCharType="end"/>
      </w:r>
    </w:p>
  </w:footnote>
  <w:footnote w:id="6">
    <w:p w14:paraId="2550AFFC"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{"citationItems":[{"id":"ITEM-1","itemData":{"ISSN":"2614-3097","author":[{"dropping-particle":"","family":"Safitri","given":"Ira","non-dropping-particle":"","parse-names":false,"suffix":""},{"dropping-particle":"","family":"Rusnita","given":"Ayu Novidaniati","non-dropping-particle":"","parse-names":false,"suffix":""},{"dropping-particle":"","family":"Hasibuan","given":"Ramadani Shohiro","non-dropping-particle":"","parse-names":false,"suffix":""},{"dropping-particle":"","family":"Tarigan","given":"Fandy Franata","non-dropping-particle":"","parse-names":false,"suffix":""},{"dropping-particle":"","family":"Siregar","given":"Tiur Malasari","non-dropping-particle":"","parse-names":false,"suffix":""}],"container-title":"Jurnal Pendidikan Tambusai","id":"ITEM-1","issue":"3","issued":{"date-parts":[["2023"]]},"page":"28450-28457","title":"Antisipasi dan Tantangan Bonus Demografi: Permasalahan Pengangguran di Indonesia Menuju Tahun 2045","type":"article-journal","volume":"7"},"uris":["http://www.mendeley.com/documents/?uuid=40fd8109-21e3-4fab-8fe0-6c3580b71434","http://www.mendeley.com/documents/?uuid=d819b6d5-b4ac-4f5b-92f3-9d2b61b8843d"]}],"mendeley":{"formattedCitation":"Ira Safitri et al., “Antisipasi Dan Tantangan Bonus Demografi: Permasalahan Pengangguran Di Indonesia Menuju Tahun 2045,” &lt;i&gt;Jurnal Pendidikan Tambusai&lt;/i&gt; 7, no. 3 (2023): 28450–57.","plainTextFormattedCitation":"Ira Safitri et al., “Antisipasi Dan Tantangan Bonus Demografi: Permasalahan Pengangguran Di Indonesia Menuju Tahun 2045,” Jurnal Pendidikan Tambusai 7, no. 3 (2023): 28450–57.","previouslyFormattedCitation":"Ira Safitri et al., “Antisipasi Dan Tantangan Bonus Demografi: Permasalahan Pengangguran Di Indonesia Menuju Tahun 2045,” &lt;i&gt;Jurnal Pendidikan Tambusai&lt;/i&gt; 7, no. 3 (2023): 28450–57."},"properties":{"noteIndex":6},"schema":"https://github.com/citation-style-language/schema/raw/master/csl-citation.json"}</w:instrText>
      </w:r>
      <w:r w:rsidRPr="005B0611">
        <w:fldChar w:fldCharType="separate"/>
      </w:r>
      <w:r w:rsidRPr="005B0611">
        <w:rPr>
          <w:noProof/>
        </w:rPr>
        <w:t xml:space="preserve">Ira Safitri et al., “Antisipasi Dan Tantangan Bonus Demografi: Permasalahan Pengangguran Di Indonesia Menuju Tahun 2045,” </w:t>
      </w:r>
      <w:r w:rsidRPr="005B0611">
        <w:rPr>
          <w:i/>
          <w:noProof/>
        </w:rPr>
        <w:t>Jurnal Pendidikan Tambusai</w:t>
      </w:r>
      <w:r w:rsidRPr="005B0611">
        <w:rPr>
          <w:noProof/>
        </w:rPr>
        <w:t xml:space="preserve"> 7, no. 3 (2023): 28450–57.</w:t>
      </w:r>
      <w:r w:rsidRPr="005B0611">
        <w:fldChar w:fldCharType="end"/>
      </w:r>
    </w:p>
  </w:footnote>
  <w:footnote w:id="7">
    <w:p w14:paraId="237C0A79"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{"citationItems":[{"id":"ITEM-1","itemData":{"author":[{"dropping-particle":"","family":"Zega","given":"Yunardi Kristian","non-dropping-particle":"","parse-names":false,"suffix":""}],"container-title":"Jurnal luxnos","id":"ITEM-1","issue":"1","issued":{"date-parts":[["2021"]]},"page":"105-116","title":"Pendidikan Agama Kristen Dalam Keluarga: Upaya Membangun Spiritualitas Remaja Generasi Z","type":"article-journal","volume":"7"},"uris":["http://www.mendeley.com/documents/?uuid=e3f740ac-44c6-4eed-a3e2-19ae58f0d44d","http://www.mendeley.com/documents/?uuid=a9175c81-8091-41a3-a1b4-f65101458e1e"]}],"mendeley":{"formattedCitation":"Yunardi Kristian Zega, “Pendidikan Agama Kristen Dalam Keluarga: Upaya Membangun Spiritualitas Remaja Generasi Z,” &lt;i&gt;Jurnal Luxnos&lt;/i&gt; 7, no. 1 (2021): 105–16.","plainTextFormattedCitation":"Yunardi Kristian Zega, “Pendidikan Agama Kristen Dalam Keluarga: Upaya Membangun Spiritualitas Remaja Generasi Z,” Jurnal Luxnos 7, no. 1 (2021): 105–16.","previouslyFormattedCitation":"Yunardi Kristian Zega, “Pendidikan Agama Kristen Dalam Keluarga: Upaya Membangun Spiritualitas Remaja Generasi Z,” &lt;i&gt;Jurnal Luxnos&lt;/i&gt; 7, no. 1 (2021): 105–16."},"properties":{"noteIndex":7},"schema":"https://github.com/citation-style-language/schema/raw/master/csl-citation.json"}</w:instrText>
      </w:r>
      <w:r w:rsidRPr="005B0611">
        <w:fldChar w:fldCharType="separate"/>
      </w:r>
      <w:r w:rsidRPr="005B0611">
        <w:rPr>
          <w:noProof/>
        </w:rPr>
        <w:t xml:space="preserve">Yunardi Kristian Zega, “Pendidikan Agama Kristen Dalam Keluarga: Upaya Membangun Spiritualitas Remaja Generasi Z,” </w:t>
      </w:r>
      <w:r w:rsidRPr="005B0611">
        <w:rPr>
          <w:i/>
          <w:noProof/>
        </w:rPr>
        <w:t>Jurnal Luxnos</w:t>
      </w:r>
      <w:r w:rsidRPr="005B0611">
        <w:rPr>
          <w:noProof/>
        </w:rPr>
        <w:t xml:space="preserve"> 7, no. 1 (2021): 105–16.</w:t>
      </w:r>
      <w:r w:rsidRPr="005B0611">
        <w:fldChar w:fldCharType="end"/>
      </w:r>
    </w:p>
  </w:footnote>
  <w:footnote w:id="8">
    <w:p w14:paraId="68AA9913" w14:textId="77777777" w:rsidR="0001498B" w:rsidRPr="005B0611" w:rsidRDefault="0001498B" w:rsidP="0001498B">
      <w:pPr>
        <w:pStyle w:val="TeksCatatanKaki"/>
        <w:jc w:val="both"/>
      </w:pPr>
      <w:r w:rsidRPr="005B0611">
        <w:rPr>
          <w:rStyle w:val="ReferensiCatatanKaki"/>
        </w:rPr>
        <w:footnoteRef/>
      </w:r>
      <w:r w:rsidRPr="005B0611">
        <w:t xml:space="preserve"> Yakob Tomatala, Teologi kontekstualisasi (Malang:</w:t>
      </w:r>
      <w:r>
        <w:t xml:space="preserve"> </w:t>
      </w:r>
      <w:r w:rsidRPr="005B0611">
        <w:t>Gandum Mas.2007), 2,3</w:t>
      </w:r>
    </w:p>
  </w:footnote>
  <w:footnote w:id="9">
    <w:p w14:paraId="225F9198"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{"citationItems":[{"id":"ITEM-1","itemData":{"ISSN":"2622-1144","author":[{"dropping-particle":"","family":"Tanama","given":"Yulia Jayanti","non-dropping-particle":"","parse-names":false,"suffix":""},{"dropping-particle":"","family":"Pakpahan","given":"Duma Fitri","non-dropping-particle":"","parse-names":false,"suffix":""},{"dropping-particle":"","family":"Purnama","given":"Wahyu Sapta","non-dropping-particle":"","parse-names":false,"suffix":""}],"container-title":"PASCA: Jurnal Teologi dan Pendidikan Agama Kristen","id":"ITEM-1","issue":"2","issued":{"date-parts":[["2022"]]},"page":"208-219","title":"Kontekstualisasi Pendidikan Agama Kristen Bagi Remaja","type":"article-journal","volume":"18"},"uris":["http://www.mendeley.com/documents/?uuid=66d7cb9f-8ce7-4c4e-b235-81928a469898","http://www.mendeley.com/documents/?uuid=1f7d4857-3ad6-4952-aeb3-93251371adcb"]}],"mendeley":{"formattedCitation":"Yulia Jayanti Tanama, Duma Fitri Pakpahan, and Wahyu Sapta Purnama, “Kontekstualisasi Pendidikan Agama Kristen Bagi Remaja,” &lt;i&gt;PASCA: Jurnal Teologi Dan Pendidikan Agama Kristen&lt;/i&gt; 18, no. 2 (2022): 208–19.","plainTextFormattedCitation":"Yulia Jayanti Tanama, Duma Fitri Pakpahan, and Wahyu Sapta Purnama, “Kontekstualisasi Pendidikan Agama Kristen Bagi Remaja,” PASCA: Jurnal Teologi Dan Pendidikan Agama Kristen 18, no. 2 (2022): 208–19.","previouslyFormattedCitation":"Yulia Jayanti Tanama, Duma Fitri Pakpahan, and Wahyu Sapta Purnama, “Kontekstualisasi Pendidikan Agama Kristen Bagi Remaja,” &lt;i&gt;PASCA: Jurnal Teologi Dan Pendidikan Agama Kristen&lt;/i&gt; 18, no. 2 (2022): 208–19."},"properties":{"noteIndex":9},"schema":"https://github.com/citation-style-language/schema/raw/master/csl-citation.json"}</w:instrText>
      </w:r>
      <w:r w:rsidRPr="005B0611">
        <w:fldChar w:fldCharType="separate"/>
      </w:r>
      <w:r w:rsidRPr="005B0611">
        <w:rPr>
          <w:noProof/>
        </w:rPr>
        <w:t xml:space="preserve">Yulia Jayanti Tanama, Duma Fitri Pakpahan, and Wahyu Sapta Purnama, “Kontekstualisasi Pendidikan Agama Kristen Bagi Remaja,” </w:t>
      </w:r>
      <w:r w:rsidRPr="005B0611">
        <w:rPr>
          <w:i/>
          <w:noProof/>
        </w:rPr>
        <w:t>PASCA: Jurnal Teologi Dan Pendidikan Agama Kristen</w:t>
      </w:r>
      <w:r w:rsidRPr="005B0611">
        <w:rPr>
          <w:noProof/>
        </w:rPr>
        <w:t xml:space="preserve"> 18, no. 2 (2022): 208–19.</w:t>
      </w:r>
      <w:r w:rsidRPr="005B0611">
        <w:fldChar w:fldCharType="end"/>
      </w:r>
    </w:p>
  </w:footnote>
  <w:footnote w:id="10">
    <w:p w14:paraId="47612B4A"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{"citationItems":[{"id":"ITEM-1","itemData":{"author":[{"dropping-particle":"","family":"Kusmanto","given":"Fransius","non-dropping-particle":"","parse-names":false,"suffix":""}],"container-title":"Jurnal Teologi Kontekstual","id":"ITEM-1","issue":"2","issued":{"date-parts":[["2021"]]},"page":"16-26","title":"Pelaksanaan Pendekatan Penginjilan Kontekstual","type":"article-journal","volume":"2"},"uris":["http://www.mendeley.com/documents/?uuid=1621df7a-2a3b-4f85-a979-8bac0ed3178d","http://www.mendeley.com/documents/?uuid=bbfdf8f5-72f6-4866-aafd-1b2da0c43411"]}],"mendeley":{"formattedCitation":"Fransius Kusmanto, “Pelaksanaan Pendekatan Penginjilan Kontekstual,” &lt;i&gt;Jurnal Teologi Kontekstual&lt;/i&gt; 2, no. 2 (2021): 16–26.","plainTextFormattedCitation":"Fransius Kusmanto, “Pelaksanaan Pendekatan Penginjilan Kontekstual,” Jurnal Teologi Kontekstual 2, no. 2 (2021): 16–26.","previouslyFormattedCitation":"Fransius Kusmanto, “Pelaksanaan Pendekatan Penginjilan Kontekstual,” &lt;i&gt;Jurnal Teologi Kontekstual&lt;/i&gt; 2, no. 2 (2021): 16–26."},"properties":{"noteIndex":10},"schema":"https://github.com/citation-style-language/schema/raw/master/csl-citation.json"}</w:instrText>
      </w:r>
      <w:r w:rsidRPr="005B0611">
        <w:fldChar w:fldCharType="separate"/>
      </w:r>
      <w:r w:rsidRPr="005B0611">
        <w:rPr>
          <w:noProof/>
        </w:rPr>
        <w:t xml:space="preserve">Fransius Kusmanto, “Pelaksanaan Pendekatan Penginjilan Kontekstual,” </w:t>
      </w:r>
      <w:r w:rsidRPr="005B0611">
        <w:rPr>
          <w:i/>
          <w:noProof/>
        </w:rPr>
        <w:t>Jurnal Teologi Kontekstual</w:t>
      </w:r>
      <w:r w:rsidRPr="005B0611">
        <w:rPr>
          <w:noProof/>
        </w:rPr>
        <w:t xml:space="preserve"> 2, no. 2 (2021): 16–26.</w:t>
      </w:r>
      <w:r w:rsidRPr="005B0611">
        <w:fldChar w:fldCharType="end"/>
      </w:r>
    </w:p>
  </w:footnote>
  <w:footnote w:id="11">
    <w:p w14:paraId="75C6A320"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{"citationItems":[{"id":"ITEM-1","itemData":{"ISSN":"2723-6617","author":[{"dropping-particle":"","family":"Nainggolan","given":"Donna Mutiara","non-dropping-particle":"","parse-names":false,"suffix":""},{"dropping-particle":"","family":"Nome","given":"Nehemia","non-dropping-particle":"","parse-names":false,"suffix":""},{"dropping-particle":"","family":"Ridolf","given":"S","non-dropping-particle":"","parse-names":false,"suffix":""}],"container-title":"Phronesis: Jurnal Teologi dan Misi","id":"ITEM-1","issue":"1","issued":{"date-parts":[["2021"]]},"page":"40-52","title":"PENTINGNYA KONTEKSTUALISASI PADA PENDIDIKAN KRISTEN","type":"article-journal","volume":"4"},"uris":["http://www.mendeley.com/documents/?uuid=568392ef-839d-4d60-a180-85656dc26652","http://www.mendeley.com/documents/?uuid=2bea5292-a745-481c-a267-5b9ca88e8901"]}],"mendeley":{"formattedCitation":"Donna Mutiara Nainggolan, Nehemia Nome, and S Ridolf, “PENTINGNYA KONTEKSTUALISASI PADA PENDIDIKAN KRISTEN,” &lt;i&gt;Phronesis: Jurnal Teologi Dan Misi&lt;/i&gt; 4, no. 1 (2021): 40–52.","plainTextFormattedCitation":"Donna Mutiara Nainggolan, Nehemia Nome, and S Ridolf, “PENTINGNYA KONTEKSTUALISASI PADA PENDIDIKAN KRISTEN,” Phronesis: Jurnal Teologi Dan Misi 4, no. 1 (2021): 40–52.","previouslyFormattedCitation":"Donna Mutiara Nainggolan, Nehemia Nome, and S Ridolf, “PENTINGNYA KONTEKSTUALISASI PADA PENDIDIKAN KRISTEN,” &lt;i&gt;Phronesis: Jurnal Teologi Dan Misi&lt;/i&gt; 4, no. 1 (2021): 40–52."},"properties":{"noteIndex":11},"schema":"https://github.com/citation-style-language/schema/raw/master/csl-citation.json"}</w:instrText>
      </w:r>
      <w:r w:rsidRPr="005B0611">
        <w:fldChar w:fldCharType="separate"/>
      </w:r>
      <w:r w:rsidRPr="005B0611">
        <w:rPr>
          <w:noProof/>
        </w:rPr>
        <w:t xml:space="preserve">Donna Mutiara Nainggolan, Nehemia Nome, and S Ridolf, “PENTINGNYA KONTEKSTUALISASI PADA PENDIDIKAN KRISTEN,” </w:t>
      </w:r>
      <w:r w:rsidRPr="005B0611">
        <w:rPr>
          <w:i/>
          <w:noProof/>
        </w:rPr>
        <w:t>Phronesis: Jurnal Teologi Dan Misi</w:t>
      </w:r>
      <w:r w:rsidRPr="005B0611">
        <w:rPr>
          <w:noProof/>
        </w:rPr>
        <w:t xml:space="preserve"> 4, no. 1 (2021): 40–52.</w:t>
      </w:r>
      <w:r w:rsidRPr="005B0611">
        <w:fldChar w:fldCharType="end"/>
      </w:r>
    </w:p>
  </w:footnote>
  <w:footnote w:id="12">
    <w:p w14:paraId="606CFC62" w14:textId="1CB403A4"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16-34","type":"article-journal"},"uris":["http://www.mendeley.com/documents/?uuid=8e5185e6-cbe0-4ec4-a174-45d98e2b6022","http://www.mendeley.com/documents/?uuid=dcae9b50-7540-447f-a77e-83b28fb31e2e"]}],"mendeley":{"formattedCitation":"I Setiawan and R P Banea, “Kontekstualisasi Menurut Kisah Para Rasul 17: 16-34,” &lt;i&gt;Te Deum (Jurnal Teologi Dan …&lt;/i&gt;, 2023, https://ojs.sttsappi.ac.id/index.php/tedeum/article/view/227.","plainTextFormattedCitation":"I Setiawan and R P Banea, “Kontekstualisasi Menurut Kisah Para Rasul 17: 16-34,” Te Deum (Jurnal Teologi Dan …, 2023, https://ojs.sttsappi.ac.id/index.php/tedeum/article/view/227.","previouslyFormattedCitation":"I Setiawan and R P Banea, “Kontekstualisasi Menurut Kisah Para Rasul 17: 16-34,” &lt;i&gt;Te Deum (Jurnal Teologi Dan …&lt;/i&gt;, 2023."},"properties":{"noteIndex":12},"schema":"https://github.com/citation-style-language/schema/raw/master/csl-citation.json"}</w:instrText>
      </w:r>
      <w:r w:rsidRPr="005B0611">
        <w:fldChar w:fldCharType="separate"/>
      </w:r>
      <w:r w:rsidR="00201645" w:rsidRPr="00201645">
        <w:rPr>
          <w:noProof/>
        </w:rPr>
        <w:t xml:space="preserve">I Setiawan and R P Banea, “Kontekstualisasi Menurut Kisah Para Rasul 17: 16-34,” </w:t>
      </w:r>
      <w:r w:rsidR="00201645" w:rsidRPr="00201645">
        <w:rPr>
          <w:i/>
          <w:noProof/>
        </w:rPr>
        <w:t>Te Deum (Jurnal Teologi Dan …</w:t>
      </w:r>
      <w:r w:rsidR="00201645" w:rsidRPr="00201645">
        <w:rPr>
          <w:noProof/>
        </w:rPr>
        <w:t>, 2023, https://ojs.sttsappi.ac.id/index.php/tedeum/article/view/227.</w:t>
      </w:r>
      <w:r w:rsidRPr="005B0611">
        <w:fldChar w:fldCharType="end"/>
      </w:r>
    </w:p>
  </w:footnote>
  <w:footnote w:id="13">
    <w:p w14:paraId="501B1BE2"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{"citationItems":[{"id":"ITEM-1","itemData":{"ISSN":"2685-0923","author":[{"dropping-particle":"","family":"Tampubolon","given":"Yohanes Hasiholan","non-dropping-particle":"","parse-names":false,"suffix":""}],"container-title":"Excelsis Deo: Jurnal Teologi, Misiologi, Dan Pendidikan","id":"ITEM-1","issue":"2","issued":{"date-parts":[["2019"]]},"page":"13-25","title":"Kontekstualisasi Metodologi Misiologi Paulus Dalam Dunia Kontemporer","type":"article-journal","volume":"3"},"uris":["http://www.mendeley.com/documents/?uuid=1076675e-e955-4a72-82ab-192dfc1ebeb5","http://www.mendeley.com/documents/?uuid=7ff82301-95b6-435b-bdd5-b7096017718f"]}],"mendeley":{"formattedCitation":"Yohanes Hasiholan Tampubolon, “Kontekstualisasi Metodologi Misiologi Paulus Dalam Dunia Kontemporer,” &lt;i&gt;Excelsis Deo: Jurnal Teologi, Misiologi, Dan Pendidikan&lt;/i&gt; 3, no. 2 (2019): 13–25.","plainTextFormattedCitation":"Yohanes Hasiholan Tampubolon, “Kontekstualisasi Metodologi Misiologi Paulus Dalam Dunia Kontemporer,” Excelsis Deo: Jurnal Teologi, Misiologi, Dan Pendidikan 3, no. 2 (2019): 13–25.","previouslyFormattedCitation":"Yohanes Hasiholan Tampubolon, “Kontekstualisasi Metodologi Misiologi Paulus Dalam Dunia Kontemporer,” &lt;i&gt;Excelsis Deo: Jurnal Teologi, Misiologi, Dan Pendidikan&lt;/i&gt; 3, no. 2 (2019): 13–25."},"properties":{"noteIndex":13},"schema":"https://github.com/citation-style-language/schema/raw/master/csl-citation.json"}</w:instrText>
      </w:r>
      <w:r w:rsidRPr="005B0611">
        <w:fldChar w:fldCharType="separate"/>
      </w:r>
      <w:r w:rsidRPr="005B0611">
        <w:rPr>
          <w:noProof/>
        </w:rPr>
        <w:t xml:space="preserve">Yohanes Hasiholan Tampubolon, “Kontekstualisasi Metodologi Misiologi Paulus Dalam Dunia Kontemporer,” </w:t>
      </w:r>
      <w:r w:rsidRPr="005B0611">
        <w:rPr>
          <w:i/>
          <w:noProof/>
        </w:rPr>
        <w:t>Excelsis Deo: Jurnal Teologi, Misiologi, Dan Pendidikan</w:t>
      </w:r>
      <w:r w:rsidRPr="005B0611">
        <w:rPr>
          <w:noProof/>
        </w:rPr>
        <w:t xml:space="preserve"> 3, no. 2 (2019): 13–25.</w:t>
      </w:r>
      <w:r w:rsidRPr="005B0611">
        <w:fldChar w:fldCharType="end"/>
      </w:r>
    </w:p>
  </w:footnote>
  <w:footnote w:id="14">
    <w:p w14:paraId="34A9F6A3" w14:textId="5090A343"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{"citationItems":[{"id":"ITEM-1","itemData":{"author":[{"dropping-particle":"","family":"Lexy","given":"J Moleong","non-dropping-particle":"","parse-names":false,"suffix":""}],"container-title":"Bandung: Rosda Karya","id":"ITEM-1","issued":{"date-parts":[["2017"]]},"page":"50336-50371","title":"Metode Penelitian Kualitatif Edisi Revisi","type":"article-journal"},"locator":"4","uris":["http://www.mendeley.com/documents/?uuid=7fde68a7-1821-446d-abd4-883fb46e698f","http://www.mendeley.com/documents/?uuid=8efc9cd2-d56d-4a51-87af-3e2ff23b11b9"]}],"mendeley":{"formattedCitation":"J Moleong Lexy, “Metode Penelitian Kualitatif Edisi Revisi,” &lt;i&gt;Bandung: Rosda Karya&lt;/i&gt;, 2017, 4.","plainTextFormattedCitation":"J Moleong Lexy, “Metode Penelitian Kualitatif Edisi Revisi,” Bandung: Rosda Karya, 2017, 4.","previouslyFormattedCitation":"J Moleong Lexy, “Metode Penelitian Kualitatif Edisi Revisi,” &lt;i&gt;Bandung: Rosda Karya&lt;/i&gt;, 2017, 4."},"properties":{"noteIndex":14},"schema":"https://github.com/citation-style-language/schema/raw/master/csl-citation.json"}</w:instrText>
      </w:r>
      <w:r w:rsidRPr="005B0611">
        <w:fldChar w:fldCharType="separate"/>
      </w:r>
      <w:r w:rsidRPr="005B0611">
        <w:rPr>
          <w:noProof/>
        </w:rPr>
        <w:t xml:space="preserve">J Moleong Lexy, “Metode Penelitian Kualitatif Edisi Revisi,” </w:t>
      </w:r>
      <w:r w:rsidRPr="005B0611">
        <w:rPr>
          <w:i/>
          <w:noProof/>
        </w:rPr>
        <w:t>Bandung: Rosda Karya</w:t>
      </w:r>
      <w:r w:rsidRPr="005B0611">
        <w:rPr>
          <w:noProof/>
        </w:rPr>
        <w:t>, 2017, 4.</w:t>
      </w:r>
      <w:r w:rsidRPr="005B0611">
        <w:fldChar w:fldCharType="end"/>
      </w:r>
    </w:p>
  </w:footnote>
  <w:footnote w:id="15">
    <w:p w14:paraId="5E2BABE2" w14:textId="2EA2CF12"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16-34","type":"article-journal"},"uris":["http://www.mendeley.com/documents/?uuid=dcae9b50-7540-447f-a77e-83b28fb31e2e","http://www.mendeley.com/documents/?uuid=8e5185e6-cbe0-4ec4-a174-45d98e2b6022"]}],"mendeley":{"formattedCitation":"Setiawan and Banea, “Kontekstualisasi Menurut Kisah Para Rasul 17: 16-34.”","plainTextFormattedCitation":"Setiawan and Banea, “Kontekstualisasi Menurut Kisah Para Rasul 17: 16-34.”","previouslyFormattedCitation":"Setiawan and Banea, “Kontekstualisasi Menurut Kisah Para Rasul 17: 16-34.”"},"properties":{"noteIndex":15},"schema":"https://github.com/citation-style-language/schema/raw/master/csl-citation.json"}</w:instrText>
      </w:r>
      <w:r w:rsidRPr="005B0611">
        <w:fldChar w:fldCharType="separate"/>
      </w:r>
      <w:r w:rsidRPr="005B0611">
        <w:rPr>
          <w:noProof/>
        </w:rPr>
        <w:t>Setiawan and Banea, “Kontekstualisasi Menurut Kisah Para Rasul 17: 16-34.”</w:t>
      </w:r>
      <w:r w:rsidRPr="005B0611">
        <w:fldChar w:fldCharType="end"/>
      </w:r>
    </w:p>
  </w:footnote>
  <w:footnote w:id="16">
    <w:p w14:paraId="4C6DF031" w14:textId="65936F8F"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I","type":"book"},"locator":"733","uris":["http://www.mendeley.com/documents/?uuid=e5b14986-1471-4f80-bdf5-8d8f840f4b2a","http://www.mendeley.com/documents/?uuid=95566271-6a9f-4f4a-8c6d-d9a805857378"]}],"mendeley":{"formattedCitation":"Hasan Susanto, &lt;i&gt;Perjanjian Baru Interlinear Yunani-Indonesia Dan Konkordansi Perjanjian Baru (PBIK) Jilid I&lt;/i&gt; (Jakarta: Lembaga Alkitab Indonesia, 2014), 733.","manualFormatting":"Hasan Susanto, Perjanjian Baru Interlinear Yunani-Indonesia Dan Konkordansi Perjanjian Baru (PBIK) Jilid II (Jakarta: Lembaga Alkitab Indonesia, 2014), 733.","plainTextFormattedCitation":"Hasan Susanto, Perjanjian Baru Interlinear Yunani-Indonesia Dan Konkordansi Perjanjian Baru (PBIK) Jilid I (Jakarta: Lembaga Alkitab Indonesia, 2014), 733.","previouslyFormattedCitation":"Hasan Susanto, &lt;i&gt;Perjanjian Baru Interlinear Yunani-Indonesia Dan Konkordansi Perjanjian Baru (PBIK) Jilid I&lt;/i&gt; (Jakarta: Lembaga Alkitab Indonesia, 2014), 733."},"properties":{"noteIndex":16},"schema":"https://github.com/citation-style-language/schema/raw/master/csl-citation.json"}</w:instrText>
      </w:r>
      <w:r w:rsidRPr="005B0611">
        <w:fldChar w:fldCharType="separate"/>
      </w:r>
      <w:r w:rsidRPr="005B0611">
        <w:rPr>
          <w:noProof/>
        </w:rPr>
        <w:t xml:space="preserve">Hasan Susanto, </w:t>
      </w:r>
      <w:r w:rsidRPr="005B0611">
        <w:rPr>
          <w:i/>
          <w:noProof/>
        </w:rPr>
        <w:t>Perjanjian Baru Interlinear Yunani-Indonesia Dan Konkordansi Perjanjian Baru (PBIK) Jilid II</w:t>
      </w:r>
      <w:r w:rsidRPr="005B0611">
        <w:rPr>
          <w:noProof/>
        </w:rPr>
        <w:t xml:space="preserve"> (Jakarta: Lembaga Alkitab Indonesia, 2014), 733.</w:t>
      </w:r>
      <w:r w:rsidRPr="005B0611">
        <w:fldChar w:fldCharType="end"/>
      </w:r>
    </w:p>
  </w:footnote>
  <w:footnote w:id="17">
    <w:p w14:paraId="30A461A4" w14:textId="390DEF70"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178."},"properties":{"noteIndex":17},"schema":"https://github.com/citation-style-language/schema/raw/master/csl-citation.json"}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18">
    <w:p w14:paraId="2D42A240" w14:textId="461CCD1B"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Susanto.","plainTextFormattedCitation":"Hasan Susanto.","previouslyFormattedCitation":"Hasan Susanto, &lt;i&gt;Perjanjian Baru Interlinear Yunani-Indonesia Dan Konkordansi Perjanjian Baru (PBIK) Jilid I&lt;/i&gt;."},"properties":{"noteIndex":18},"schema":"https://github.com/citation-style-language/schema/raw/master/csl-citation.json"}</w:instrText>
      </w:r>
      <w:r w:rsidRPr="005B0611">
        <w:fldChar w:fldCharType="separate"/>
      </w:r>
      <w:r w:rsidR="00201645" w:rsidRPr="00201645">
        <w:rPr>
          <w:noProof/>
        </w:rPr>
        <w:t>Hasan Susanto.</w:t>
      </w:r>
      <w:r w:rsidRPr="005B0611">
        <w:fldChar w:fldCharType="end"/>
      </w:r>
    </w:p>
  </w:footnote>
  <w:footnote w:id="19">
    <w:p w14:paraId="5E839376" w14:textId="0E9E5F08"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16-34","type":"article-journal"},"uris":["http://www.mendeley.com/documents/?uuid=dcae9b50-7540-447f-a77e-83b28fb31e2e","http://www.mendeley.com/documents/?uuid=8e5185e6-cbe0-4ec4-a174-45d98e2b6022"]}],"mendeley":{"formattedCitation":"Setiawan and Banea, “Kontekstualisasi Menurut Kisah Para Rasul 17: 16-34.”","plainTextFormattedCitation":"Setiawan and Banea, “Kontekstualisasi Menurut Kisah Para Rasul 17: 16-34.”","previouslyFormattedCitation":"Setiawan and Banea, “Kontekstualisasi Menurut Kisah Para Rasul 17: 16-34.”"},"properties":{"noteIndex":19},"schema":"https://github.com/citation-style-language/schema/raw/master/csl-citation.json"}</w:instrText>
      </w:r>
      <w:r w:rsidRPr="005B0611">
        <w:fldChar w:fldCharType="separate"/>
      </w:r>
      <w:r w:rsidRPr="005B0611">
        <w:rPr>
          <w:noProof/>
        </w:rPr>
        <w:t>Setiawan and Banea, “Kontekstualisasi Menurut Kisah Para Rasul 17: 16-34.”</w:t>
      </w:r>
      <w:r w:rsidRPr="005B0611">
        <w:fldChar w:fldCharType="end"/>
      </w:r>
    </w:p>
  </w:footnote>
  <w:footnote w:id="20">
    <w:p w14:paraId="78BD056F" w14:textId="5255970D"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{"citationItems":[{"id":"ITEM-1","itemData":{"author":[{"dropping-particle":"","family":"Darmaputera","given":"Eka","non-dropping-particle":"","parse-names":false,"suffix":""}],"id":"ITEM-1","issued":{"date-parts":[["2017"]]},"number-of-pages":"233","publisher":"BPK Gunung Mulia","publisher-place":"Jakarta","title":"Menjadi Saksi Kristus (Pemahaman Kitab Kisah Para Rasul Tentang Pekabaran Injil Keseluruh Dunia","type":"book"},"locator":"234","uris":["http://www.mendeley.com/documents/?uuid=0431d7a7-85f6-42a8-b9cf-28c0262629c4","http://www.mendeley.com/documents/?uuid=52916e45-0973-42d1-be10-cb8251f44347"]}],"mendeley":{"formattedCitation":"Eka Darmaputera, &lt;i&gt;Menjadi Saksi Kristus (Pemahaman Kitab Kisah Para Rasul Tentang Pekabaran Injil Keseluruh Dunia&lt;/i&gt; (Jakarta: BPK Gunung Mulia, 2017), 234.","plainTextFormattedCitation":"Eka Darmaputera, Menjadi Saksi Kristus (Pemahaman Kitab Kisah Para Rasul Tentang Pekabaran Injil Keseluruh Dunia (Jakarta: BPK Gunung Mulia, 2017), 234.","previouslyFormattedCitation":"Eka Darmaputera, &lt;i&gt;Menjadi Saksi Kristus (Pemahaman Kitab Kisah Para Rasul Tentang Pekabaran Injil Keseluruh Dunia&lt;/i&gt; (Jakarta: BPK Gunung Mulia, 2017), 234."},"properties":{"noteIndex":20},"schema":"https://github.com/citation-style-language/schema/raw/master/csl-citation.json"}</w:instrText>
      </w:r>
      <w:r w:rsidRPr="005B0611">
        <w:fldChar w:fldCharType="separate"/>
      </w:r>
      <w:r w:rsidRPr="005B0611">
        <w:rPr>
          <w:noProof/>
        </w:rPr>
        <w:t xml:space="preserve">Eka Darmaputera, </w:t>
      </w:r>
      <w:r w:rsidRPr="005B0611">
        <w:rPr>
          <w:i/>
          <w:noProof/>
        </w:rPr>
        <w:t>Menjadi Saksi Kristus (Pemahaman Kitab Kisah Para Rasul Tentang Pekabaran Injil Keseluruh Dunia</w:t>
      </w:r>
      <w:r w:rsidRPr="005B0611">
        <w:rPr>
          <w:noProof/>
        </w:rPr>
        <w:t xml:space="preserve"> (Jakarta: BPK Gunung Mulia, 2017), 234.</w:t>
      </w:r>
      <w:r w:rsidRPr="005B0611">
        <w:fldChar w:fldCharType="end"/>
      </w:r>
    </w:p>
  </w:footnote>
  <w:footnote w:id="21">
    <w:p w14:paraId="06865EED" w14:textId="7B1A0F0A"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{"citationItems":[{"id":"ITEM-1","itemData":{"author":[{"dropping-particle":"","family":"Carlton","given":"Matthew E.","non-dropping-particle":"","parse-names":false,"suffix":""}],"id":"ITEM-1","issued":{"date-parts":[["2002"]]},"number-of-pages":"211","publisher":"Yayasan Karunia Bakti Budaya Indonesia","publisher-place":"Jakarta","title":"Kisah Para Rasul, Terjemahan Khusus untuk Penerjemahan dan Pendalaman Alkitab","type":"book"},"locator":"213","uris":["http://www.mendeley.com/documents/?uuid=4b7bd7aa-b690-4c41-9fbf-a2f298f6792b","http://www.mendeley.com/documents/?uuid=ab9d7b78-868e-4fec-87bd-2bcc5b141589"]}],"mendeley":{"formattedCitation":"Matthew E. Carlton, &lt;i&gt;Kisah Para Rasul, Terjemahan Khusus Untuk Penerjemahan Dan Pendalaman Alkitab&lt;/i&gt; (Jakarta: Yayasan Karunia Bakti Budaya Indonesia, 2002), 213.","plainTextFormattedCitation":"Matthew E. Carlton, Kisah Para Rasul, Terjemahan Khusus Untuk Penerjemahan Dan Pendalaman Alkitab (Jakarta: Yayasan Karunia Bakti Budaya Indonesia, 2002), 213.","previouslyFormattedCitation":"Matthew E. Carlton, &lt;i&gt;Kisah Para Rasul, Terjemahan Khusus Untuk Penerjemahan Dan Pendalaman Alkitab&lt;/i&gt; (Jakarta: Yayasan Karunia Bakti Budaya Indonesia, 2002), 213."},"properties":{"noteIndex":21},"schema":"https://github.com/citation-style-language/schema/raw/master/csl-citation.json"}</w:instrText>
      </w:r>
      <w:r w:rsidRPr="005B0611">
        <w:fldChar w:fldCharType="separate"/>
      </w:r>
      <w:r w:rsidRPr="005B0611">
        <w:rPr>
          <w:noProof/>
        </w:rPr>
        <w:t xml:space="preserve">Matthew E. Carlton, </w:t>
      </w:r>
      <w:r w:rsidRPr="005B0611">
        <w:rPr>
          <w:i/>
          <w:noProof/>
        </w:rPr>
        <w:t>Kisah Para Rasul, Terjemahan Khusus Untuk Penerjemahan Dan Pendalaman Alkitab</w:t>
      </w:r>
      <w:r w:rsidRPr="005B0611">
        <w:rPr>
          <w:noProof/>
        </w:rPr>
        <w:t xml:space="preserve"> (Jakarta: Yayasan Karunia Bakti Budaya Indonesia, 2002), 213.</w:t>
      </w:r>
      <w:r w:rsidRPr="005B0611">
        <w:fldChar w:fldCharType="end"/>
      </w:r>
    </w:p>
  </w:footnote>
  <w:footnote w:id="22">
    <w:p w14:paraId="48609D99" w14:textId="5A0EFB3A"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736."},"properties":{"noteIndex":22},"schema":"https://github.com/citation-style-language/schema/raw/master/csl-citation.json"}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23">
    <w:p w14:paraId="3D8AD9A3" w14:textId="24F28AC1"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2","type":"book"},"locator":"572","uris":["http://www.mendeley.com/documents/?uuid=da414145-24de-4bcc-9612-226f85d074ff","http://www.mendeley.com/documents/?uuid=9d20ae91-78bc-49e6-af96-868f65e7d4fa"]}],"mendeley":{"formattedCitation":"Hasan Susanto, &lt;i&gt;Perjanjian Baru Interlinier Yunani-Indonesia Dan Konkordansi Perjanjian Baru Jilid 2&lt;/i&gt; (Malang: Literatur SAAT, 2014), 572.","plainTextFormattedCitation":"Hasan Susanto, Perjanjian Baru Interlinier Yunani-Indonesia Dan Konkordansi Perjanjian Baru Jilid 2 (Malang: Literatur SAAT, 2014), 572.","previouslyFormattedCitation":"Hasan Susanto, &lt;i&gt;Perjanjian Baru Interlinier Yunani-Indonesia Dan Konkordansi Perjanjian Baru Jilid 2&lt;/i&gt; (Malang: Literatur SAAT, 2014), 572."},"properties":{"noteIndex":23},"schema":"https://github.com/citation-style-language/schema/raw/master/csl-citation.json"}</w:instrText>
      </w:r>
      <w:r w:rsidRPr="005B0611">
        <w:fldChar w:fldCharType="separate"/>
      </w:r>
      <w:r w:rsidRPr="005B0611">
        <w:rPr>
          <w:noProof/>
        </w:rPr>
        <w:t xml:space="preserve">Hasan Susanto, </w:t>
      </w:r>
      <w:r w:rsidRPr="005B0611">
        <w:rPr>
          <w:i/>
          <w:noProof/>
        </w:rPr>
        <w:t>Perjanjian Baru Interlinier Yunani-Indonesia Dan Konkordansi Perjanjian Baru Jilid 2</w:t>
      </w:r>
      <w:r w:rsidRPr="005B0611">
        <w:rPr>
          <w:noProof/>
        </w:rPr>
        <w:t xml:space="preserve"> (Malang: Literatur SAAT, 2014), 572.</w:t>
      </w:r>
      <w:r w:rsidRPr="005B0611">
        <w:fldChar w:fldCharType="end"/>
      </w:r>
    </w:p>
  </w:footnote>
  <w:footnote w:id="24">
    <w:p w14:paraId="12CC2101" w14:textId="2CC2921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736."},"properties":{"noteIndex":24},"schema":"https://github.com/citation-style-language/schema/raw/master/csl-citation.json"}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25">
    <w:p w14:paraId="3C1ACE39" w14:textId="77AEA83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ōphelimos","type":"book"},"uris":["http://www.mendeley.com/documents/?uuid=e17fc375-a4e4-46f6-8a92-fd73fa7f710f","http://www.mendeley.com/documents/?uuid=bead658c-edc0-4850-a8be-57dc781c29b1"]}],"mendeley":{"formattedCitation":"H R Balz and G Schneider, &lt;i&gt;Exegetical Dictionary of the New Testament: Pagideuō- Ōphelimos&lt;/i&gt;, Exegetical Dictionary of the New Testament (Eerdmans, 1990), https://books.google.co.id/books?id=eFTzzQEACAAJ.","plainTextFormattedCitation":"H R Balz and G Schneider, Exegetical Dictionary of the New Testament: Pagideuō- Ōphelimos, Exegetical Dictionary of the New Testament (Eerdmans, 1990), https://books.google.co.id/books?id=eFTzzQEACAAJ.","previouslyFormattedCitation":"H R Balz and G Schneider, &lt;i&gt;Exegetical Dictionary of the New Testament: Pagideuō- Ōphelimos&lt;/i&gt;, Exegetical Dictionary of the New Testament (Eerdmans, 1990)."},"properties":{"noteIndex":25},"schema":"https://github.com/citation-style-language/schema/raw/master/csl-citation.json"}</w:instrText>
      </w:r>
      <w:r w:rsidRPr="005B0611">
        <w:fldChar w:fldCharType="separate"/>
      </w:r>
      <w:r w:rsidR="00201645" w:rsidRPr="00201645">
        <w:rPr>
          <w:noProof/>
        </w:rPr>
        <w:t xml:space="preserve">H R Balz and G Schneider, </w:t>
      </w:r>
      <w:r w:rsidR="00201645" w:rsidRPr="00201645">
        <w:rPr>
          <w:i/>
          <w:noProof/>
        </w:rPr>
        <w:t>Exegetical Dictionary of the New Testament: Pagideuō- Ōphelimos</w:t>
      </w:r>
      <w:r w:rsidR="00201645" w:rsidRPr="00201645">
        <w:rPr>
          <w:noProof/>
        </w:rPr>
        <w:t>, Exegetical Dictionary of the New Testament (Eerdmans, 1990), https://books.google.co.id/books?id=eFTzzQEACAAJ.</w:t>
      </w:r>
      <w:r w:rsidRPr="005B0611">
        <w:fldChar w:fldCharType="end"/>
      </w:r>
    </w:p>
  </w:footnote>
  <w:footnote w:id="26">
    <w:p w14:paraId="6B6636A6" w14:textId="5FF8B46B"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Words","type":"book"},"uris":["http://www.mendeley.com/documents/?uuid=753c23fd-7c9d-4db1-b30c-edf4b827cb8e","http://www.mendeley.com/documents/?uuid=db11c688-927c-49b2-8c1b-5299fd2129d8"]}],"mendeley":{"formattedCitation":"W E Vine and E Rev Terry Kulakowski, &lt;i&gt;Vines Expository Dictionary of New Testament Words&lt;/i&gt; (Reformed Church Publications, 2015), https://books.google.co.id/books?id=DrsYCwAAQBAJ.","plainTextFormattedCitation":"W E Vine and E Rev Terry Kulakowski, Vines Expository Dictionary of New Testament Words (Reformed Church Publications, 2015), https://books.google.co.id/books?id=DrsYCwAAQBAJ.","previouslyFormattedCitation":"W E Vine and E Rev Terry Kulakowski, &lt;i&gt;Vines Expository Dictionary of New Testament Words&lt;/i&gt; (Reformed Church Publications, 2015)."},"properties":{"noteIndex":26},"schema":"https://github.com/citation-style-language/schema/raw/master/csl-citation.json"}</w:instrText>
      </w:r>
      <w:r w:rsidRPr="005B0611">
        <w:fldChar w:fldCharType="separate"/>
      </w:r>
      <w:r w:rsidR="00201645" w:rsidRPr="00201645">
        <w:rPr>
          <w:noProof/>
        </w:rPr>
        <w:t xml:space="preserve">W E Vine and E Rev Terry Kulakowski, </w:t>
      </w:r>
      <w:r w:rsidR="00201645" w:rsidRPr="00201645">
        <w:rPr>
          <w:i/>
          <w:noProof/>
        </w:rPr>
        <w:t>Vines Expository Dictionary of New Testament Words</w:t>
      </w:r>
      <w:r w:rsidR="00201645" w:rsidRPr="00201645">
        <w:rPr>
          <w:noProof/>
        </w:rPr>
        <w:t xml:space="preserve"> (Reformed Church Publications, 2015), https://books.google.co.id/books?id=DrsYCwAAQBAJ.</w:t>
      </w:r>
      <w:r w:rsidRPr="005B0611">
        <w:fldChar w:fldCharType="end"/>
      </w:r>
    </w:p>
  </w:footnote>
  <w:footnote w:id="27">
    <w:p w14:paraId="4B4B6541" w14:textId="08EFB7CF"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736."},"properties":{"noteIndex":27},"schema":"https://github.com/citation-style-language/schema/raw/master/csl-citation.json"}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28">
    <w:p w14:paraId="26785EA2" w14:textId="7C8499D4"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Sutanto","given":"Hasan","non-dropping-particle":"","parse-names":false,"suffix":""}],"id":"ITEM-1","issued":{"date-parts":[["2006"]]},"publisher":"LAI","publisher-place":"Jakarta","title":"Perjanjian Baru Interlinier Yunani-Indonesia Dan Konkordansi Perjanjian Baru (PBIK),” Jilid II","type":"book"},"locator":"311","uris":["http://www.mendeley.com/documents/?uuid=57e48497-7030-45e2-9527-bd4038a4ea8d","http://www.mendeley.com/documents/?uuid=9f6363bb-e45c-4088-8a93-0961c6ba2536"]}],"mendeley":{"formattedCitation":"Hasan Sutanto, &lt;i&gt;Perjanjian Baru Interlinier Yunani-Indonesia Dan Konkordansi Perjanjian Baru (PBIK),” Jilid II&lt;/i&gt; (Jakarta: LAI, 2006), 311.","plainTextFormattedCitation":"Hasan Sutanto, Perjanjian Baru Interlinier Yunani-Indonesia Dan Konkordansi Perjanjian Baru (PBIK),” Jilid II (Jakarta: LAI, 2006), 311.","previouslyFormattedCitation":"Hasan Sutanto, &lt;i&gt;Perjanjian Baru Interlinier Yunani-Indonesia Dan Konkordansi Perjanjian Baru (PBIK),” Jilid II&lt;/i&gt; (Jakarta: LAI, 2006), 311."},"properties":{"noteIndex":28},"schema":"https://github.com/citation-style-language/schema/raw/master/csl-citation.json"}</w:instrText>
      </w:r>
      <w:r w:rsidRPr="005B0611">
        <w:fldChar w:fldCharType="separate"/>
      </w:r>
      <w:r w:rsidRPr="005B0611">
        <w:rPr>
          <w:noProof/>
        </w:rPr>
        <w:t xml:space="preserve">Hasan Sutanto, </w:t>
      </w:r>
      <w:r w:rsidRPr="005B0611">
        <w:rPr>
          <w:i/>
          <w:noProof/>
        </w:rPr>
        <w:t>Perjanjian Baru Interlinier Yunani-Indonesia Dan Konkordansi Perjanjian Baru (PBIK),” Jilid II</w:t>
      </w:r>
      <w:r w:rsidRPr="005B0611">
        <w:rPr>
          <w:noProof/>
        </w:rPr>
        <w:t xml:space="preserve"> (Jakarta: LAI, 2006), 311.</w:t>
      </w:r>
      <w:r w:rsidRPr="005B0611">
        <w:fldChar w:fldCharType="end"/>
      </w:r>
    </w:p>
  </w:footnote>
  <w:footnote w:id="29">
    <w:p w14:paraId="72D33587" w14:textId="1D6BA433"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736."},"properties":{"noteIndex":29},"schema":"https://github.com/citation-style-language/schema/raw/master/csl-citation.json"}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30">
    <w:p w14:paraId="2BB98397" w14:textId="7777777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Ōphelimos&lt;/i&gt;."},"properties":{"noteIndex":30},"schema":"https://github.com/citation-style-language/schema/raw/master/csl-citation.json"}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31">
    <w:p w14:paraId="06FA01F7" w14:textId="5EC7190E"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{"citationItems":[{"id":"ITEM-1","itemData":{"ISBN":"9780802822437","author":[{"dropping-particle":"","family":"Kittel","given":"G","non-dropping-particle":"","parse-names":false,"suffix":""},{"dropping-particle":"","family":"Bromiley","given":"G W","non-dropping-particle":"","parse-names":false,"suffix":""},{"dropping-particle":"","family":"Friedrich","given":"G","non-dropping-particle":"","parse-names":false,"suffix":""}],"collection-title":"Theological Dictionary of the New Testament","id":"ITEM-1","issued":{"date-parts":[["1964"]]},"publisher":"Eerdmans Publishing Company","title":"Theological Dictionary of the New Testament, Volume I","type":"book"},"uris":["http://www.mendeley.com/documents/?uuid=4230002a-cac9-4b22-a2c8-299a2f7bf56d","http://www.mendeley.com/documents/?uuid=05476928-c37e-4a5e-a7be-7169a685d25f"]}],"mendeley":{"formattedCitation":"G Kittel, G W Bromiley, and G Friedrich, &lt;i&gt;Theological Dictionary of the New Testament, Volume I&lt;/i&gt;, Theological Dictionary of the New Testament (Eerdmans Publishing Company, 1964), https://books.google.co.id/books?id=4wVDJXzSHOUC.","plainTextFormattedCitation":"G Kittel, G W Bromiley, and G Friedrich, Theological Dictionary of the New Testament, Volume I, Theological Dictionary of the New Testament (Eerdmans Publishing Company, 1964), https://books.google.co.id/books?id=4wVDJXzSHOUC.","previouslyFormattedCitation":"G Kittel, G W Bromiley, and G Friedrich, &lt;i&gt;Theological Dictionary of the New Testament, Volume I&lt;/i&gt;, Theological Dictionary of the New Testament (Eerdmans Publishing Company, 1964)."},"properties":{"noteIndex":31},"schema":"https://github.com/citation-style-language/schema/raw/master/csl-citation.json"}</w:instrText>
      </w:r>
      <w:r w:rsidRPr="005B0611">
        <w:fldChar w:fldCharType="separate"/>
      </w:r>
      <w:r w:rsidR="00201645" w:rsidRPr="00201645">
        <w:rPr>
          <w:noProof/>
        </w:rPr>
        <w:t xml:space="preserve">G Kittel, G W Bromiley, and G Friedrich, </w:t>
      </w:r>
      <w:r w:rsidR="00201645" w:rsidRPr="00201645">
        <w:rPr>
          <w:i/>
          <w:noProof/>
        </w:rPr>
        <w:t>Theological Dictionary of the New Testament, Volume I</w:t>
      </w:r>
      <w:r w:rsidR="00201645" w:rsidRPr="00201645">
        <w:rPr>
          <w:noProof/>
        </w:rPr>
        <w:t>, Theological Dictionary of the New Testament (Eerdmans Publishing Company, 1964), https://books.google.co.id/books?id=4wVDJXzSHOUC.</w:t>
      </w:r>
      <w:r w:rsidRPr="005B0611">
        <w:fldChar w:fldCharType="end"/>
      </w:r>
    </w:p>
  </w:footnote>
  <w:footnote w:id="32">
    <w:p w14:paraId="64857EF9" w14:textId="48AFB685"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{"citationItems":[{"id":"ITEM-1","itemData":{"ISBN":"9789796873913","author":[{"dropping-particle":"","family":"Barclay","given":"W","non-dropping-particle":"","parse-names":false,"suffix":""}],"id":"ITEM-1","issued":{"date-parts":[["0"]]},"publisher":"BPK Gunung Mulia","title":"Pash Kitab Kisah Para Rasul","type":"book"},"uris":["http://www.mendeley.com/documents/?uuid=2f5b09ac-97d4-4667-984a-3cc170af9412","http://www.mendeley.com/documents/?uuid=c14c0254-bc18-4ae4-8f09-f532d5f90d59"]}],"mendeley":{"formattedCitation":"W Barclay, &lt;i&gt;Pash Kitab Kisah Para Rasul&lt;/i&gt; (BPK Gunung Mulia, n.d.), https://books.google.co.id/books?id=Bsb5UTHiI00C.","plainTextFormattedCitation":"W Barclay, Pash Kitab Kisah Para Rasul (BPK Gunung Mulia, n.d.), https://books.google.co.id/books?id=Bsb5UTHiI00C.","previouslyFormattedCitation":"W Barclay, &lt;i&gt;Pash Kitab Kisah Para Rasul&lt;/i&gt; (BPK Gunung Mulia, n.d.)."},"properties":{"noteIndex":32},"schema":"https://github.com/citation-style-language/schema/raw/master/csl-citation.json"}</w:instrText>
      </w:r>
      <w:r w:rsidRPr="005B0611">
        <w:fldChar w:fldCharType="separate"/>
      </w:r>
      <w:r w:rsidR="00201645" w:rsidRPr="00201645">
        <w:rPr>
          <w:noProof/>
        </w:rPr>
        <w:t xml:space="preserve">W Barclay, </w:t>
      </w:r>
      <w:r w:rsidR="00201645" w:rsidRPr="00201645">
        <w:rPr>
          <w:i/>
          <w:noProof/>
        </w:rPr>
        <w:t>Pash Kitab Kisah Para Rasul</w:t>
      </w:r>
      <w:r w:rsidR="00201645" w:rsidRPr="00201645">
        <w:rPr>
          <w:noProof/>
        </w:rPr>
        <w:t xml:space="preserve"> (BPK Gunung Mulia, n.d.), https://books.google.co.id/books?id=Bsb5UTHiI00C.</w:t>
      </w:r>
      <w:r w:rsidRPr="005B0611">
        <w:fldChar w:fldCharType="end"/>
      </w:r>
      <w:r w:rsidRPr="005B0611">
        <w:t xml:space="preserve"> 202-203</w:t>
      </w:r>
    </w:p>
  </w:footnote>
  <w:footnote w:id="33">
    <w:p w14:paraId="7064FFA7" w14:textId="0E41B4A1"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{"citationItems":[{"id":"ITEM-1","itemData":{"author":[{"dropping-particle":"","family":"Lee","given":"W","non-dropping-particle":"","parse-names":false,"suffix":""},{"dropping-particle":"","family":"Indonesia","given":"Y P I","non-dropping-particle":"","parse-names":false,"suffix":""}],"id":"ITEM-1","issued":{"date-parts":[["2020"]]},"publisher":"Yayasan Perpustakaan Injil Indonesia (Yasperin)","title":"Pelajaran-Hayat Kisah Para Rasul","type":"book"},"uris":["http://www.mendeley.com/documents/?uuid=6a40e3bd-0a2f-4bd2-9d8c-f1ff06bf7b8e","http://www.mendeley.com/documents/?uuid=d8387fe0-bc73-4de1-bb1f-46b869d04709"]}],"mendeley":{"formattedCitation":"W Lee and Y P I Indonesia, &lt;i&gt;Pelajaran-Hayat Kisah Para Rasul&lt;/i&gt; (Yayasan Perpustakaan Injil Indonesia (Yasperin), 2020), https://books.google.co.id/books?id=tlIOEAAAQBAJ.","plainTextFormattedCitation":"W Lee and Y P I Indonesia, Pelajaran-Hayat Kisah Para Rasul (Yayasan Perpustakaan Injil Indonesia (Yasperin), 2020), https://books.google.co.id/books?id=tlIOEAAAQBAJ.","previouslyFormattedCitation":"W Lee and Y P I Indonesia, &lt;i&gt;Pelajaran-Hayat Kisah Para Rasul&lt;/i&gt; (Yayasan Perpustakaan Injil Indonesia (Yasperin), 2020)."},"properties":{"noteIndex":33},"schema":"https://github.com/citation-style-language/schema/raw/master/csl-citation.json"}</w:instrText>
      </w:r>
      <w:r w:rsidRPr="005B0611">
        <w:fldChar w:fldCharType="separate"/>
      </w:r>
      <w:r w:rsidR="00201645" w:rsidRPr="00201645">
        <w:rPr>
          <w:noProof/>
        </w:rPr>
        <w:t xml:space="preserve">W Lee and Y P I Indonesia, </w:t>
      </w:r>
      <w:r w:rsidR="00201645" w:rsidRPr="00201645">
        <w:rPr>
          <w:i/>
          <w:noProof/>
        </w:rPr>
        <w:t>Pelajaran-Hayat Kisah Para Rasul</w:t>
      </w:r>
      <w:r w:rsidR="00201645" w:rsidRPr="00201645">
        <w:rPr>
          <w:noProof/>
        </w:rPr>
        <w:t xml:space="preserve"> (Yayasan Perpustakaan Injil Indonesia (Yasperin), 2020), https://books.google.co.id/books?id=tlIOEAAAQBAJ.</w:t>
      </w:r>
      <w:r w:rsidRPr="005B0611">
        <w:fldChar w:fldCharType="end"/>
      </w:r>
    </w:p>
  </w:footnote>
  <w:footnote w:id="34">
    <w:p w14:paraId="6DB0AAC4" w14:textId="7777777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{"citationItems":[{"id":"ITEM-1","itemData":{"ISSN":"2776-5415","author":[{"dropping-particle":"","family":"Karamoy","given":"Ilona Olvy","non-dropping-particle":"","parse-names":false,"suffix":""},{"dropping-particle":"","family":"Goni","given":"Moody Daniel","non-dropping-particle":"","parse-names":false,"suffix":""},{"dropping-particle":"","family":"Alexander","given":"Abiyah Elia","non-dropping-particle":"","parse-names":false,"suffix":""}],"container-title":"DIDASKO: Jurnal Teologi dan Pendidikan Kristen","id":"ITEM-1","issue":"1","issued":{"date-parts":[["2024"]]},"page":"62-73","title":"Tinjauan Kewirausahaan Menurut Kisah Para Rasul 18: 3 untuk Menunjang Pelayanan Hamba Tuhan Masa Kini","type":"article-journal","volume":"4"},"uris":["http://www.mendeley.com/documents/?uuid=e2dab5cd-9083-4090-bedf-cf6cb027fb61","http://www.mendeley.com/documents/?uuid=3df684fa-bd60-4fa6-b11b-6b6c4028ec11"]}],"mendeley":{"formattedCitation":"Ilona Olvy Karamoy, Moody Daniel Goni, and Abiyah Elia Alexander, “Tinjauan Kewirausahaan Menurut Kisah Para Rasul 18: 3 Untuk Menunjang Pelayanan Hamba Tuhan Masa Kini,” &lt;i&gt;DIDASKO: Jurnal Teologi Dan Pendidikan Kristen&lt;/i&gt; 4, no. 1 (2024): 62–73.","plainTextFormattedCitation":"Ilona Olvy Karamoy, Moody Daniel Goni, and Abiyah Elia Alexander, “Tinjauan Kewirausahaan Menurut Kisah Para Rasul 18: 3 Untuk Menunjang Pelayanan Hamba Tuhan Masa Kini,” DIDASKO: Jurnal Teologi Dan Pendidikan Kristen 4, no. 1 (2024): 62–73.","previouslyFormattedCitation":"Ilona Olvy Karamoy, Moody Daniel Goni, and Abiyah Elia Alexander, “Tinjauan Kewirausahaan Menurut Kisah Para Rasul 18: 3 Untuk Menunjang Pelayanan Hamba Tuhan Masa Kini,” &lt;i&gt;DIDASKO: Jurnal Teologi Dan Pendidikan Kristen&lt;/i&gt; 4, no. 1 (2024): 62–73."},"properties":{"noteIndex":34},"schema":"https://github.com/citation-style-language/schema/raw/master/csl-citation.json"}</w:instrText>
      </w:r>
      <w:r w:rsidRPr="005B0611">
        <w:fldChar w:fldCharType="separate"/>
      </w:r>
      <w:r w:rsidRPr="005B0611">
        <w:rPr>
          <w:noProof/>
        </w:rPr>
        <w:t xml:space="preserve">Ilona Olvy Karamoy, Moody Daniel Goni, and Abiyah Elia Alexander, “Tinjauan Kewirausahaan Menurut Kisah Para Rasul 18: 3 Untuk Menunjang Pelayanan Hamba Tuhan Masa Kini,” </w:t>
      </w:r>
      <w:r w:rsidRPr="005B0611">
        <w:rPr>
          <w:i/>
          <w:noProof/>
        </w:rPr>
        <w:t>DIDASKO: Jurnal Teologi Dan Pendidikan Kristen</w:t>
      </w:r>
      <w:r w:rsidRPr="005B0611">
        <w:rPr>
          <w:noProof/>
        </w:rPr>
        <w:t xml:space="preserve"> 4, no. 1 (2024): 62–73.</w:t>
      </w:r>
      <w:r w:rsidRPr="005B0611">
        <w:fldChar w:fldCharType="end"/>
      </w:r>
    </w:p>
  </w:footnote>
  <w:footnote w:id="35">
    <w:p w14:paraId="7DA34189" w14:textId="7777777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{"citationItems":[{"id":"ITEM-1","itemData":{"ISSN":"2776-5415","author":[{"dropping-particle":"","family":"Karamoy","given":"Ilona Olvy","non-dropping-particle":"","parse-names":false,"suffix":""},{"dropping-particle":"","family":"Goni","given":"Moody Daniel","non-dropping-particle":"","parse-names":false,"suffix":""},{"dropping-particle":"","family":"Alexander","given":"Abiyah Elia","non-dropping-particle":"","parse-names":false,"suffix":""}],"container-title":"DIDASKO: Jurnal Teologi dan Pendidikan Kristen","id":"ITEM-1","issue":"1","issued":{"date-parts":[["2024"]]},"page":"62-73","title":"Tinjauan Kewirausahaan Menurut Kisah Para Rasul 18: 3 untuk Menunjang Pelayanan Hamba Tuhan Masa Kini","type":"article-journal","volume":"4"},"uris":["http://www.mendeley.com/documents/?uuid=3df684fa-bd60-4fa6-b11b-6b6c4028ec11","http://www.mendeley.com/documents/?uuid=e2dab5cd-9083-4090-bedf-cf6cb027fb61"]}],"mendeley":{"formattedCitation":"Karamoy, Goni, and Alexander.","plainTextFormattedCitation":"Karamoy, Goni, and Alexander.","previouslyFormattedCitation":"Karamoy, Goni, and Alexander."},"properties":{"noteIndex":35},"schema":"https://github.com/citation-style-language/schema/raw/master/csl-citation.json"}</w:instrText>
      </w:r>
      <w:r w:rsidRPr="005B0611">
        <w:fldChar w:fldCharType="separate"/>
      </w:r>
      <w:r w:rsidRPr="005B0611">
        <w:rPr>
          <w:noProof/>
        </w:rPr>
        <w:t>Karamoy, Goni, and Alexander.</w:t>
      </w:r>
      <w:r w:rsidRPr="005B0611">
        <w:fldChar w:fldCharType="end"/>
      </w:r>
    </w:p>
  </w:footnote>
  <w:footnote w:id="36">
    <w:p w14:paraId="7B162977" w14:textId="7E7E9D93"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763."},"properties":{"noteIndex":36},"schema":"https://github.com/citation-style-language/schema/raw/master/csl-citation.json"}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37">
    <w:p w14:paraId="30671A58" w14:textId="4529931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2","type":"book"},"uris":["http://www.mendeley.com/documents/?uuid=9d20ae91-78bc-49e6-af96-868f65e7d4fa","http://www.mendeley.com/documents/?uuid=da414145-24de-4bcc-9612-226f85d074ff"]}],"mendeley":{"formattedCitation":"Hasan Susanto, &lt;i&gt;Perjanjian Baru Interlinier Yunani-Indonesia Dan Konkordansi Perjanjian Baru Jilid 2&lt;/i&gt;.","plainTextFormattedCitation":"Hasan Susanto, Perjanjian Baru Interlinier Yunani-Indonesia Dan Konkordansi Perjanjian Baru Jilid 2.","previouslyFormattedCitation":"Hasan Susanto, &lt;i&gt;Perjanjian Baru Interlinier Yunani-Indonesia Dan Konkordansi Perjanjian Baru Jilid 2&lt;/i&gt;, 37."},"properties":{"noteIndex":37},"schema":"https://github.com/citation-style-language/schema/raw/master/csl-citation.json"}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Interlinier Yunani-Indonesia Dan Konkordansi Perjanjian Baru Jilid 2</w:t>
      </w:r>
      <w:r w:rsidR="00201645" w:rsidRPr="00201645">
        <w:rPr>
          <w:noProof/>
        </w:rPr>
        <w:t>.</w:t>
      </w:r>
      <w:r w:rsidRPr="005B0611">
        <w:fldChar w:fldCharType="end"/>
      </w:r>
    </w:p>
  </w:footnote>
  <w:footnote w:id="38">
    <w:p w14:paraId="7E6A640D" w14:textId="1F00A924"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763."},"properties":{"noteIndex":38},"schema":"https://github.com/citation-style-language/schema/raw/master/csl-citation.json"}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39">
    <w:p w14:paraId="528D4EDE" w14:textId="7777777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Ōphelimos&lt;/i&gt;."},"properties":{"noteIndex":39},"schema":"https://github.com/citation-style-language/schema/raw/master/csl-citation.json"}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40">
    <w:p w14:paraId="12177624" w14:textId="7777777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Words","type":"book"},"uris":["http://www.mendeley.com/documents/?uuid=db11c688-927c-49b2-8c1b-5299fd2129d8","http://www.mendeley.com/documents/?uuid=753c23fd-7c9d-4db1-b30c-edf4b827cb8e"]}],"mendeley":{"formattedCitation":"Vine and Rev Terry Kulakowski, &lt;i&gt;Vines Expository Dictionary of New Testament Words&lt;/i&gt;.","plainTextFormattedCitation":"Vine and Rev Terry Kulakowski, Vines Expository Dictionary of New Testament Words.","previouslyFormattedCitation":"Vine and Rev Terry Kulakowski, &lt;i&gt;Vines Expository Dictionary of New Testament Words&lt;/i&gt;."},"properties":{"noteIndex":40},"schema":"https://github.com/citation-style-language/schema/raw/master/csl-citation.json"}</w:instrText>
      </w:r>
      <w:r w:rsidRPr="005B0611">
        <w:fldChar w:fldCharType="separate"/>
      </w:r>
      <w:r w:rsidRPr="005B0611">
        <w:rPr>
          <w:noProof/>
        </w:rPr>
        <w:t xml:space="preserve">Vine and Rev Terry Kulakowski, </w:t>
      </w:r>
      <w:r w:rsidRPr="005B0611">
        <w:rPr>
          <w:i/>
          <w:noProof/>
        </w:rPr>
        <w:t>Vines Expository Dictionary of New Testament Words</w:t>
      </w:r>
      <w:r w:rsidRPr="005B0611">
        <w:rPr>
          <w:noProof/>
        </w:rPr>
        <w:t>.</w:t>
      </w:r>
      <w:r w:rsidRPr="005B0611">
        <w:fldChar w:fldCharType="end"/>
      </w:r>
    </w:p>
  </w:footnote>
  <w:footnote w:id="41">
    <w:p w14:paraId="291BEE3D" w14:textId="7777777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{"citationItems":[{"id":"ITEM-1","itemData":{"ISBN":"9780802822437","author":[{"dropping-particle":"","family":"Kittel","given":"G","non-dropping-particle":"","parse-names":false,"suffix":""},{"dropping-particle":"","family":"Bromiley","given":"G W","non-dropping-particle":"","parse-names":false,"suffix":""},{"dropping-particle":"","family":"Friedrich","given":"G","non-dropping-particle":"","parse-names":false,"suffix":""}],"collection-title":"Theological Dictionary of the New Testament","id":"ITEM-1","issued":{"date-parts":[["1964"]]},"publisher":"Eerdmans Publishing Company","title":"Theological Dictionary of the New Testament, Volume I","type":"book"},"uris":["http://www.mendeley.com/documents/?uuid=05476928-c37e-4a5e-a7be-7169a685d25f","http://www.mendeley.com/documents/?uuid=4230002a-cac9-4b22-a2c8-299a2f7bf56d"]}],"mendeley":{"formattedCitation":"Kittel, Bromiley, and Friedrich, &lt;i&gt;Theological Dictionary of the New Testament, Volume I&lt;/i&gt;.","plainTextFormattedCitation":"Kittel, Bromiley, and Friedrich, Theological Dictionary of the New Testament, Volume I.","previouslyFormattedCitation":"Kittel, Bromiley, and Friedrich, &lt;i&gt;Theological Dictionary of the New Testament, Volume I&lt;/i&gt;."},"properties":{"noteIndex":41},"schema":"https://github.com/citation-style-language/schema/raw/master/csl-citation.json"}</w:instrText>
      </w:r>
      <w:r w:rsidRPr="005B0611">
        <w:fldChar w:fldCharType="separate"/>
      </w:r>
      <w:r w:rsidRPr="005B0611">
        <w:rPr>
          <w:noProof/>
        </w:rPr>
        <w:t xml:space="preserve">Kittel, Bromiley, and Friedrich, </w:t>
      </w:r>
      <w:r w:rsidRPr="005B0611">
        <w:rPr>
          <w:i/>
          <w:noProof/>
        </w:rPr>
        <w:t>Theological Dictionary of the New Testament, Volume I</w:t>
      </w:r>
      <w:r w:rsidRPr="005B0611">
        <w:rPr>
          <w:noProof/>
        </w:rPr>
        <w:t>.</w:t>
      </w:r>
      <w:r w:rsidRPr="005B0611">
        <w:fldChar w:fldCharType="end"/>
      </w:r>
    </w:p>
  </w:footnote>
  <w:footnote w:id="42">
    <w:p w14:paraId="2F8F659D" w14:textId="775A4030"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763."},"properties":{"noteIndex":42},"schema":"https://github.com/citation-style-language/schema/raw/master/csl-citation.json"}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43">
    <w:p w14:paraId="399AEF42" w14:textId="75A437C4"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2","type":"book"},"uris":["http://www.mendeley.com/documents/?uuid=9d20ae91-78bc-49e6-af96-868f65e7d4fa","http://www.mendeley.com/documents/?uuid=da414145-24de-4bcc-9612-226f85d074ff"]}],"mendeley":{"formattedCitation":"Hasan Susanto, &lt;i&gt;Perjanjian Baru Interlinier Yunani-Indonesia Dan Konkordansi Perjanjian Baru Jilid 2&lt;/i&gt;.","plainTextFormattedCitation":"Hasan Susanto, Perjanjian Baru Interlinier Yunani-Indonesia Dan Konkordansi Perjanjian Baru Jilid 2.","previouslyFormattedCitation":"Hasan Susanto, &lt;i&gt;Perjanjian Baru Interlinier Yunani-Indonesia Dan Konkordansi Perjanjian Baru Jilid 2&lt;/i&gt;, 681."},"properties":{"noteIndex":43},"schema":"https://github.com/citation-style-language/schema/raw/master/csl-citation.json"}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Interlinier Yunani-Indonesia Dan Konkordansi Perjanjian Baru Jilid 2</w:t>
      </w:r>
      <w:r w:rsidR="00201645" w:rsidRPr="00201645">
        <w:rPr>
          <w:noProof/>
        </w:rPr>
        <w:t>.</w:t>
      </w:r>
      <w:r w:rsidRPr="005B0611">
        <w:fldChar w:fldCharType="end"/>
      </w:r>
    </w:p>
  </w:footnote>
  <w:footnote w:id="44">
    <w:p w14:paraId="07D997B6" w14:textId="7777777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Ōphelimos&lt;/i&gt;."},"properties":{"noteIndex":44},"schema":"https://github.com/citation-style-language/schema/raw/master/csl-citation.json"}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45">
    <w:p w14:paraId="419DE7B3" w14:textId="7777777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Words","type":"book"},"uris":["http://www.mendeley.com/documents/?uuid=db11c688-927c-49b2-8c1b-5299fd2129d8","http://www.mendeley.com/documents/?uuid=753c23fd-7c9d-4db1-b30c-edf4b827cb8e"]}],"mendeley":{"formattedCitation":"Vine and Rev Terry Kulakowski, &lt;i&gt;Vines Expository Dictionary of New Testament Words&lt;/i&gt;.","plainTextFormattedCitation":"Vine and Rev Terry Kulakowski, Vines Expository Dictionary of New Testament Words.","previouslyFormattedCitation":"Vine and Rev Terry Kulakowski, &lt;i&gt;Vines Expository Dictionary of New Testament Words&lt;/i&gt;."},"properties":{"noteIndex":45},"schema":"https://github.com/citation-style-language/schema/raw/master/csl-citation.json"}</w:instrText>
      </w:r>
      <w:r w:rsidRPr="005B0611">
        <w:fldChar w:fldCharType="separate"/>
      </w:r>
      <w:r w:rsidRPr="005B0611">
        <w:rPr>
          <w:noProof/>
        </w:rPr>
        <w:t xml:space="preserve">Vine and Rev Terry Kulakowski, </w:t>
      </w:r>
      <w:r w:rsidRPr="005B0611">
        <w:rPr>
          <w:i/>
          <w:noProof/>
        </w:rPr>
        <w:t>Vines Expository Dictionary of New Testament Words</w:t>
      </w:r>
      <w:r w:rsidRPr="005B0611">
        <w:rPr>
          <w:noProof/>
        </w:rPr>
        <w:t>.</w:t>
      </w:r>
      <w:r w:rsidRPr="005B0611">
        <w:fldChar w:fldCharType="end"/>
      </w:r>
    </w:p>
  </w:footnote>
  <w:footnote w:id="46">
    <w:p w14:paraId="61CE9BE9" w14:textId="56E2A8CB"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ISBN":"9781683072218","author":[{"dropping-particle":"","family":"Louw","given":"J","non-dropping-particle":"","parse-names":false,"suffix":""},{"dropping-particle":"","family":"Nida","given":"E","non-dropping-particle":"","parse-names":false,"suffix":""}],"id":"ITEM-1","issued":{"date-parts":[["2019"]]},"publisher":"Hendrickson Publishers Marketing, LLC","title":"Greek-English Lexicon of the New Testament: Based on Semantic Domains","type":"book"},"uris":["http://www.mendeley.com/documents/?uuid=7b93f3bb-eb23-4d67-8b1d-1bc045bf3d6b","http://www.mendeley.com/documents/?uuid=8782a84f-2299-4f59-af5f-f6771921831c"]}],"mendeley":{"formattedCitation":"J Louw and E Nida, &lt;i&gt;Greek-English Lexicon of the New Testament: Based on Semantic Domains&lt;/i&gt; (Hendrickson Publishers Marketing, LLC, 2019), https://books.google.co.id/books?id=YFpsuQEACAAJ.","plainTextFormattedCitation":"J Louw and E Nida, Greek-English Lexicon of the New Testament: Based on Semantic Domains (Hendrickson Publishers Marketing, LLC, 2019), https://books.google.co.id/books?id=YFpsuQEACAAJ.","previouslyFormattedCitation":"J Louw and E Nida, &lt;i&gt;Greek-English Lexicon of the New Testament: Based on Semantic Domains&lt;/i&gt; (Hendrickson Publishers Marketing, LLC, 2019)."},"properties":{"noteIndex":46},"schema":"https://github.com/citation-style-language/schema/raw/master/csl-citation.json"}</w:instrText>
      </w:r>
      <w:r w:rsidRPr="005B0611">
        <w:fldChar w:fldCharType="separate"/>
      </w:r>
      <w:r w:rsidR="00201645" w:rsidRPr="00201645">
        <w:rPr>
          <w:noProof/>
        </w:rPr>
        <w:t xml:space="preserve">J Louw and E Nida, </w:t>
      </w:r>
      <w:r w:rsidR="00201645" w:rsidRPr="00201645">
        <w:rPr>
          <w:i/>
          <w:noProof/>
        </w:rPr>
        <w:t>Greek-English Lexicon of the New Testament: Based on Semantic Domains</w:t>
      </w:r>
      <w:r w:rsidR="00201645" w:rsidRPr="00201645">
        <w:rPr>
          <w:noProof/>
        </w:rPr>
        <w:t xml:space="preserve"> (Hendrickson Publishers Marketing, LLC, 2019), https://books.google.co.id/books?id=YFpsuQEACAAJ.</w:t>
      </w:r>
      <w:r w:rsidRPr="005B0611">
        <w:fldChar w:fldCharType="end"/>
      </w:r>
    </w:p>
  </w:footnote>
  <w:footnote w:id="47">
    <w:p w14:paraId="3AD44B15" w14:textId="37C6D9AE"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{"citationItems":[{"id":"ITEM-1","itemData":{"ISBN":"9781773561912","author":[{"dropping-particle":"","family":"Henry","given":"M","non-dropping-particle":"","parse-names":false,"suffix":""}],"id":"ITEM-1","issued":{"date-parts":[["0"]]},"publisher":"Lulu.com","title":"Matthew Henry's Commentary on the Whole Bible: Volume VI-I - Acts - Romans","type":"book"},"uris":["http://www.mendeley.com/documents/?uuid=95d03986-ee0a-427d-9105-a725b4672797","http://www.mendeley.com/documents/?uuid=47ca836f-6ae5-44f8-887f-b5066e9f2408"]}],"mendeley":{"formattedCitation":"M Henry, &lt;i&gt;Matthew Henry’s Commentary on the Whole Bible: Volume VI-I - Acts - Romans&lt;/i&gt; (Lulu.com, n.d.), https://books.google.co.id/books?id=mklHDwAAQBAJ.","plainTextFormattedCitation":"M Henry, Matthew Henry’s Commentary on the Whole Bible: Volume VI-I - Acts - Romans (Lulu.com, n.d.), https://books.google.co.id/books?id=mklHDwAAQBAJ.","previouslyFormattedCitation":"M Henry, &lt;i&gt;Matthew Henry’s Commentary on the Whole Bible: Volume VI-I - Acts - Romans&lt;/i&gt; (Lulu.com, n.d.)."},"properties":{"noteIndex":47},"schema":"https://github.com/citation-style-language/schema/raw/master/csl-citation.json"}</w:instrText>
      </w:r>
      <w:r w:rsidRPr="005B0611">
        <w:fldChar w:fldCharType="separate"/>
      </w:r>
      <w:r w:rsidR="00201645" w:rsidRPr="00201645">
        <w:rPr>
          <w:noProof/>
        </w:rPr>
        <w:t xml:space="preserve">M Henry, </w:t>
      </w:r>
      <w:r w:rsidR="00201645" w:rsidRPr="00201645">
        <w:rPr>
          <w:i/>
          <w:noProof/>
        </w:rPr>
        <w:t>Matthew Henry’s Commentary on the Whole Bible: Volume VI-I - Acts - Romans</w:t>
      </w:r>
      <w:r w:rsidR="00201645" w:rsidRPr="00201645">
        <w:rPr>
          <w:noProof/>
        </w:rPr>
        <w:t xml:space="preserve"> (Lulu.com, n.d.), https://books.google.co.id/books?id=mklHDwAAQBAJ.</w:t>
      </w:r>
      <w:r w:rsidRPr="005B0611">
        <w:fldChar w:fldCharType="end"/>
      </w:r>
    </w:p>
  </w:footnote>
  <w:footnote w:id="48">
    <w:p w14:paraId="7D513EFD" w14:textId="289B598C"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{"citationItems":[{"id":"ITEM-1","itemData":{"ISBN":"9781565631977","author":[{"dropping-particle":"","family":"Jamieson","given":"R","non-dropping-particle":"","parse-names":false,"suffix":""},{"dropping-particle":"","family":"Fausset","given":"A R","non-dropping-particle":"","parse-names":false,"suffix":""},{"dropping-particle":"","family":"Brown","given":"D","non-dropping-particle":"","parse-names":false,"suffix":""}],"id":"ITEM-1","issued":{"date-parts":[["1996"]]},"publisher":"Hendrickson Publishers Marketing, LLC","title":"Jamieson-Fausset-Brown Bible Commentary","type":"book"},"uris":["http://www.mendeley.com/documents/?uuid=0dbc538b-3e71-4090-b2b7-b9a005a6b494","http://www.mendeley.com/documents/?uuid=aeafe465-90fd-422c-8639-fae3811179dc"]}],"mendeley":{"formattedCitation":"R Jamieson, A R Fausset, and D Brown, &lt;i&gt;Jamieson-Fausset-Brown Bible Commentary&lt;/i&gt; (Hendrickson Publishers Marketing, LLC, 1996), https://books.google.co.id/books?id=XecMAAAACAAJ.","plainTextFormattedCitation":"R Jamieson, A R Fausset, and D Brown, Jamieson-Fausset-Brown Bible Commentary (Hendrickson Publishers Marketing, LLC, 1996), https://books.google.co.id/books?id=XecMAAAACAAJ.","previouslyFormattedCitation":"R Jamieson, A R Fausset, and D Brown, &lt;i&gt;Jamieson-Fausset-Brown Bible Commentary&lt;/i&gt; (Hendrickson Publishers Marketing, LLC, 1996)."},"properties":{"noteIndex":48},"schema":"https://github.com/citation-style-language/schema/raw/master/csl-citation.json"}</w:instrText>
      </w:r>
      <w:r w:rsidRPr="005B0611">
        <w:fldChar w:fldCharType="separate"/>
      </w:r>
      <w:r w:rsidR="00201645" w:rsidRPr="00201645">
        <w:rPr>
          <w:noProof/>
        </w:rPr>
        <w:t xml:space="preserve">R Jamieson, A R Fausset, and D Brown, </w:t>
      </w:r>
      <w:r w:rsidR="00201645" w:rsidRPr="00201645">
        <w:rPr>
          <w:i/>
          <w:noProof/>
        </w:rPr>
        <w:t>Jamieson-Fausset-Brown Bible Commentary</w:t>
      </w:r>
      <w:r w:rsidR="00201645" w:rsidRPr="00201645">
        <w:rPr>
          <w:noProof/>
        </w:rPr>
        <w:t xml:space="preserve"> (Hendrickson Publishers Marketing, LLC, 1996), https://books.google.co.id/books?id=XecMAAAACAAJ.</w:t>
      </w:r>
      <w:r w:rsidRPr="005B0611">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1DF03" w14:textId="77777777" w:rsidR="008E2CCF" w:rsidRDefault="006D339D">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Volume 5, Nomor 1, (Agustus, 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6EE60" w14:textId="77777777" w:rsidR="008E2CCF" w:rsidRDefault="008E2CCF">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a0NLQwszQ1MDU3MDNS0lEKTi0uzszPAykwqgUA62DJLywAAAA="/>
  </w:docVars>
  <w:rsids>
    <w:rsidRoot w:val="008E2CCF"/>
    <w:rsid w:val="0001498B"/>
    <w:rsid w:val="00027D4A"/>
    <w:rsid w:val="00096801"/>
    <w:rsid w:val="000D1068"/>
    <w:rsid w:val="00201645"/>
    <w:rsid w:val="002B48A7"/>
    <w:rsid w:val="003C6D8A"/>
    <w:rsid w:val="00457F0D"/>
    <w:rsid w:val="0051225D"/>
    <w:rsid w:val="005753A6"/>
    <w:rsid w:val="005D0046"/>
    <w:rsid w:val="005E6642"/>
    <w:rsid w:val="006D339D"/>
    <w:rsid w:val="007366CA"/>
    <w:rsid w:val="007662BB"/>
    <w:rsid w:val="007A6524"/>
    <w:rsid w:val="007C1A2D"/>
    <w:rsid w:val="0080793D"/>
    <w:rsid w:val="0086408F"/>
    <w:rsid w:val="00895503"/>
    <w:rsid w:val="008D4626"/>
    <w:rsid w:val="008E02D7"/>
    <w:rsid w:val="008E2CCF"/>
    <w:rsid w:val="00A0002B"/>
    <w:rsid w:val="00AB6B8B"/>
    <w:rsid w:val="00BB0271"/>
    <w:rsid w:val="00CC2F16"/>
    <w:rsid w:val="00D1136F"/>
    <w:rsid w:val="00DD3967"/>
    <w:rsid w:val="00DE59B4"/>
    <w:rsid w:val="00E13C1D"/>
    <w:rsid w:val="00E855F9"/>
    <w:rsid w:val="00EA0A8F"/>
    <w:rsid w:val="00EA278D"/>
    <w:rsid w:val="00FB118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48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rsid w:val="0001498B"/>
    <w:rPr>
      <w:rFonts w:eastAsia="Times New Roman"/>
      <w:sz w:val="20"/>
      <w:szCs w:val="20"/>
      <w:lang w:eastAsia="en-US"/>
    </w:rPr>
  </w:style>
  <w:style w:type="character" w:customStyle="1" w:styleId="TeksCatatanKakiKAR">
    <w:name w:val="Teks Catatan Kaki KAR"/>
    <w:basedOn w:val="FontParagrafDefault"/>
    <w:link w:val="TeksCatatanKaki"/>
    <w:uiPriority w:val="99"/>
    <w:rsid w:val="0001498B"/>
    <w:rPr>
      <w:sz w:val="20"/>
      <w:szCs w:val="20"/>
      <w:lang w:eastAsia="en-US"/>
    </w:rPr>
  </w:style>
  <w:style w:type="character" w:styleId="ReferensiCatatanKaki">
    <w:name w:val="footnote reference"/>
    <w:basedOn w:val="FontParagrafDefault"/>
    <w:uiPriority w:val="99"/>
    <w:semiHidden/>
    <w:rsid w:val="0001498B"/>
    <w:rPr>
      <w:vertAlign w:val="superscript"/>
    </w:rPr>
  </w:style>
  <w:style w:type="character" w:customStyle="1" w:styleId="ts-alignment-element">
    <w:name w:val="ts-alignment-element"/>
    <w:basedOn w:val="FontParagrafDefault"/>
    <w:rsid w:val="008E02D7"/>
  </w:style>
  <w:style w:type="character" w:styleId="ReferensiKomentar">
    <w:name w:val="annotation reference"/>
    <w:basedOn w:val="FontParagrafDefault"/>
    <w:uiPriority w:val="99"/>
    <w:semiHidden/>
    <w:unhideWhenUsed/>
    <w:rsid w:val="00E13C1D"/>
    <w:rPr>
      <w:sz w:val="16"/>
      <w:szCs w:val="16"/>
    </w:rPr>
  </w:style>
  <w:style w:type="paragraph" w:styleId="TeksKomentar">
    <w:name w:val="annotation text"/>
    <w:basedOn w:val="Normal"/>
    <w:link w:val="TeksKomentarKAR"/>
    <w:uiPriority w:val="99"/>
    <w:semiHidden/>
    <w:unhideWhenUsed/>
    <w:rsid w:val="00E13C1D"/>
    <w:rPr>
      <w:sz w:val="20"/>
      <w:szCs w:val="20"/>
    </w:rPr>
  </w:style>
  <w:style w:type="character" w:customStyle="1" w:styleId="TeksKomentarKAR">
    <w:name w:val="Teks Komentar KAR"/>
    <w:basedOn w:val="FontParagrafDefault"/>
    <w:link w:val="TeksKomentar"/>
    <w:uiPriority w:val="99"/>
    <w:semiHidden/>
    <w:rsid w:val="00E13C1D"/>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E13C1D"/>
    <w:rPr>
      <w:b/>
      <w:bCs/>
    </w:rPr>
  </w:style>
  <w:style w:type="character" w:customStyle="1" w:styleId="SubjekKomentarKAR">
    <w:name w:val="Subjek Komentar KAR"/>
    <w:basedOn w:val="TeksKomentarKAR"/>
    <w:link w:val="SubjekKomentar"/>
    <w:uiPriority w:val="99"/>
    <w:semiHidden/>
    <w:rsid w:val="00E13C1D"/>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47D8F844-EFC2-401E-89EB-BBDE20FCFEB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4824</Words>
  <Characters>27501</Characters>
  <Application>Microsoft Office Word</Application>
  <DocSecurity>0</DocSecurity>
  <Lines>229</Lines>
  <Paragraphs>64</Paragraphs>
  <ScaleCrop>false</ScaleCrop>
  <Company/>
  <LinksUpToDate>false</LinksUpToDate>
  <CharactersWithSpaces>32261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2026-05-21T10:26:00Z</dcterms:created>
  <dcterms:modified xsi:type="dcterms:W3CDTF">2026-05-21T10:26:00Z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fa771f69-571d-46c4-9600-d7140fbfd79f</vt:lpwstr>
  </property>
</Properties>
</file>