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lang w:eastAsia="en-US"/>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410"/>
        <w:gridCol w:w="637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A615EA">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lang w:eastAsia="en-US"/>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A615EA">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A615EA">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A615EA">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7D17F5F6" w:rsidR="00C30472" w:rsidRDefault="00A615EA">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3BDD0240" w14:textId="5178FD97" w:rsidR="00C30472" w:rsidRPr="00AE35FD" w:rsidRDefault="00883E68" w:rsidP="00F903B5">
            <w:pPr>
              <w:pBdr>
                <w:top w:val="nil"/>
                <w:left w:val="nil"/>
                <w:bottom w:val="nil"/>
                <w:right w:val="nil"/>
                <w:between w:val="nil"/>
              </w:pBdr>
              <w:spacing w:after="120" w:line="276" w:lineRule="auto"/>
              <w:jc w:val="center"/>
              <w:rPr>
                <w:rFonts w:eastAsia="Times New Roman"/>
                <w:b/>
                <w:color w:val="000000"/>
                <w:sz w:val="32"/>
                <w:szCs w:val="32"/>
              </w:rPr>
            </w:pPr>
            <w:r>
              <w:rPr>
                <w:rFonts w:eastAsia="Times New Roman"/>
                <w:b/>
                <w:color w:val="000000"/>
                <w:sz w:val="32"/>
                <w:szCs w:val="32"/>
              </w:rPr>
              <w:t>Nada Yang Membebaskan:  Struktur Liturgis Dan Teologi</w:t>
            </w:r>
            <w:r>
              <w:rPr>
                <w:rFonts w:eastAsia="Times New Roman"/>
                <w:b/>
                <w:color w:val="000000"/>
                <w:sz w:val="32"/>
                <w:szCs w:val="32"/>
              </w:rPr>
              <w:br/>
              <w:t>Dalam Panggilan Kidung Agung Musa</w:t>
            </w:r>
            <w:r>
              <w:rPr>
                <w:rFonts w:eastAsia="Times New Roman"/>
                <w:b/>
                <w:color w:val="000000"/>
                <w:sz w:val="32"/>
                <w:szCs w:val="32"/>
              </w:rPr>
              <w:br/>
              <w:t>(Keluaran 15:1-21)</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50B7B">
        <w:trPr>
          <w:gridAfter w:val="1"/>
          <w:wAfter w:w="20" w:type="dxa"/>
        </w:trPr>
        <w:tc>
          <w:tcPr>
            <w:tcW w:w="241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A615EA">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A615EA">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A615EA"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A615EA"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A615EA"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A615EA"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A615EA"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A615EA">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379" w:type="dxa"/>
            <w:tcBorders>
              <w:top w:val="single" w:sz="4" w:space="0" w:color="000000"/>
              <w:bottom w:val="single" w:sz="4" w:space="0" w:color="000000"/>
            </w:tcBorders>
          </w:tcPr>
          <w:p w14:paraId="39FE42EB" w14:textId="77777777" w:rsidR="00C30472" w:rsidRDefault="00A615EA">
            <w:pPr>
              <w:pBdr>
                <w:top w:val="nil"/>
                <w:left w:val="nil"/>
                <w:bottom w:val="nil"/>
                <w:right w:val="nil"/>
                <w:between w:val="nil"/>
              </w:pBdr>
              <w:spacing w:line="276" w:lineRule="auto"/>
              <w:rPr>
                <w:rFonts w:ascii="Lustria" w:eastAsia="Lustria" w:hAnsi="Lustria" w:cs="Lustria"/>
                <w:color w:val="000000"/>
              </w:rPr>
            </w:pPr>
            <w:commentRangeStart w:id="0"/>
            <w:r>
              <w:rPr>
                <w:rFonts w:ascii="Lustria" w:eastAsia="Lustria" w:hAnsi="Lustria" w:cs="Lustria"/>
                <w:b/>
                <w:color w:val="000000"/>
                <w:sz w:val="36"/>
                <w:szCs w:val="36"/>
                <w:vertAlign w:val="subscript"/>
              </w:rPr>
              <w:t>ABSTRAK</w:t>
            </w:r>
            <w:commentRangeEnd w:id="0"/>
            <w:r w:rsidR="00B50B7B">
              <w:rPr>
                <w:rStyle w:val="CommentReference"/>
                <w:rFonts w:ascii="Lustria" w:eastAsia="Lustria" w:hAnsi="Lustria" w:cs="Lustria"/>
                <w:color w:val="000000"/>
                <w:sz w:val="24"/>
                <w:szCs w:val="24"/>
              </w:rPr>
              <w:commentReference w:id="0"/>
            </w:r>
          </w:p>
          <w:p w14:paraId="4276D9BE" w14:textId="3BE9F824" w:rsidR="00CC68EC" w:rsidRPr="00883E68" w:rsidRDefault="00A615EA" w:rsidP="00883E68">
            <w:pPr>
              <w:jc w:val="both"/>
              <w:rPr>
                <w:b/>
                <w:sz w:val="22"/>
                <w:szCs w:val="22"/>
              </w:rPr>
            </w:pPr>
            <w:r>
              <w:rPr>
                <w:rFonts w:ascii="Lustria" w:eastAsia="Lustria" w:hAnsi="Lustria" w:cs="Lustria"/>
                <w:color w:val="000000"/>
                <w:sz w:val="20"/>
                <w:szCs w:val="20"/>
              </w:rPr>
              <w:t>_____________________________________________________________</w:t>
            </w:r>
            <w:r w:rsidR="00883E68" w:rsidRPr="00883E68">
              <w:rPr>
                <w:rFonts w:eastAsia="Times New Roman"/>
                <w:sz w:val="22"/>
                <w:szCs w:val="22"/>
              </w:rPr>
              <w:t>Kidung Musa dalam Keluaran 15:1-21 merupakan teks liturgis penting yang mengonstruksi pengalaman eksodus sebagai dasar identitas teologis Israel. Penelitian ini dilatarbelakangi oleh kebutuhan untuk memahami bagaimana struktur liturgis dari teks ini yang tidak hanya merekam peristiwa pembebasan, tetapi juga memproduksi kesadaran panggilan umat secara teologis. Oleh karena itu tujuan penelitian ini ialah menganalisis struktur liturgis Kidung Musa dan mengevaluasi implikasi teologi panggilannya melalui pendekatan eksegetis dengan menggunakan metode kualitatif membuat penelitian ini menelaah perangkat retoris, struktur puistik, dan performativitas musik serta partisipasi komunal dalam teks.</w:t>
            </w:r>
            <w:r w:rsidR="00883E68" w:rsidRPr="00883E68">
              <w:rPr>
                <w:b/>
                <w:sz w:val="22"/>
                <w:szCs w:val="22"/>
              </w:rPr>
              <w:t xml:space="preserve"> </w:t>
            </w:r>
            <w:r w:rsidR="00883E68" w:rsidRPr="00883E68">
              <w:rPr>
                <w:rFonts w:eastAsia="Times New Roman"/>
                <w:sz w:val="22"/>
                <w:szCs w:val="22"/>
              </w:rPr>
              <w:t xml:space="preserve">Penelitian ini menunjukkan bahwa Kidung Musa memiliki struktur liturgis yang jelas yakni proklamasi penyelamatan Allah, narasi pembebasan, deklarasi pemerintahan Allah, dan respons profetis-komunal melalui nyanyian dan tarian. Analisis teologis menunjukkan bahwa Allah ditampilkan sebagai Pejuang Ilahi yang bertindak dalam kasih setia, sementara umat dipanggil untuk merespons melalui penyembahan, identitas perjanjian, dan partisipasi etis dalam misi pembebasan. </w:t>
            </w:r>
            <w:r w:rsidR="00400B7F">
              <w:t>Kontribusi penelitian ini terletak pada penegasan bahwa Kidung Musa perlu dibaca sebagai teks liturgis-performatif yang berfungsi membentuk identitas perjanjian dan kesadaran panggilan umat, bukan semata-mata sebagai puisi kemenangan historis. Sehingga, penelitian ini memperkaya kajian teologi biblika dan liturgi dengan menunjukkan bagaimana memori pembebasan, struktur ibadah, dan panggilan etis umat terjalin secara integral dalam tradisi eksodus.</w:t>
            </w:r>
          </w:p>
          <w:p w14:paraId="1D3E9357" w14:textId="77777777" w:rsidR="00C30472" w:rsidRDefault="00A615EA">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04A73A90" w14:textId="77777777" w:rsidR="00C30472" w:rsidRDefault="00A615EA">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5AC4A969" w14:textId="78AABD1C" w:rsidR="00883E68" w:rsidRPr="00883E68" w:rsidRDefault="00883E68" w:rsidP="00883E68">
            <w:pPr>
              <w:rPr>
                <w:sz w:val="22"/>
                <w:szCs w:val="22"/>
              </w:rPr>
            </w:pPr>
            <w:r w:rsidRPr="00883E68">
              <w:rPr>
                <w:sz w:val="22"/>
                <w:szCs w:val="22"/>
              </w:rPr>
              <w:t xml:space="preserve">Kidung Musa, Liturgis, Teologi Panggilan, </w:t>
            </w:r>
            <w:r w:rsidR="00400B7F">
              <w:rPr>
                <w:sz w:val="22"/>
                <w:szCs w:val="22"/>
              </w:rPr>
              <w:t>Keluaran 15:1-21</w:t>
            </w:r>
          </w:p>
          <w:p w14:paraId="71E2798F" w14:textId="5A5CBA23" w:rsidR="00C30472" w:rsidRDefault="00A615EA">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4925E677" w14:textId="77777777" w:rsidR="00400B7F" w:rsidRDefault="00400B7F">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A615EA">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A615EA">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lastRenderedPageBreak/>
              <w:t>___________________________________________________________</w:t>
            </w:r>
          </w:p>
          <w:p w14:paraId="44D1E0EB" w14:textId="60127E04" w:rsidR="003A4350" w:rsidRPr="006C5D82" w:rsidRDefault="00883E68" w:rsidP="006C5D82">
            <w:pPr>
              <w:jc w:val="both"/>
              <w:rPr>
                <w:b/>
                <w:bCs/>
                <w:i/>
                <w:color w:val="EE0000"/>
                <w:sz w:val="22"/>
                <w:szCs w:val="22"/>
              </w:rPr>
            </w:pPr>
            <w:r w:rsidRPr="00883E68">
              <w:rPr>
                <w:rFonts w:eastAsia="Times New Roman"/>
                <w:i/>
                <w:sz w:val="22"/>
                <w:szCs w:val="22"/>
              </w:rPr>
              <w:t>The Song of Moses in Exodus 15:1–21 is a significant liturgical text that constructs the exodus experience as the foundation of Israel’s theological identity. This study is motivated by the need to understand how the liturgical structure of this text not only records the event of deliverance but also generates a theologically grounded sense of vocation for the community. Therefore, the purpose of this research is to analyze the liturgical structure of the Song of Moses and to evaluate the implications of its theology of vocation through an exegetical approach. Using a qualitative method, this research examines the text’s rhetorical devices, poetic structure, musical performativity, and communal participation. The findings demonstrate that the Song of Moses possesses a clear liturgical structure namely, the proclamation of God’s salvation, the narrative of deliverance, the declaration of God’s reign, and the prophetic–communal response expressed through song and dance. The theological analysis reveals that God is portrayed as the Divine Warrior who acts in steadfast love, while the community is called to respond through worship, covenant identity, and ethical participation in God’s mission of liberation</w:t>
            </w:r>
            <w:r w:rsidR="006C5D82">
              <w:rPr>
                <w:rFonts w:eastAsia="Times New Roman"/>
                <w:i/>
                <w:sz w:val="22"/>
                <w:szCs w:val="22"/>
              </w:rPr>
              <w:t xml:space="preserve">. </w:t>
            </w:r>
            <w:r w:rsidR="006C5D82" w:rsidRPr="006C5D82">
              <w:rPr>
                <w:rFonts w:eastAsia="Times New Roman"/>
                <w:i/>
                <w:sz w:val="22"/>
                <w:szCs w:val="22"/>
              </w:rPr>
              <w:t>The contribution of this study lies in its emphasis that the Song of Moses should be read as a liturgical-performative text that functions to shape covenantal identity and the community’s sense of calling, rather than merely as a poem of historical victory. Thus, this research enriches biblical theology and liturgical studies by demonstrating how the memory of liberation, the structure of worship, and the ethical calling of the people are integrally intertwined within the Exodus tradition.</w:t>
            </w:r>
          </w:p>
          <w:p w14:paraId="61514CC2" w14:textId="2E8F26D7" w:rsidR="00C30472" w:rsidRDefault="00A615EA">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A615EA">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59570307" w14:textId="7E7C3098" w:rsidR="00C30472" w:rsidRPr="00B82508" w:rsidRDefault="00883E68">
            <w:pPr>
              <w:pBdr>
                <w:top w:val="nil"/>
                <w:left w:val="nil"/>
                <w:bottom w:val="nil"/>
                <w:right w:val="nil"/>
                <w:between w:val="nil"/>
              </w:pBdr>
              <w:rPr>
                <w:sz w:val="22"/>
                <w:szCs w:val="22"/>
                <w:lang w:val="en-ID"/>
              </w:rPr>
            </w:pPr>
            <w:r w:rsidRPr="00883E68">
              <w:rPr>
                <w:rFonts w:eastAsia="Times New Roman"/>
                <w:sz w:val="22"/>
                <w:szCs w:val="22"/>
              </w:rPr>
              <w:t xml:space="preserve">Song of Moses, Liturgical Structure, Theology </w:t>
            </w:r>
            <w:r w:rsidR="006C5D82">
              <w:rPr>
                <w:rFonts w:eastAsia="Times New Roman"/>
                <w:sz w:val="22"/>
                <w:szCs w:val="22"/>
              </w:rPr>
              <w:t>of Calling, Exodus 15:1-21</w:t>
            </w:r>
          </w:p>
          <w:p w14:paraId="7A1C1A60" w14:textId="77777777" w:rsidR="00C30472" w:rsidRDefault="00A615EA">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2F36EB8B" w14:textId="77777777" w:rsidR="00CC68EC" w:rsidRDefault="00CC68EC" w:rsidP="00CC68EC">
      <w:pPr>
        <w:jc w:val="both"/>
        <w:rPr>
          <w:b/>
        </w:rPr>
      </w:pPr>
      <w:r>
        <w:rPr>
          <w:rFonts w:ascii="Lustria" w:eastAsia="Lustria" w:hAnsi="Lustria" w:cs="Lustria"/>
          <w:color w:val="000000"/>
          <w:sz w:val="16"/>
          <w:szCs w:val="16"/>
        </w:rPr>
        <w:lastRenderedPageBreak/>
        <w:br/>
      </w:r>
      <w:r>
        <w:rPr>
          <w:b/>
        </w:rPr>
        <w:t>PENDAHULUAN</w:t>
      </w:r>
      <w:r>
        <w:rPr>
          <w:b/>
        </w:rPr>
        <w:br/>
      </w:r>
    </w:p>
    <w:p w14:paraId="68F705C4" w14:textId="77777777" w:rsidR="00CC68EC" w:rsidRDefault="00CC68EC" w:rsidP="00CC68EC">
      <w:pPr>
        <w:pStyle w:val="NormalWeb"/>
        <w:spacing w:before="0" w:beforeAutospacing="0" w:after="0" w:afterAutospacing="0"/>
        <w:ind w:firstLine="720"/>
        <w:jc w:val="both"/>
      </w:pPr>
      <w:r>
        <w:t>Kidung Musa dalam Keluaran 15:1-21 secara luas dipahami sebagai respons liturgis pertama yang direkam dalam sejarah teologi Israel. Banyak studi menempatkannya sebagai “momen definisional” dalam narasi Keluaran yaitu sebuah titik di mana pengalaman historis pembebasan diterjemahkan menjadi identitas teologis melalui praktik ibadah komunal. Peralihan dari narasi prosa dalam pasal 14 ke bentuk puisi dalam pasal 15 bukan sekadar perubahan gaya penulisan namun ia mencerminkan transformasi teologis yakni peristiwa yang disampaikan ulang sebagai pujian, dan tindakan Allah menjadi dasar ontologis relasi umat dengan Allah. Secara struktural, liturgi melalui nyanyian menjadi mekanisme utama bagi Israel untuk memahami diri mereka sebagai umat yang dibentuk oleh anugerah pembebasan.</w:t>
      </w:r>
    </w:p>
    <w:p w14:paraId="02D3DCDC" w14:textId="0EAAF53D" w:rsidR="00C30472" w:rsidRPr="00CC68EC" w:rsidRDefault="00CC68EC" w:rsidP="00CC68EC">
      <w:pPr>
        <w:pStyle w:val="NormalWeb"/>
        <w:spacing w:before="0" w:beforeAutospacing="0" w:after="0" w:afterAutospacing="0"/>
        <w:ind w:firstLine="720"/>
        <w:jc w:val="both"/>
        <w:sectPr w:rsidR="00C30472" w:rsidRPr="00CC68EC">
          <w:headerReference w:type="even" r:id="rId14"/>
          <w:footerReference w:type="even" r:id="rId15"/>
          <w:footerReference w:type="default" r:id="rId16"/>
          <w:headerReference w:type="first" r:id="rId17"/>
          <w:footerReference w:type="first" r:id="rId18"/>
          <w:pgSz w:w="11906" w:h="16838"/>
          <w:pgMar w:top="1418" w:right="1133" w:bottom="1418" w:left="1701" w:header="708" w:footer="708" w:gutter="0"/>
          <w:pgNumType w:start="1"/>
          <w:cols w:space="720"/>
        </w:sectPr>
      </w:pPr>
      <w:r>
        <w:t xml:space="preserve">Kajian terbaru menegaskan bahwa Kidung Musa bukan hanya tulisan puitis, melainkan tindakan liturgis yang memiliki fungsi kanonik dalam formasi identitas. Hamilton, menafsirkan </w:t>
      </w:r>
      <w:r w:rsidRPr="00B50B7B">
        <w:rPr>
          <w:color w:val="EE0000"/>
        </w:rPr>
        <w:t>struktur kiastik teks</w:t>
      </w:r>
      <w:r>
        <w:t xml:space="preserve"> ini sebagai perangkat teologis yang sengaja dibentuk untuk mengarahkan perhatian umat kepada inisiatif penyelamatan Allah dan respons umat berupa penyembahan.</w:t>
      </w:r>
      <w:r w:rsidRPr="000C6E79">
        <w:rPr>
          <w:rStyle w:val="FootnoteReference"/>
          <w:rFonts w:eastAsia="Calibri"/>
        </w:rPr>
        <w:footnoteReference w:id="1"/>
      </w:r>
      <w:r>
        <w:t xml:space="preserve"> Ia menunjukkan bahwa penyusunan puitis bukan bentuk estetis, tetapi merupakan sebuah liturgis yang mendorong umat menginternalisasi keyakinan mereka misalnya pengakuan akan kekuatan Allah, penghancuran musuh, dan peneguhan masa depan umat. Sehingga, liturgi dalam Kidung Musa bekerja secara pedagogis yaitu membentuk cara umat melihat sejarah, Tuhan, diri mereka, dan bangsa-bangsa lain.</w:t>
      </w:r>
      <w:r>
        <w:rPr>
          <w:lang w:val="en-US"/>
        </w:rPr>
        <w:t xml:space="preserve"> </w:t>
      </w:r>
      <w:r>
        <w:t>Dengan kata lain, pujian dalam Kidung Musa tidak bersifat statis tetapi  mendorong partisipasi etis dalam kenabian.</w:t>
      </w: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46B8001A" w14:textId="788EF18A" w:rsidR="00883E68" w:rsidRDefault="00883E68" w:rsidP="00CC68EC">
      <w:pPr>
        <w:pStyle w:val="NormalWeb"/>
        <w:spacing w:before="0" w:beforeAutospacing="0" w:after="0" w:afterAutospacing="0"/>
        <w:ind w:firstLine="720"/>
        <w:jc w:val="both"/>
      </w:pPr>
      <w:r>
        <w:t>Evans menegaskan bahwa penggunaan rebana dan tarian oleh perempuan Israel merupakan bentuk legitimasi peran publik perempuan dalam ibadah, yang pada banyak budaya timur dekat kuno direduksi atau dibatasi.</w:t>
      </w:r>
      <w:r w:rsidRPr="000C6E79">
        <w:rPr>
          <w:rStyle w:val="FootnoteReference"/>
          <w:rFonts w:eastAsia="Calibri"/>
        </w:rPr>
        <w:footnoteReference w:id="2"/>
      </w:r>
      <w:r>
        <w:t xml:space="preserve"> Artinya, liturgi pembebasan dalam Kidung Musa tidak hanya membebaskan Israel dari Mesir, tetapi juga membuka ruang baru bagi partisipasi komunitas secara penuh.</w:t>
      </w:r>
    </w:p>
    <w:p w14:paraId="1BE8C8F4" w14:textId="77777777" w:rsidR="00883E68" w:rsidRDefault="00883E68" w:rsidP="00883E68">
      <w:pPr>
        <w:pStyle w:val="NormalWeb"/>
        <w:spacing w:before="0" w:beforeAutospacing="0" w:after="0" w:afterAutospacing="0"/>
        <w:ind w:firstLine="720"/>
        <w:jc w:val="both"/>
      </w:pPr>
      <w:r>
        <w:t>Hal ini diperkuat oleh penelitian Asamoah mengenai hubungan musik dan penanaman memori teologis dalam praktik Kristen Afrika, yang walaupun berbeda konteks, memberikan paralel menarik yaitu musik liturgis berfungsi sebagai medium pembentuk identitas yang jauh lebih kuat dibandingkan media verbal semata.</w:t>
      </w:r>
      <w:r w:rsidRPr="000C6E79">
        <w:rPr>
          <w:rStyle w:val="FootnoteReference"/>
          <w:rFonts w:eastAsia="Calibri"/>
        </w:rPr>
        <w:footnoteReference w:id="3"/>
      </w:r>
      <w:r>
        <w:t xml:space="preserve"> Ketika diterapkan pada Kidung Musa, temuan ini memperjelas bahwa “nada” dalam himne tersebut yakni musik, ritme, respons antiphonal, dan instrumen, bukan saja sebagai komponen tambahan, tetapi inti dari performativitas teologis yang membebaskan. Nada itu sendiri menjadi alat pembebasan yang mengikat komunitas dalam pengalaman bersama dan menegaskan bahwa penyembahan adalah respons eksistensial, bukan sekadar ritual.</w:t>
      </w:r>
    </w:p>
    <w:p w14:paraId="4C71F482" w14:textId="77777777" w:rsidR="00883E68" w:rsidRDefault="00883E68" w:rsidP="00883E68">
      <w:pPr>
        <w:pStyle w:val="NormalWeb"/>
        <w:spacing w:before="0" w:beforeAutospacing="0" w:after="0" w:afterAutospacing="0"/>
        <w:ind w:firstLine="720"/>
        <w:jc w:val="both"/>
      </w:pPr>
      <w:r>
        <w:t>Selain itu, pembacaan komparatif terhadap tradisi timur dekat kuno memberikan sudut pandang yang memperkuat pemahaman teologis ini. Studi narativitas historis dalam himne timur dekat kuno menunjukkan bahwa lagu kemenangan biasanya berfungsi untuk meneguhkan legitimasi raja, tetapi Kidung Musa secara radikal memindahkan pusat perhatian, bukan Musa atau Israel yang ditinggikan, melainkan Allah sebagai subjek tunggal pembebasan.</w:t>
      </w:r>
      <w:r w:rsidRPr="000C6E79">
        <w:rPr>
          <w:rStyle w:val="FootnoteReference"/>
          <w:rFonts w:eastAsia="Calibri"/>
        </w:rPr>
        <w:footnoteReference w:id="4"/>
      </w:r>
      <w:r>
        <w:t xml:space="preserve"> Dengan demikian, liturgi dalam Kidung Musa sekaligus merupakan pernyataan teologis yang menegaskan perbuatan Allah sebagai kekuatan yang membebaskan. Perbedaan teologis ini memperjelas mengapa Kidung Musa menjadi model liturgis utama dalam memori Israel.</w:t>
      </w:r>
    </w:p>
    <w:p w14:paraId="4ABDFE16" w14:textId="77777777" w:rsidR="00883E68" w:rsidRDefault="00883E68" w:rsidP="00883E68">
      <w:pPr>
        <w:pStyle w:val="NormalWeb"/>
        <w:spacing w:before="0" w:beforeAutospacing="0" w:after="0" w:afterAutospacing="0"/>
        <w:ind w:firstLine="720"/>
        <w:jc w:val="both"/>
      </w:pPr>
      <w:r>
        <w:t xml:space="preserve">Selain itu juga Chia, menyoroti bahwa struktur puisi Kidung Musa mengekspresikan relasi dialektis antara tindakan Allah dan respons umat. </w:t>
      </w:r>
      <w:r w:rsidRPr="000C6E79">
        <w:rPr>
          <w:rStyle w:val="FootnoteReference"/>
          <w:rFonts w:eastAsia="Calibri"/>
        </w:rPr>
        <w:footnoteReference w:id="5"/>
      </w:r>
      <w:r>
        <w:t>Ia menekankan bahwa liturgi dalam teks ini tidak bersifat satu arah, Allah bertindak menyelamatkan, tetapi umat dipanggil untuk menyatakan kembali tindakan itu melalui doa, nyanyian, dan misi. Sehingga dalam hal ini, Kidung Musa bukan sekadar pujian atas apa yang telah terjadi tetapi juga deklarasi teologis tentang apa yang harus dilakukan umat ke depan yaitu menjadi saksi pembebasan.</w:t>
      </w:r>
    </w:p>
    <w:p w14:paraId="75C96A2E" w14:textId="77777777" w:rsidR="00883E68" w:rsidRDefault="00883E68" w:rsidP="00883E68">
      <w:pPr>
        <w:pStyle w:val="NormalWeb"/>
        <w:spacing w:before="0" w:beforeAutospacing="0" w:after="0" w:afterAutospacing="0"/>
        <w:jc w:val="both"/>
      </w:pPr>
      <w:r>
        <w:t xml:space="preserve">Riset lain menyoroti bahwa Kidung Musa menyimpan memori kolektif yang membentuk narasi besar keselamatan dalam Alkitab. Davis melihat  </w:t>
      </w:r>
      <w:r>
        <w:rPr>
          <w:rStyle w:val="Emphasis"/>
        </w:rPr>
        <w:t>Shirat ha-Yam</w:t>
      </w:r>
      <w:r>
        <w:t xml:space="preserve"> menunjukkan bahwa selama berabad-abad teks ini dipraktikkan sebagai liturgi yang tidak berubah, menandakan bahwa fungsi liturgisnya lebih kuat dibanding fungsi naratifnya.</w:t>
      </w:r>
      <w:r w:rsidRPr="000C6E79">
        <w:rPr>
          <w:rStyle w:val="FootnoteReference"/>
          <w:rFonts w:eastAsia="Calibri"/>
        </w:rPr>
        <w:footnoteReference w:id="6"/>
      </w:r>
      <w:r>
        <w:t xml:space="preserve"> Hal ini mempertegas bahwa liturgi berfungsi sebagai alat transgenerasional yang mentransmisikan teologi pembebasan dari generasi ke generasi.</w:t>
      </w:r>
    </w:p>
    <w:p w14:paraId="4AFB5EE5" w14:textId="77777777" w:rsidR="00883E68" w:rsidRPr="00B50B7B" w:rsidRDefault="00883E68" w:rsidP="00883E68">
      <w:pPr>
        <w:ind w:firstLine="720"/>
        <w:jc w:val="both"/>
        <w:rPr>
          <w:color w:val="EE0000"/>
        </w:rPr>
      </w:pPr>
      <w:r w:rsidRPr="009820EE">
        <w:t xml:space="preserve">Dari keseluruhan interaksi literatur tersebut, terlihat bahwa kajian mengenai Kidung Musa telah berkembang ke berbagai arah baik dari struktur puitik, fungsi performatif, memori teologis, perbandingan Timur dekat kuno , dan implikasi misiologis. </w:t>
      </w:r>
      <w:r w:rsidRPr="00B50B7B">
        <w:rPr>
          <w:color w:val="EE0000"/>
        </w:rPr>
        <w:t>Namun, terdapat celah yang perlu dijembatani. Penelitian teologi liturgi sering membahas bentuk dan performativitas, tetapi kurang menekankan bagaimana liturgi ini memproduksi panggilan etis dan misiologis umat. Sebaliknya, penelitian misiologi jarang mengaitkan pemahaman panggilan dengan praktik penyembahan puitik. Kidung Musa, dengan demikian, menjadi model liturgi pembebasan yang relevan bukan hanya bagi Israel kuno, tetapi bagi komunitas iman sepanjang sejarah. Oleh karena itu, penelitian ini akan mengintegrasikan analisis struktural-puitik Keluaran 15 dengan teori liturgi, teologi panggilan dengan kajian yang mendalam.</w:t>
      </w:r>
    </w:p>
    <w:p w14:paraId="0D134F0E" w14:textId="39ED0282" w:rsidR="00C30472" w:rsidRDefault="006C5D82" w:rsidP="00182E29">
      <w:pPr>
        <w:ind w:firstLine="720"/>
        <w:jc w:val="both"/>
        <w:sectPr w:rsidR="00C30472">
          <w:pgSz w:w="11906" w:h="16838"/>
          <w:pgMar w:top="1418" w:right="1133" w:bottom="1418" w:left="1701" w:header="708" w:footer="708" w:gutter="0"/>
          <w:cols w:space="720"/>
        </w:sectPr>
      </w:pPr>
      <w:commentRangeStart w:id="1"/>
      <w:r>
        <w:t>Kontribusi utama penelitian ini terletak pada penegasan bahwa dimensi “nada” dalam Kidung Musa</w:t>
      </w:r>
      <w:r w:rsidR="00182E29">
        <w:t xml:space="preserve"> </w:t>
      </w:r>
      <w:r>
        <w:t xml:space="preserve">berfungsi sebagai medium teologis yang secara formatif membentuk identitas perjanjian serta orientasi etis umat. </w:t>
      </w:r>
      <w:r w:rsidR="00182E29">
        <w:t>Oleh karena</w:t>
      </w:r>
      <w:r>
        <w:t>, liturgi tidak dipahami sebagai respons pasif terhadap peristiwa keselamatan, melainkan sebagai locus formasi teologis di mana panggilan umat dikonstruksi dan diaktualisasikan melalui kesaksian dan partisipasi akti</w:t>
      </w:r>
      <w:r w:rsidR="00182E29">
        <w:t xml:space="preserve">f dalam karya pembebasan Allah. </w:t>
      </w:r>
      <w:r>
        <w:t>Sejalan dengan fokus tersebut, pertanyaan penelitian ini dirumuskan sebagai berikut: bagaimana struktur liturgis Kidung Musa (Keluaran 15:1–21) mengonstruksi teologi pembebasan dan membentuk pemahaman umat tentang panggilan mereka dalam kerangka identitas perjanjian?</w:t>
      </w:r>
      <w:commentRangeEnd w:id="1"/>
      <w:r w:rsidR="00B50B7B">
        <w:rPr>
          <w:rStyle w:val="CommentReference"/>
          <w:sz w:val="24"/>
          <w:szCs w:val="24"/>
        </w:rPr>
        <w:commentReference w:id="1"/>
      </w: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2DB86AEA" w:rsidR="00C30472" w:rsidRPr="00A75AD1" w:rsidRDefault="00A615EA">
      <w:pPr>
        <w:tabs>
          <w:tab w:val="left" w:pos="284"/>
        </w:tabs>
        <w:jc w:val="both"/>
        <w:rPr>
          <w:b/>
          <w:color w:val="EE0000"/>
        </w:rPr>
      </w:pPr>
      <w:r>
        <w:rPr>
          <w:b/>
        </w:rPr>
        <w:t>METODE PENELITIAN</w:t>
      </w:r>
      <w:r w:rsidR="00A75AD1">
        <w:rPr>
          <w:b/>
        </w:rPr>
        <w:t xml:space="preserve"> </w:t>
      </w:r>
    </w:p>
    <w:p w14:paraId="6C4811C0" w14:textId="6DA17E2C" w:rsidR="00C30472" w:rsidRDefault="00883E68" w:rsidP="00182E29">
      <w:pPr>
        <w:ind w:firstLine="720"/>
        <w:jc w:val="both"/>
      </w:pPr>
      <w:r w:rsidRPr="00EC4639">
        <w:t>Penelitian ini menggunakan pendekatan kualitatif berbasis studi kepustakaan</w:t>
      </w:r>
      <w:r>
        <w:t xml:space="preserve"> dengan metode analisis biblika </w:t>
      </w:r>
      <w:r w:rsidRPr="00EC4639">
        <w:t>teologis. Karena fokus penelitian t</w:t>
      </w:r>
      <w:r>
        <w:t>erletak pada teks Keluaran 15:1-</w:t>
      </w:r>
      <w:r w:rsidRPr="00EC4639">
        <w:t>21 sebagai karya liturgis dan teologis, maka metodologi yang digunakan mengintegrasikan analisis eksegetis, literer, dan teologi biblika untuk mengungkapkan makna struktur, fungsi liturgis, serta teologi panggilan yang terkandung di</w:t>
      </w:r>
      <w:r>
        <w:t xml:space="preserve"> dalam Kidung Musa. </w:t>
      </w:r>
      <w:r w:rsidR="00182E29" w:rsidRPr="00182E29">
        <w:t>Pendekatan ini sejalan dengan kerangka penelitian teologi biblika yang menempatkan teks Kitab Suci sebagai kesatuan teologis yang dibaca dalam konteks</w:t>
      </w:r>
      <w:r w:rsidR="005C72EE">
        <w:t xml:space="preserve"> kanonik dan praksis iman umat.</w:t>
      </w:r>
      <w:r w:rsidR="005C72EE">
        <w:rPr>
          <w:rStyle w:val="FootnoteReference"/>
        </w:rPr>
        <w:footnoteReference w:id="7"/>
      </w:r>
      <w:r w:rsidR="005C72EE">
        <w:t xml:space="preserve"> Penelitian ini menggunakan pendekatan Teologi Biblika</w:t>
      </w:r>
      <w:r w:rsidR="005C72EE" w:rsidRPr="005C72EE">
        <w:t xml:space="preserve"> untuk mengaitkan temuan tekstual dengan tema besar pembebasan, identitas perjanjian, dan panggilan umat dalam tradisi Israel. Pendekatan integratif ini memungkinkan pembacaan Keluaran 15:1–21 tidak semata-mata sebagai laporan historis, melainkan sebagai liturgi yang secara aktif membentuk memori teologis, orientasi etis, dan kesadaran panggilan umat Allah. Pemahaman ini sejalan dengan refleksi teologi ibadah di Indonesia yang menekankan bahwa liturgi berfungsi sebagai ruang formasi i</w:t>
      </w:r>
      <w:r w:rsidR="005C72EE">
        <w:t>man dan praksis kehidupan umat.</w:t>
      </w:r>
      <w:r w:rsidR="005C72EE">
        <w:rPr>
          <w:rStyle w:val="FootnoteReference"/>
        </w:rPr>
        <w:footnoteReference w:id="8"/>
      </w:r>
    </w:p>
    <w:p w14:paraId="089C5FC9" w14:textId="77777777" w:rsidR="005C72EE" w:rsidRDefault="005C72EE" w:rsidP="00182E29">
      <w:pPr>
        <w:ind w:firstLine="720"/>
        <w:jc w:val="both"/>
      </w:pPr>
    </w:p>
    <w:p w14:paraId="4BB2B336" w14:textId="77777777" w:rsidR="00182E29" w:rsidRDefault="00182E29" w:rsidP="00182E29">
      <w:pPr>
        <w:ind w:firstLine="720"/>
        <w:jc w:val="both"/>
        <w:rPr>
          <w:b/>
        </w:rPr>
      </w:pPr>
    </w:p>
    <w:p w14:paraId="23DDDC07" w14:textId="77777777" w:rsidR="00C30472" w:rsidRDefault="00A615EA">
      <w:pPr>
        <w:jc w:val="both"/>
        <w:rPr>
          <w:b/>
        </w:rPr>
      </w:pPr>
      <w:r>
        <w:rPr>
          <w:b/>
        </w:rPr>
        <w:t>HASIL DAN PEMBAHASAN</w:t>
      </w:r>
    </w:p>
    <w:p w14:paraId="6B0FD2E5" w14:textId="1A7EAA00" w:rsidR="0010267E" w:rsidRDefault="0010267E" w:rsidP="0010267E">
      <w:pPr>
        <w:jc w:val="center"/>
        <w:rPr>
          <w:b/>
        </w:rPr>
      </w:pPr>
      <w:r>
        <w:rPr>
          <w:b/>
        </w:rPr>
        <w:br/>
      </w:r>
      <w:commentRangeStart w:id="2"/>
      <w:r w:rsidRPr="00BD61B7">
        <w:rPr>
          <w:b/>
        </w:rPr>
        <w:t>Struktur Liturgis</w:t>
      </w:r>
      <w:r>
        <w:rPr>
          <w:b/>
        </w:rPr>
        <w:t xml:space="preserve"> Keluaran 15:1-21</w:t>
      </w:r>
      <w:commentRangeEnd w:id="2"/>
      <w:r w:rsidR="00B50B7B">
        <w:rPr>
          <w:rStyle w:val="CommentReference"/>
          <w:b/>
          <w:sz w:val="24"/>
          <w:szCs w:val="24"/>
        </w:rPr>
        <w:commentReference w:id="2"/>
      </w:r>
    </w:p>
    <w:p w14:paraId="591A8716" w14:textId="77777777" w:rsidR="0010267E" w:rsidRPr="00BD61B7" w:rsidRDefault="0010267E" w:rsidP="0010267E">
      <w:pPr>
        <w:jc w:val="both"/>
        <w:rPr>
          <w:b/>
        </w:rPr>
      </w:pPr>
    </w:p>
    <w:p w14:paraId="69BD4669" w14:textId="77777777" w:rsidR="0010267E" w:rsidRPr="00FC24E1" w:rsidRDefault="0010267E" w:rsidP="0010267E">
      <w:pPr>
        <w:pStyle w:val="ListParagraph"/>
        <w:numPr>
          <w:ilvl w:val="0"/>
          <w:numId w:val="4"/>
        </w:numPr>
        <w:spacing w:after="0" w:line="240" w:lineRule="auto"/>
        <w:jc w:val="both"/>
        <w:rPr>
          <w:rFonts w:ascii="Times New Roman" w:hAnsi="Times New Roman"/>
          <w:sz w:val="24"/>
          <w:szCs w:val="24"/>
        </w:rPr>
      </w:pPr>
      <w:r>
        <w:rPr>
          <w:rFonts w:ascii="Times New Roman" w:hAnsi="Times New Roman"/>
          <w:sz w:val="24"/>
          <w:szCs w:val="24"/>
        </w:rPr>
        <w:t>Pembukaan Liturgis (15:1-</w:t>
      </w:r>
      <w:r w:rsidRPr="00FC24E1">
        <w:rPr>
          <w:rFonts w:ascii="Times New Roman" w:hAnsi="Times New Roman"/>
          <w:sz w:val="24"/>
          <w:szCs w:val="24"/>
        </w:rPr>
        <w:t>3)</w:t>
      </w:r>
    </w:p>
    <w:p w14:paraId="2F8F45A0" w14:textId="77777777" w:rsidR="0010267E" w:rsidRPr="00FC24E1" w:rsidRDefault="0010267E" w:rsidP="0010267E">
      <w:pPr>
        <w:pStyle w:val="ListParagraph"/>
        <w:numPr>
          <w:ilvl w:val="0"/>
          <w:numId w:val="4"/>
        </w:numPr>
        <w:spacing w:after="0" w:line="240" w:lineRule="auto"/>
        <w:jc w:val="both"/>
        <w:rPr>
          <w:rFonts w:ascii="Times New Roman" w:hAnsi="Times New Roman"/>
          <w:sz w:val="24"/>
          <w:szCs w:val="24"/>
        </w:rPr>
      </w:pPr>
      <w:r w:rsidRPr="00FC24E1">
        <w:rPr>
          <w:rFonts w:ascii="Times New Roman" w:hAnsi="Times New Roman"/>
          <w:sz w:val="24"/>
          <w:szCs w:val="24"/>
        </w:rPr>
        <w:t>Tindakan Pembebasan Allah</w:t>
      </w:r>
      <w:r>
        <w:rPr>
          <w:rFonts w:ascii="Times New Roman" w:hAnsi="Times New Roman"/>
          <w:sz w:val="24"/>
          <w:szCs w:val="24"/>
        </w:rPr>
        <w:t>(15:4-</w:t>
      </w:r>
      <w:r w:rsidRPr="00FC24E1">
        <w:rPr>
          <w:rFonts w:ascii="Times New Roman" w:hAnsi="Times New Roman"/>
          <w:sz w:val="24"/>
          <w:szCs w:val="24"/>
        </w:rPr>
        <w:t>12)</w:t>
      </w:r>
    </w:p>
    <w:p w14:paraId="266ED229" w14:textId="77777777" w:rsidR="0010267E" w:rsidRDefault="0010267E" w:rsidP="0010267E">
      <w:pPr>
        <w:pStyle w:val="ListParagraph"/>
        <w:numPr>
          <w:ilvl w:val="0"/>
          <w:numId w:val="5"/>
        </w:numPr>
        <w:spacing w:after="0" w:line="240" w:lineRule="auto"/>
        <w:jc w:val="both"/>
        <w:rPr>
          <w:rFonts w:ascii="Times New Roman" w:hAnsi="Times New Roman"/>
          <w:sz w:val="24"/>
          <w:szCs w:val="24"/>
        </w:rPr>
      </w:pPr>
      <w:r w:rsidRPr="00FC24E1">
        <w:rPr>
          <w:rFonts w:ascii="Times New Roman" w:hAnsi="Times New Roman"/>
          <w:sz w:val="24"/>
          <w:szCs w:val="24"/>
        </w:rPr>
        <w:t>Allah Mengalahkan Musuh (4-10)</w:t>
      </w:r>
    </w:p>
    <w:p w14:paraId="048129DE" w14:textId="77777777" w:rsidR="0010267E" w:rsidRPr="00FC24E1" w:rsidRDefault="0010267E" w:rsidP="0010267E">
      <w:pPr>
        <w:pStyle w:val="ListParagraph"/>
        <w:numPr>
          <w:ilvl w:val="0"/>
          <w:numId w:val="5"/>
        </w:numPr>
        <w:spacing w:after="0" w:line="240" w:lineRule="auto"/>
        <w:jc w:val="both"/>
        <w:rPr>
          <w:rFonts w:ascii="Times New Roman" w:hAnsi="Times New Roman"/>
          <w:sz w:val="24"/>
          <w:szCs w:val="24"/>
        </w:rPr>
      </w:pPr>
      <w:r w:rsidRPr="00FC24E1">
        <w:rPr>
          <w:rFonts w:ascii="Times New Roman" w:hAnsi="Times New Roman"/>
          <w:sz w:val="24"/>
          <w:szCs w:val="24"/>
        </w:rPr>
        <w:t xml:space="preserve">Tuhan satu-satunya </w:t>
      </w:r>
      <w:r>
        <w:rPr>
          <w:rFonts w:ascii="Times New Roman" w:hAnsi="Times New Roman"/>
          <w:sz w:val="24"/>
          <w:szCs w:val="24"/>
        </w:rPr>
        <w:t>Allah (11-</w:t>
      </w:r>
      <w:r w:rsidRPr="00FC24E1">
        <w:rPr>
          <w:rFonts w:ascii="Times New Roman" w:hAnsi="Times New Roman"/>
          <w:sz w:val="24"/>
          <w:szCs w:val="24"/>
        </w:rPr>
        <w:t>12)</w:t>
      </w:r>
    </w:p>
    <w:p w14:paraId="6A2FDB40" w14:textId="77777777" w:rsidR="0010267E" w:rsidRPr="00FC24E1" w:rsidRDefault="0010267E" w:rsidP="0010267E">
      <w:pPr>
        <w:pStyle w:val="ListParagraph"/>
        <w:numPr>
          <w:ilvl w:val="0"/>
          <w:numId w:val="4"/>
        </w:numPr>
        <w:spacing w:after="0" w:line="240" w:lineRule="auto"/>
        <w:jc w:val="both"/>
        <w:rPr>
          <w:rFonts w:ascii="Times New Roman" w:hAnsi="Times New Roman"/>
          <w:sz w:val="24"/>
          <w:szCs w:val="24"/>
        </w:rPr>
      </w:pPr>
      <w:r w:rsidRPr="00FC24E1">
        <w:rPr>
          <w:rFonts w:ascii="Times New Roman" w:hAnsi="Times New Roman"/>
          <w:sz w:val="24"/>
          <w:szCs w:val="24"/>
        </w:rPr>
        <w:t>Pemerintahan Alah atas umat dan bangsa-bangsa</w:t>
      </w:r>
      <w:r>
        <w:rPr>
          <w:rFonts w:ascii="Times New Roman" w:hAnsi="Times New Roman"/>
          <w:sz w:val="24"/>
          <w:szCs w:val="24"/>
        </w:rPr>
        <w:t xml:space="preserve"> (15:13-</w:t>
      </w:r>
      <w:r w:rsidRPr="00FC24E1">
        <w:rPr>
          <w:rFonts w:ascii="Times New Roman" w:hAnsi="Times New Roman"/>
          <w:sz w:val="24"/>
          <w:szCs w:val="24"/>
        </w:rPr>
        <w:t>17)</w:t>
      </w:r>
    </w:p>
    <w:p w14:paraId="48FB0988" w14:textId="77777777" w:rsidR="0010267E" w:rsidRDefault="0010267E" w:rsidP="0010267E">
      <w:pPr>
        <w:pStyle w:val="ListParagraph"/>
        <w:numPr>
          <w:ilvl w:val="0"/>
          <w:numId w:val="2"/>
        </w:numPr>
        <w:spacing w:after="0" w:line="240" w:lineRule="auto"/>
        <w:jc w:val="both"/>
        <w:rPr>
          <w:rFonts w:ascii="Times New Roman" w:hAnsi="Times New Roman"/>
          <w:sz w:val="24"/>
          <w:szCs w:val="24"/>
        </w:rPr>
      </w:pPr>
      <w:r w:rsidRPr="00FC24E1">
        <w:rPr>
          <w:rFonts w:ascii="Times New Roman" w:hAnsi="Times New Roman"/>
          <w:sz w:val="24"/>
          <w:szCs w:val="24"/>
        </w:rPr>
        <w:t>Allah memimpin umat (13)</w:t>
      </w:r>
    </w:p>
    <w:p w14:paraId="61A973BB" w14:textId="77777777" w:rsidR="0010267E" w:rsidRDefault="0010267E" w:rsidP="0010267E">
      <w:pPr>
        <w:pStyle w:val="ListParagraph"/>
        <w:numPr>
          <w:ilvl w:val="0"/>
          <w:numId w:val="2"/>
        </w:numPr>
        <w:spacing w:after="0" w:line="240" w:lineRule="auto"/>
        <w:jc w:val="both"/>
        <w:rPr>
          <w:rFonts w:ascii="Times New Roman" w:hAnsi="Times New Roman"/>
          <w:sz w:val="24"/>
          <w:szCs w:val="24"/>
        </w:rPr>
      </w:pPr>
      <w:r w:rsidRPr="00FC24E1">
        <w:rPr>
          <w:rFonts w:ascii="Times New Roman" w:hAnsi="Times New Roman"/>
          <w:sz w:val="24"/>
          <w:szCs w:val="24"/>
        </w:rPr>
        <w:t xml:space="preserve"> Bangsa-bangsa</w:t>
      </w:r>
      <w:r>
        <w:rPr>
          <w:rFonts w:ascii="Times New Roman" w:hAnsi="Times New Roman"/>
          <w:sz w:val="24"/>
          <w:szCs w:val="24"/>
        </w:rPr>
        <w:t xml:space="preserve"> gentar (14-</w:t>
      </w:r>
      <w:r w:rsidRPr="00FC24E1">
        <w:rPr>
          <w:rFonts w:ascii="Times New Roman" w:hAnsi="Times New Roman"/>
          <w:sz w:val="24"/>
          <w:szCs w:val="24"/>
        </w:rPr>
        <w:t>16)</w:t>
      </w:r>
    </w:p>
    <w:p w14:paraId="3CC9B828" w14:textId="77777777" w:rsidR="0010267E" w:rsidRPr="00FC24E1" w:rsidRDefault="0010267E" w:rsidP="0010267E">
      <w:pPr>
        <w:pStyle w:val="ListParagraph"/>
        <w:numPr>
          <w:ilvl w:val="0"/>
          <w:numId w:val="2"/>
        </w:numPr>
        <w:spacing w:after="0" w:line="240" w:lineRule="auto"/>
        <w:jc w:val="both"/>
        <w:rPr>
          <w:rFonts w:ascii="Times New Roman" w:hAnsi="Times New Roman"/>
          <w:sz w:val="24"/>
          <w:szCs w:val="24"/>
        </w:rPr>
      </w:pPr>
      <w:r>
        <w:rPr>
          <w:rFonts w:ascii="Times New Roman" w:hAnsi="Times New Roman"/>
          <w:sz w:val="24"/>
          <w:szCs w:val="24"/>
        </w:rPr>
        <w:t>Pemerintahan kekal Allah (17-</w:t>
      </w:r>
      <w:r w:rsidRPr="00FC24E1">
        <w:rPr>
          <w:rFonts w:ascii="Times New Roman" w:hAnsi="Times New Roman"/>
          <w:sz w:val="24"/>
          <w:szCs w:val="24"/>
        </w:rPr>
        <w:t>18)</w:t>
      </w:r>
    </w:p>
    <w:p w14:paraId="21AAAD9A" w14:textId="77777777" w:rsidR="0010267E" w:rsidRPr="00FC24E1" w:rsidRDefault="0010267E" w:rsidP="0010267E">
      <w:pPr>
        <w:pStyle w:val="ListParagraph"/>
        <w:numPr>
          <w:ilvl w:val="0"/>
          <w:numId w:val="4"/>
        </w:numPr>
        <w:spacing w:after="0" w:line="240" w:lineRule="auto"/>
        <w:jc w:val="both"/>
        <w:rPr>
          <w:rFonts w:ascii="Times New Roman" w:hAnsi="Times New Roman"/>
          <w:sz w:val="24"/>
          <w:szCs w:val="24"/>
        </w:rPr>
      </w:pPr>
      <w:r>
        <w:rPr>
          <w:rFonts w:ascii="Times New Roman" w:hAnsi="Times New Roman"/>
          <w:sz w:val="24"/>
          <w:szCs w:val="24"/>
        </w:rPr>
        <w:t>Penutup Liturgis (15:19-</w:t>
      </w:r>
      <w:r w:rsidRPr="00FC24E1">
        <w:rPr>
          <w:rFonts w:ascii="Times New Roman" w:hAnsi="Times New Roman"/>
          <w:sz w:val="24"/>
          <w:szCs w:val="24"/>
        </w:rPr>
        <w:t>21)</w:t>
      </w:r>
    </w:p>
    <w:p w14:paraId="2BD2A2F8" w14:textId="77777777" w:rsidR="0010267E" w:rsidRDefault="0010267E" w:rsidP="0010267E">
      <w:pPr>
        <w:pStyle w:val="ListParagraph"/>
        <w:numPr>
          <w:ilvl w:val="0"/>
          <w:numId w:val="3"/>
        </w:numPr>
        <w:spacing w:after="0" w:line="240" w:lineRule="auto"/>
        <w:jc w:val="both"/>
        <w:rPr>
          <w:rFonts w:ascii="Times New Roman" w:hAnsi="Times New Roman"/>
          <w:sz w:val="24"/>
          <w:szCs w:val="24"/>
        </w:rPr>
      </w:pPr>
      <w:r>
        <w:rPr>
          <w:rFonts w:ascii="Times New Roman" w:hAnsi="Times New Roman"/>
          <w:sz w:val="24"/>
          <w:szCs w:val="24"/>
        </w:rPr>
        <w:t>Ringkasan keselamatan (19)</w:t>
      </w:r>
    </w:p>
    <w:p w14:paraId="4AC2DC82" w14:textId="77777777" w:rsidR="0010267E" w:rsidRDefault="0010267E" w:rsidP="0010267E">
      <w:pPr>
        <w:pStyle w:val="ListParagraph"/>
        <w:numPr>
          <w:ilvl w:val="0"/>
          <w:numId w:val="3"/>
        </w:numPr>
        <w:spacing w:after="0" w:line="240" w:lineRule="auto"/>
        <w:jc w:val="both"/>
        <w:rPr>
          <w:rFonts w:ascii="Times New Roman" w:hAnsi="Times New Roman"/>
          <w:sz w:val="24"/>
          <w:szCs w:val="24"/>
        </w:rPr>
      </w:pPr>
      <w:r>
        <w:rPr>
          <w:rFonts w:ascii="Times New Roman" w:hAnsi="Times New Roman"/>
          <w:sz w:val="24"/>
          <w:szCs w:val="24"/>
        </w:rPr>
        <w:t>Tarian Miryam (20)</w:t>
      </w:r>
    </w:p>
    <w:p w14:paraId="30924DF4" w14:textId="77777777" w:rsidR="0010267E" w:rsidRPr="00EC4639" w:rsidRDefault="0010267E" w:rsidP="0010267E">
      <w:pPr>
        <w:pStyle w:val="ListParagraph"/>
        <w:numPr>
          <w:ilvl w:val="0"/>
          <w:numId w:val="3"/>
        </w:numPr>
        <w:spacing w:after="0" w:line="240" w:lineRule="auto"/>
        <w:jc w:val="both"/>
        <w:rPr>
          <w:rFonts w:ascii="Times New Roman" w:hAnsi="Times New Roman"/>
          <w:sz w:val="24"/>
          <w:szCs w:val="24"/>
        </w:rPr>
      </w:pPr>
      <w:r w:rsidRPr="00B50B7B">
        <w:rPr>
          <w:rFonts w:ascii="Times New Roman" w:hAnsi="Times New Roman"/>
          <w:color w:val="EE0000"/>
          <w:sz w:val="24"/>
          <w:szCs w:val="24"/>
        </w:rPr>
        <w:t xml:space="preserve">Nyayian umat </w:t>
      </w:r>
      <w:r w:rsidRPr="00FC24E1">
        <w:rPr>
          <w:rFonts w:ascii="Times New Roman" w:hAnsi="Times New Roman"/>
          <w:sz w:val="24"/>
          <w:szCs w:val="24"/>
        </w:rPr>
        <w:t>(21)</w:t>
      </w:r>
    </w:p>
    <w:p w14:paraId="77C5649A" w14:textId="77777777" w:rsidR="0010267E" w:rsidRDefault="0010267E" w:rsidP="0010267E">
      <w:pPr>
        <w:jc w:val="both"/>
        <w:rPr>
          <w:b/>
        </w:rPr>
      </w:pPr>
    </w:p>
    <w:p w14:paraId="6AB1556A" w14:textId="77777777" w:rsidR="0010267E" w:rsidRDefault="0010267E" w:rsidP="0010267E">
      <w:pPr>
        <w:jc w:val="center"/>
        <w:rPr>
          <w:b/>
        </w:rPr>
      </w:pPr>
    </w:p>
    <w:p w14:paraId="3026ABE2" w14:textId="77777777" w:rsidR="0010267E" w:rsidRDefault="0010267E" w:rsidP="0010267E">
      <w:pPr>
        <w:jc w:val="center"/>
        <w:rPr>
          <w:b/>
        </w:rPr>
      </w:pPr>
      <w:commentRangeStart w:id="3"/>
      <w:r w:rsidRPr="00FC24E1">
        <w:rPr>
          <w:b/>
        </w:rPr>
        <w:t>Pembukaan Liturgis (15:1-3)</w:t>
      </w:r>
      <w:commentRangeEnd w:id="3"/>
      <w:r w:rsidR="00B50B7B">
        <w:rPr>
          <w:rStyle w:val="CommentReference"/>
          <w:b/>
          <w:sz w:val="24"/>
          <w:szCs w:val="24"/>
        </w:rPr>
        <w:commentReference w:id="3"/>
      </w:r>
    </w:p>
    <w:p w14:paraId="569CD7EA" w14:textId="77777777" w:rsidR="0010267E" w:rsidRPr="00FC24E1" w:rsidRDefault="0010267E" w:rsidP="0010267E">
      <w:pPr>
        <w:jc w:val="both"/>
        <w:rPr>
          <w:b/>
        </w:rPr>
      </w:pPr>
    </w:p>
    <w:p w14:paraId="5A140B8A" w14:textId="77777777" w:rsidR="0010267E" w:rsidRDefault="0010267E" w:rsidP="0010267E">
      <w:pPr>
        <w:ind w:firstLine="720"/>
        <w:jc w:val="both"/>
      </w:pPr>
      <w:r>
        <w:t>Keluaran 15:1-</w:t>
      </w:r>
      <w:r w:rsidRPr="00FC24E1">
        <w:t xml:space="preserve">3 membuka Kidung Musa dengan suatu deklarasi liturgis yang memusatkan perhatian pada </w:t>
      </w:r>
      <w:r>
        <w:t>Allah</w:t>
      </w:r>
      <w:r w:rsidRPr="00FC24E1">
        <w:t xml:space="preserve"> sebagai </w:t>
      </w:r>
      <w:r w:rsidRPr="00FC24E1">
        <w:rPr>
          <w:rStyle w:val="Emphasis"/>
        </w:rPr>
        <w:t>’îš milḥāmâ</w:t>
      </w:r>
      <w:r>
        <w:t xml:space="preserve"> yaitu </w:t>
      </w:r>
      <w:r w:rsidRPr="00FC24E1">
        <w:t xml:space="preserve">“Pahlawan Perang”. Penempatan gelar ini pada bagian awal tidak hanya berfungsi sebagai pengantar nyanyian, tetapi membangun fondasi teologis bagi seluruh struktur pujian. Dalam tradisi Ibrani, pujian tidak berdiri sendiri sebagai ekspresi emosional, tetapi merupakan tanggapan atas tindakan penyelamatan Allah yang telah terjadi. Karena itu, bagian pembuka </w:t>
      </w:r>
      <w:r>
        <w:t xml:space="preserve">ini </w:t>
      </w:r>
      <w:r w:rsidRPr="00FC24E1">
        <w:t>melihat bahwa keselamatan</w:t>
      </w:r>
      <w:r>
        <w:t xml:space="preserve"> Israel</w:t>
      </w:r>
      <w:r w:rsidRPr="00FC24E1">
        <w:t xml:space="preserve"> adalah hasil intervensi </w:t>
      </w:r>
      <w:r>
        <w:t xml:space="preserve">langsung Allah, bukan kemampuan strategi </w:t>
      </w:r>
      <w:r w:rsidRPr="00FC24E1">
        <w:t>mereka.</w:t>
      </w:r>
      <w:r>
        <w:t xml:space="preserve"> </w:t>
      </w:r>
    </w:p>
    <w:p w14:paraId="4E0B9DAD" w14:textId="34414064" w:rsidR="0010267E" w:rsidRPr="008312D3" w:rsidRDefault="0010267E" w:rsidP="0010267E">
      <w:pPr>
        <w:ind w:firstLine="720"/>
        <w:jc w:val="both"/>
      </w:pPr>
      <w:r w:rsidRPr="00FC24E1">
        <w:t xml:space="preserve">Penggunaan frasa </w:t>
      </w:r>
      <w:r w:rsidRPr="00FC24E1">
        <w:rPr>
          <w:rStyle w:val="Emphasis"/>
        </w:rPr>
        <w:t>’îš milḥāmâ</w:t>
      </w:r>
      <w:r w:rsidRPr="00FC24E1">
        <w:t xml:space="preserve"> menegaskan bahwa </w:t>
      </w:r>
      <w:r>
        <w:t>Allah</w:t>
      </w:r>
      <w:r w:rsidRPr="00FC24E1">
        <w:t xml:space="preserve"> bertindak sebagai Subjek aktif dalam sejarah. Allah sebagai Pahlawan Perang merupakan bentuk “teologi intervensi”, yaitu pengakuan bahwa keselamatan Israel bukan hasil strategi manusia, tetapi lahir dari tindakan langsung Tuhan di dalam sejarah nyata</w:t>
      </w:r>
      <w:r>
        <w:t>.</w:t>
      </w:r>
      <w:r w:rsidRPr="000C6E79">
        <w:rPr>
          <w:rStyle w:val="FootnoteReference"/>
        </w:rPr>
        <w:footnoteReference w:id="9"/>
      </w:r>
      <w:r w:rsidRPr="00FC24E1">
        <w:t xml:space="preserve"> </w:t>
      </w:r>
      <w:r>
        <w:t xml:space="preserve">Hal </w:t>
      </w:r>
      <w:r w:rsidR="00D2239B">
        <w:t xml:space="preserve"> ini dikuatka</w:t>
      </w:r>
      <w:r w:rsidRPr="00FC24E1">
        <w:t xml:space="preserve"> oleh konteks naratif Keluaran 14:</w:t>
      </w:r>
      <w:r>
        <w:t>14, yang secara eksplisit menega</w:t>
      </w:r>
      <w:r w:rsidRPr="00FC24E1">
        <w:t>skan bahwa “Tuhan akan berperang untuk kam</w:t>
      </w:r>
      <w:r>
        <w:t>u”, sehingga pujian pada ayat 1-</w:t>
      </w:r>
      <w:r w:rsidRPr="00FC24E1">
        <w:t xml:space="preserve">3 berdiri di atas fondasi historis yang konkret. </w:t>
      </w:r>
    </w:p>
    <w:p w14:paraId="2EACC8F2" w14:textId="1FF6962C" w:rsidR="0010267E" w:rsidRPr="002A397E" w:rsidRDefault="0010267E" w:rsidP="0010267E">
      <w:pPr>
        <w:pStyle w:val="NormalWeb"/>
        <w:spacing w:before="0" w:beforeAutospacing="0" w:after="0" w:afterAutospacing="0"/>
        <w:jc w:val="both"/>
        <w:rPr>
          <w:iCs/>
        </w:rPr>
      </w:pPr>
      <w:r>
        <w:t xml:space="preserve">Struktur liturgis ayat 1-3 memperlihatkan gerakan teologis yang signifikan. </w:t>
      </w:r>
    </w:p>
    <w:p w14:paraId="35A5B040" w14:textId="03A0EA46" w:rsidR="0010267E" w:rsidRDefault="0010267E" w:rsidP="0010267E">
      <w:pPr>
        <w:pStyle w:val="NormalWeb"/>
        <w:spacing w:before="0" w:beforeAutospacing="0" w:after="0" w:afterAutospacing="0"/>
        <w:ind w:firstLine="720"/>
        <w:jc w:val="both"/>
      </w:pPr>
      <w:r>
        <w:t>Ayat 2 menambahkan dimensi personal sekaligus relasional  “</w:t>
      </w:r>
      <w:r w:rsidRPr="00DD3EBE">
        <w:rPr>
          <w:i/>
        </w:rPr>
        <w:t>TUHAN itu kekuatanku dan mazmurku”… Ia telah menjadi keselamatanku.”</w:t>
      </w:r>
      <w:r>
        <w:t xml:space="preserve"> di sini tidak hanya berarti penyelamatan fisik tetapi manifestasi kehadiran Allah yang membebaskan. Allah menyelamatkan karena Ia dekat, peduli, dan terlibat dalam penderitaan umat-Nya.</w:t>
      </w:r>
      <w:r w:rsidR="003A2E9E">
        <w:rPr>
          <w:rStyle w:val="FootnoteReference"/>
        </w:rPr>
        <w:footnoteReference w:id="10"/>
      </w:r>
      <w:r>
        <w:t xml:space="preserve"> Dengan demikian, pujian di ayat ini bukan sebagai respons emosional, melainkan pengenalan mendalam terhadap karakter Tuhan. Dan sampai kepada pengakuan di ayat 3 “</w:t>
      </w:r>
      <w:r w:rsidRPr="00DD3EBE">
        <w:rPr>
          <w:i/>
        </w:rPr>
        <w:t>Tuhan itulah nama-Nya</w:t>
      </w:r>
      <w:r>
        <w:t>” ini menegaskan otoritas Allah sebagai satu-satunya sumber keselamatan. Ini adalah pernyataan iman bahwa hanya Allah, bukan Firaun, bukan dewa-dewa Mesir, yang berdaulat atas sejarah.</w:t>
      </w:r>
    </w:p>
    <w:p w14:paraId="306753E7" w14:textId="77777777" w:rsidR="0010267E" w:rsidRDefault="0010267E" w:rsidP="0010267E">
      <w:pPr>
        <w:jc w:val="both"/>
        <w:rPr>
          <w:sz w:val="32"/>
        </w:rPr>
      </w:pPr>
    </w:p>
    <w:p w14:paraId="070A97CB" w14:textId="77777777" w:rsidR="0010267E" w:rsidRDefault="0010267E" w:rsidP="0010267E">
      <w:pPr>
        <w:jc w:val="center"/>
        <w:rPr>
          <w:b/>
        </w:rPr>
      </w:pPr>
      <w:r w:rsidRPr="008312D3">
        <w:rPr>
          <w:b/>
        </w:rPr>
        <w:t>Tindakan Pembebasan Allah</w:t>
      </w:r>
      <w:r>
        <w:rPr>
          <w:b/>
        </w:rPr>
        <w:t xml:space="preserve"> </w:t>
      </w:r>
      <w:r w:rsidRPr="008312D3">
        <w:rPr>
          <w:b/>
        </w:rPr>
        <w:t>(15:4-12)</w:t>
      </w:r>
    </w:p>
    <w:p w14:paraId="3C6DF62D" w14:textId="77777777" w:rsidR="0010267E" w:rsidRDefault="0010267E" w:rsidP="0010267E">
      <w:pPr>
        <w:jc w:val="center"/>
        <w:rPr>
          <w:b/>
        </w:rPr>
      </w:pPr>
    </w:p>
    <w:p w14:paraId="6189F55C" w14:textId="77777777" w:rsidR="0010267E" w:rsidRDefault="0010267E" w:rsidP="0010267E">
      <w:pPr>
        <w:ind w:firstLine="360"/>
        <w:jc w:val="both"/>
        <w:rPr>
          <w:rFonts w:eastAsia="Times New Roman"/>
        </w:rPr>
      </w:pPr>
      <w:r w:rsidRPr="008312D3">
        <w:rPr>
          <w:rFonts w:eastAsia="Times New Roman"/>
        </w:rPr>
        <w:t>Bagian ke</w:t>
      </w:r>
      <w:r>
        <w:rPr>
          <w:rFonts w:eastAsia="Times New Roman"/>
        </w:rPr>
        <w:t>dua dari Kidung Musa (Kel. 15:4-</w:t>
      </w:r>
      <w:r w:rsidRPr="008312D3">
        <w:rPr>
          <w:rFonts w:eastAsia="Times New Roman"/>
        </w:rPr>
        <w:t xml:space="preserve">12) menampilkan narasi teologis yang menekankan tindakan penyelamatan Allah melalui penghancuran musuh dan </w:t>
      </w:r>
      <w:r>
        <w:rPr>
          <w:rFonts w:eastAsia="Times New Roman"/>
        </w:rPr>
        <w:t>pernyataan bahwa Dialah</w:t>
      </w:r>
      <w:r w:rsidRPr="008312D3">
        <w:rPr>
          <w:rFonts w:eastAsia="Times New Roman"/>
        </w:rPr>
        <w:t xml:space="preserve"> satu-satunya Allah. Teks ini tidak hanya menggambarkan intervensi historis Allah, tetapi juga membangun fondasi teologis bagi pemahaman Israel tentang relasi antara penyembahan, pembebasan, dan identitas Allah.</w:t>
      </w:r>
    </w:p>
    <w:p w14:paraId="0496C289" w14:textId="77777777" w:rsidR="0010267E" w:rsidRPr="008312D3" w:rsidRDefault="0010267E" w:rsidP="0010267E">
      <w:pPr>
        <w:ind w:firstLine="360"/>
        <w:jc w:val="both"/>
        <w:rPr>
          <w:b/>
        </w:rPr>
      </w:pPr>
    </w:p>
    <w:p w14:paraId="26B1BBC4" w14:textId="77777777" w:rsidR="0010267E" w:rsidRDefault="0010267E" w:rsidP="0010267E">
      <w:pPr>
        <w:jc w:val="center"/>
        <w:outlineLvl w:val="3"/>
        <w:rPr>
          <w:rFonts w:eastAsia="Times New Roman"/>
          <w:bCs/>
          <w:iCs/>
        </w:rPr>
      </w:pPr>
      <w:r w:rsidRPr="002A397E">
        <w:rPr>
          <w:rFonts w:eastAsia="Times New Roman"/>
          <w:bCs/>
          <w:iCs/>
        </w:rPr>
        <w:t>Allah Mengalahkan Musuh (15:4-10)</w:t>
      </w:r>
    </w:p>
    <w:p w14:paraId="0B7D1850" w14:textId="77777777" w:rsidR="0010267E" w:rsidRPr="002A397E" w:rsidRDefault="0010267E" w:rsidP="0010267E">
      <w:pPr>
        <w:jc w:val="center"/>
        <w:outlineLvl w:val="3"/>
        <w:rPr>
          <w:rFonts w:eastAsia="Times New Roman"/>
          <w:bCs/>
          <w:iCs/>
        </w:rPr>
      </w:pPr>
    </w:p>
    <w:p w14:paraId="591A5AD3" w14:textId="0F8B4C5B" w:rsidR="0010267E" w:rsidRPr="009C4B91" w:rsidRDefault="0010267E" w:rsidP="0010267E">
      <w:pPr>
        <w:ind w:firstLine="720"/>
        <w:jc w:val="both"/>
        <w:outlineLvl w:val="3"/>
        <w:rPr>
          <w:rFonts w:eastAsia="Times New Roman"/>
          <w:bCs/>
          <w:i/>
        </w:rPr>
      </w:pPr>
      <w:r>
        <w:rPr>
          <w:rFonts w:eastAsia="Times New Roman"/>
        </w:rPr>
        <w:t>Ayat 4-</w:t>
      </w:r>
      <w:r w:rsidRPr="009C4B91">
        <w:rPr>
          <w:rFonts w:eastAsia="Times New Roman"/>
        </w:rPr>
        <w:t xml:space="preserve">10 menggambarkan kehancuran pasukan Firaun sebagai bukti </w:t>
      </w:r>
      <w:r>
        <w:rPr>
          <w:rFonts w:eastAsia="Times New Roman"/>
        </w:rPr>
        <w:t xml:space="preserve">kuasa </w:t>
      </w:r>
      <w:r w:rsidRPr="009C4B91">
        <w:rPr>
          <w:rFonts w:eastAsia="Times New Roman"/>
        </w:rPr>
        <w:t>penyelamatan Allah. Penggambaran pasukan berkuda dan kereta yang “diten</w:t>
      </w:r>
      <w:r>
        <w:rPr>
          <w:rFonts w:eastAsia="Times New Roman"/>
        </w:rPr>
        <w:t>ggelamkan” ke dalam laut (ay. 4-</w:t>
      </w:r>
      <w:r w:rsidRPr="009C4B91">
        <w:rPr>
          <w:rFonts w:eastAsia="Times New Roman"/>
        </w:rPr>
        <w:t xml:space="preserve">5) </w:t>
      </w:r>
      <w:commentRangeStart w:id="4"/>
      <w:r w:rsidRPr="009C4B91">
        <w:rPr>
          <w:rFonts w:eastAsia="Times New Roman"/>
        </w:rPr>
        <w:t xml:space="preserve">menandai Allah sebagai </w:t>
      </w:r>
      <w:r>
        <w:rPr>
          <w:rFonts w:eastAsia="Times New Roman"/>
        </w:rPr>
        <w:t>Agen</w:t>
      </w:r>
      <w:r w:rsidRPr="009C4B91">
        <w:rPr>
          <w:rFonts w:eastAsia="Times New Roman"/>
        </w:rPr>
        <w:t xml:space="preserve"> langsung pembebasan. </w:t>
      </w:r>
      <w:commentRangeEnd w:id="4"/>
      <w:r w:rsidR="00DF1573" w:rsidRPr="009C4B91">
        <w:rPr>
          <w:rStyle w:val="CommentReference"/>
          <w:rFonts w:eastAsia="Times New Roman"/>
          <w:sz w:val="24"/>
          <w:szCs w:val="24"/>
        </w:rPr>
        <w:commentReference w:id="4"/>
      </w:r>
      <w:r w:rsidRPr="009C4B91">
        <w:rPr>
          <w:rFonts w:eastAsia="Times New Roman"/>
        </w:rPr>
        <w:t xml:space="preserve">Narasi ini menggarisbawahi bahwa keselamatan Israel </w:t>
      </w:r>
      <w:r>
        <w:rPr>
          <w:rFonts w:eastAsia="Times New Roman"/>
        </w:rPr>
        <w:t xml:space="preserve">merupakann intervensi ilahi. </w:t>
      </w:r>
      <w:r w:rsidRPr="009C4B91">
        <w:rPr>
          <w:rFonts w:eastAsia="Times New Roman"/>
        </w:rPr>
        <w:t xml:space="preserve">“kedalaman air” (תְּהֹמֹת, </w:t>
      </w:r>
      <w:r w:rsidRPr="009C4B91">
        <w:rPr>
          <w:rFonts w:eastAsia="Times New Roman"/>
          <w:i/>
          <w:iCs/>
        </w:rPr>
        <w:t>tehomot</w:t>
      </w:r>
      <w:r w:rsidRPr="009C4B91">
        <w:rPr>
          <w:rFonts w:eastAsia="Times New Roman"/>
        </w:rPr>
        <w:t xml:space="preserve">) yang menutupi musuh (ay. 5) mencerminkan simbol kekacauan kosmik, </w:t>
      </w:r>
      <w:r>
        <w:rPr>
          <w:rFonts w:eastAsia="Times New Roman"/>
        </w:rPr>
        <w:t xml:space="preserve">yang menekankan bahwa </w:t>
      </w:r>
      <w:r w:rsidRPr="009C4B91">
        <w:rPr>
          <w:rFonts w:eastAsia="Times New Roman"/>
        </w:rPr>
        <w:t xml:space="preserve"> Allah </w:t>
      </w:r>
      <w:r>
        <w:rPr>
          <w:rFonts w:eastAsia="Times New Roman"/>
        </w:rPr>
        <w:t>adalah Tuhan atas ciptaan.</w:t>
      </w:r>
      <w:r w:rsidR="00EC45E8">
        <w:rPr>
          <w:rStyle w:val="FootnoteReference"/>
          <w:rFonts w:eastAsia="Times New Roman"/>
        </w:rPr>
        <w:footnoteReference w:id="11"/>
      </w:r>
    </w:p>
    <w:p w14:paraId="631B3F78" w14:textId="168FE531" w:rsidR="0010267E" w:rsidRPr="008312D3" w:rsidRDefault="0010267E" w:rsidP="0010267E">
      <w:pPr>
        <w:ind w:firstLine="720"/>
        <w:jc w:val="both"/>
        <w:rPr>
          <w:rFonts w:eastAsia="Times New Roman"/>
        </w:rPr>
      </w:pPr>
      <w:commentRangeStart w:id="5"/>
      <w:r w:rsidRPr="008312D3">
        <w:rPr>
          <w:rFonts w:eastAsia="Times New Roman"/>
        </w:rPr>
        <w:t xml:space="preserve">Tindakan Allah yang “menghembuskan” (ay. 8) </w:t>
      </w:r>
      <w:commentRangeEnd w:id="5"/>
      <w:r w:rsidR="00DF1573" w:rsidRPr="008312D3">
        <w:rPr>
          <w:rStyle w:val="CommentReference"/>
          <w:rFonts w:eastAsia="Times New Roman"/>
          <w:sz w:val="24"/>
          <w:szCs w:val="24"/>
        </w:rPr>
        <w:commentReference w:id="5"/>
      </w:r>
      <w:r w:rsidRPr="008312D3">
        <w:rPr>
          <w:rFonts w:eastAsia="Times New Roman"/>
        </w:rPr>
        <w:t xml:space="preserve">hingga air terbelah memperlihatkan paralel dengan tindakan penciptaan, di mana roh Allah juga bekerja di atas permukaan air (Kej. 1:2). </w:t>
      </w:r>
      <w:r>
        <w:rPr>
          <w:rFonts w:eastAsia="Times New Roman"/>
        </w:rPr>
        <w:t xml:space="preserve">Ayat 9-10 memuat ironi retoris yaitu </w:t>
      </w:r>
      <w:r w:rsidRPr="008312D3">
        <w:rPr>
          <w:rFonts w:eastAsia="Times New Roman"/>
        </w:rPr>
        <w:t>kesombongan musuh yang berkata, “Aku akan mengejar, menangkap…,” dijawab oleh tindakan Allah yang cukup dengan “hembusan angin-Nya” untuk menggagalkan seluruh rencana mereka.</w:t>
      </w:r>
      <w:r w:rsidR="002F3114">
        <w:rPr>
          <w:rStyle w:val="FootnoteReference"/>
          <w:rFonts w:eastAsia="Times New Roman"/>
        </w:rPr>
        <w:footnoteReference w:id="12"/>
      </w:r>
      <w:r w:rsidRPr="008312D3">
        <w:rPr>
          <w:rFonts w:eastAsia="Times New Roman"/>
        </w:rPr>
        <w:t xml:space="preserve"> Ini menegaskan bahwa kuasa manusia tidak pernah dapat menandingi otoritas Allah.</w:t>
      </w:r>
    </w:p>
    <w:p w14:paraId="275ED13C" w14:textId="77777777" w:rsidR="0010267E" w:rsidRDefault="0010267E" w:rsidP="0010267E">
      <w:pPr>
        <w:jc w:val="both"/>
        <w:outlineLvl w:val="3"/>
        <w:rPr>
          <w:rFonts w:eastAsia="Times New Roman"/>
          <w:bCs/>
          <w:i/>
        </w:rPr>
      </w:pPr>
    </w:p>
    <w:p w14:paraId="7B8DC130" w14:textId="77777777" w:rsidR="0010267E" w:rsidRDefault="0010267E" w:rsidP="0010267E">
      <w:pPr>
        <w:jc w:val="center"/>
        <w:outlineLvl w:val="3"/>
        <w:rPr>
          <w:rFonts w:eastAsia="Times New Roman"/>
          <w:bCs/>
          <w:iCs/>
        </w:rPr>
      </w:pPr>
      <w:r w:rsidRPr="002A397E">
        <w:rPr>
          <w:rFonts w:eastAsia="Times New Roman"/>
          <w:bCs/>
          <w:iCs/>
        </w:rPr>
        <w:t>Tuhan Satu-satunya Allah (15:11–12)</w:t>
      </w:r>
    </w:p>
    <w:p w14:paraId="083938D7" w14:textId="77777777" w:rsidR="0010267E" w:rsidRDefault="0010267E" w:rsidP="0010267E">
      <w:pPr>
        <w:jc w:val="center"/>
        <w:outlineLvl w:val="3"/>
        <w:rPr>
          <w:rFonts w:eastAsia="Times New Roman"/>
          <w:bCs/>
          <w:iCs/>
        </w:rPr>
      </w:pPr>
    </w:p>
    <w:p w14:paraId="164640E3" w14:textId="65050A1D" w:rsidR="0010267E" w:rsidRDefault="0010267E" w:rsidP="0010267E">
      <w:pPr>
        <w:jc w:val="both"/>
        <w:outlineLvl w:val="3"/>
        <w:rPr>
          <w:bCs/>
          <w:iCs/>
          <w:lang w:val="en-ID"/>
        </w:rPr>
      </w:pPr>
      <w:r>
        <w:rPr>
          <w:rFonts w:eastAsia="Times New Roman"/>
          <w:bCs/>
          <w:iCs/>
        </w:rPr>
        <w:tab/>
      </w:r>
      <w:r>
        <w:rPr>
          <w:bCs/>
          <w:iCs/>
          <w:lang w:val="en-ID"/>
        </w:rPr>
        <w:t>Keluaran 15:11-</w:t>
      </w:r>
      <w:r w:rsidRPr="002A397E">
        <w:rPr>
          <w:bCs/>
          <w:iCs/>
          <w:lang w:val="en-ID"/>
        </w:rPr>
        <w:t xml:space="preserve">12 merupakan bagian dari </w:t>
      </w:r>
      <w:r w:rsidRPr="002A397E">
        <w:rPr>
          <w:bCs/>
          <w:i/>
          <w:iCs/>
          <w:lang w:val="en-ID"/>
        </w:rPr>
        <w:t>Nyanyian Musa</w:t>
      </w:r>
      <w:r w:rsidRPr="002A397E">
        <w:rPr>
          <w:bCs/>
          <w:iCs/>
          <w:lang w:val="en-ID"/>
        </w:rPr>
        <w:t xml:space="preserve">, sebuah himne keselamatan yang menegaskan keunikan dan supremasi Yahweh di atas seluruh ilah lain. Ayat 11 berbunyi </w:t>
      </w:r>
      <w:r w:rsidRPr="002A397E">
        <w:rPr>
          <w:rFonts w:ascii="Ezra SIL" w:hAnsi="Ezra SIL" w:cs="Ezra SIL"/>
          <w:bCs/>
          <w:lang w:val="en-ID"/>
        </w:rPr>
        <w:t>מִי־כָמֹכָה בָּאֵלִם יְהוָה מִי־כָּמֹכָה נֶאְדָּר בַּקֹּדֶשׁ נוֹרָא תְהִלֹּת עֹשֵׂה פֶלֶא</w:t>
      </w:r>
      <w:r>
        <w:rPr>
          <w:bCs/>
          <w:iCs/>
          <w:lang w:val="en-ID"/>
        </w:rPr>
        <w:t xml:space="preserve"> </w:t>
      </w:r>
      <w:r w:rsidRPr="002A397E">
        <w:rPr>
          <w:bCs/>
          <w:iCs/>
          <w:lang w:val="en-ID"/>
        </w:rPr>
        <w:t xml:space="preserve">“Siapakah seperti Engkau di antara para ilah, ya TUHAN? Siapakah seperti Engkau, yang mulia karena kekudusan, menakutkan karena perbuatan-perbuatan ajaib, dan melakukan mujizat?” Struktur retoris </w:t>
      </w:r>
      <w:r w:rsidRPr="002A397E">
        <w:rPr>
          <w:bCs/>
          <w:i/>
          <w:iCs/>
          <w:lang w:val="en-ID"/>
        </w:rPr>
        <w:t>mi kamokha</w:t>
      </w:r>
      <w:r w:rsidRPr="002A397E">
        <w:rPr>
          <w:bCs/>
          <w:iCs/>
          <w:lang w:val="en-ID"/>
        </w:rPr>
        <w:t xml:space="preserve"> (“siapakah seperti Engkau?”) merupakan bentuk </w:t>
      </w:r>
      <w:r w:rsidRPr="002A397E">
        <w:rPr>
          <w:bCs/>
          <w:i/>
          <w:iCs/>
          <w:lang w:val="en-ID"/>
        </w:rPr>
        <w:t>interogatif retoris</w:t>
      </w:r>
      <w:r w:rsidRPr="002A397E">
        <w:rPr>
          <w:bCs/>
          <w:iCs/>
          <w:lang w:val="en-ID"/>
        </w:rPr>
        <w:t xml:space="preserve"> yang meniadakan kemungkinan adanya ilah lain yang bisa dibandingkan dengan Yahweh. Kata </w:t>
      </w:r>
      <w:r w:rsidRPr="00230649">
        <w:rPr>
          <w:rFonts w:ascii="Ezra SIL" w:hAnsi="Ezra SIL" w:cs="Ezra SIL"/>
          <w:bCs/>
          <w:lang w:val="en-ID"/>
        </w:rPr>
        <w:t>אֵלִם</w:t>
      </w:r>
      <w:r w:rsidRPr="002A397E">
        <w:rPr>
          <w:bCs/>
          <w:iCs/>
          <w:lang w:val="en-ID"/>
        </w:rPr>
        <w:t xml:space="preserve"> (</w:t>
      </w:r>
      <w:r w:rsidRPr="002A397E">
        <w:rPr>
          <w:bCs/>
          <w:i/>
          <w:iCs/>
          <w:lang w:val="en-ID"/>
        </w:rPr>
        <w:t>’elim</w:t>
      </w:r>
      <w:r w:rsidRPr="002A397E">
        <w:rPr>
          <w:bCs/>
          <w:iCs/>
          <w:lang w:val="en-ID"/>
        </w:rPr>
        <w:t>) dapat diterjemahkan “para ilah,” tetapi dalam konteks literatur Ibrani sering berfungsi secara polemis untuk menegaskan ketidakberdayaan entitas tersebut</w:t>
      </w:r>
      <w:r>
        <w:rPr>
          <w:bCs/>
          <w:iCs/>
          <w:lang w:val="en-ID"/>
        </w:rPr>
        <w:t>.</w:t>
      </w:r>
      <w:r w:rsidR="002F3114">
        <w:rPr>
          <w:rStyle w:val="FootnoteReference"/>
          <w:bCs/>
          <w:iCs/>
          <w:lang w:val="en-ID"/>
        </w:rPr>
        <w:footnoteReference w:id="13"/>
      </w:r>
    </w:p>
    <w:p w14:paraId="20340175" w14:textId="7AE5A32E" w:rsidR="0010267E" w:rsidRPr="00230649" w:rsidRDefault="0010267E" w:rsidP="0010267E">
      <w:pPr>
        <w:ind w:firstLine="720"/>
        <w:jc w:val="both"/>
        <w:outlineLvl w:val="3"/>
        <w:rPr>
          <w:bCs/>
          <w:iCs/>
          <w:lang w:val="en-ID"/>
        </w:rPr>
      </w:pPr>
      <w:r w:rsidRPr="002A397E">
        <w:rPr>
          <w:rFonts w:eastAsia="Times New Roman"/>
          <w:bCs/>
          <w:iCs/>
          <w:lang w:val="en-ID"/>
        </w:rPr>
        <w:t xml:space="preserve">Frasa selanjutnya, </w:t>
      </w:r>
      <w:r w:rsidRPr="002A397E">
        <w:rPr>
          <w:rFonts w:ascii="Ezra SIL" w:eastAsia="Times New Roman" w:hAnsi="Ezra SIL" w:cs="Ezra SIL"/>
          <w:bCs/>
          <w:lang w:val="en-ID"/>
        </w:rPr>
        <w:t xml:space="preserve">נֶאְדָּר בַּקֹּדֶשׁ </w:t>
      </w:r>
      <w:r w:rsidRPr="002A397E">
        <w:rPr>
          <w:rFonts w:eastAsia="Times New Roman"/>
          <w:bCs/>
          <w:iCs/>
          <w:lang w:val="en-ID"/>
        </w:rPr>
        <w:t xml:space="preserve">(“yang mulia dalam kekudusan”), menekankan keunikan ontologis Yahweh. Kata dasar </w:t>
      </w:r>
      <w:r w:rsidRPr="002A397E">
        <w:rPr>
          <w:rFonts w:eastAsia="Times New Roman"/>
          <w:bCs/>
          <w:i/>
          <w:iCs/>
          <w:lang w:val="en-ID"/>
        </w:rPr>
        <w:t>’adar</w:t>
      </w:r>
      <w:r w:rsidRPr="002A397E">
        <w:rPr>
          <w:rFonts w:eastAsia="Times New Roman"/>
          <w:bCs/>
          <w:iCs/>
          <w:lang w:val="en-ID"/>
        </w:rPr>
        <w:t xml:space="preserve"> (</w:t>
      </w:r>
      <w:r w:rsidRPr="002A397E">
        <w:rPr>
          <w:rFonts w:ascii="Ezra SIL" w:eastAsia="Times New Roman" w:hAnsi="Ezra SIL" w:cs="Ezra SIL"/>
          <w:bCs/>
          <w:iCs/>
          <w:lang w:val="en-ID"/>
        </w:rPr>
        <w:t>אדר</w:t>
      </w:r>
      <w:r w:rsidRPr="002A397E">
        <w:rPr>
          <w:rFonts w:eastAsia="Times New Roman"/>
          <w:bCs/>
          <w:iCs/>
          <w:lang w:val="en-ID"/>
        </w:rPr>
        <w:t xml:space="preserve">) menunjuk pada kemegahan atau keagungan, sedangkan </w:t>
      </w:r>
      <w:r w:rsidRPr="002A397E">
        <w:rPr>
          <w:rFonts w:eastAsia="Times New Roman"/>
          <w:bCs/>
          <w:i/>
          <w:iCs/>
          <w:lang w:val="en-ID"/>
        </w:rPr>
        <w:t>qōdeš</w:t>
      </w:r>
      <w:r w:rsidRPr="002A397E">
        <w:rPr>
          <w:rFonts w:eastAsia="Times New Roman"/>
          <w:bCs/>
          <w:iCs/>
          <w:lang w:val="en-ID"/>
        </w:rPr>
        <w:t xml:space="preserve"> (</w:t>
      </w:r>
      <w:r w:rsidRPr="002A397E">
        <w:rPr>
          <w:rFonts w:ascii="Ezra SIL" w:eastAsia="Times New Roman" w:hAnsi="Ezra SIL" w:cs="Ezra SIL"/>
          <w:bCs/>
          <w:lang w:val="en-ID"/>
        </w:rPr>
        <w:t>קֹדֶשׁ</w:t>
      </w:r>
      <w:r w:rsidRPr="002A397E">
        <w:rPr>
          <w:rFonts w:eastAsia="Times New Roman"/>
          <w:bCs/>
          <w:iCs/>
          <w:lang w:val="en-ID"/>
        </w:rPr>
        <w:t xml:space="preserve">) menegaskan keterpisahan Yahweh dari ciptaan. </w:t>
      </w:r>
      <w:r w:rsidR="00463070">
        <w:rPr>
          <w:rStyle w:val="FootnoteReference"/>
          <w:rFonts w:eastAsia="Times New Roman"/>
          <w:bCs/>
          <w:iCs/>
          <w:lang w:val="en-ID"/>
        </w:rPr>
        <w:footnoteReference w:id="14"/>
      </w:r>
      <w:r w:rsidRPr="002A397E">
        <w:rPr>
          <w:rFonts w:eastAsia="Times New Roman"/>
          <w:bCs/>
          <w:iCs/>
          <w:lang w:val="en-ID"/>
        </w:rPr>
        <w:t>Dengan demikian, keilahian Yahweh bukanlah superioritas kuantitatif, melainkan kualitatif</w:t>
      </w:r>
      <w:r>
        <w:rPr>
          <w:rFonts w:eastAsia="Times New Roman"/>
          <w:bCs/>
          <w:iCs/>
          <w:lang w:val="en-ID"/>
        </w:rPr>
        <w:t xml:space="preserve"> </w:t>
      </w:r>
      <w:r w:rsidRPr="002A397E">
        <w:rPr>
          <w:rFonts w:eastAsia="Times New Roman"/>
          <w:bCs/>
          <w:iCs/>
          <w:lang w:val="en-ID"/>
        </w:rPr>
        <w:t>Ia berbeda dalam esensi, bukan sekadar lebih kuat dari para ilah bangsa lain</w:t>
      </w:r>
      <w:r>
        <w:rPr>
          <w:rFonts w:eastAsia="Times New Roman"/>
          <w:bCs/>
          <w:iCs/>
          <w:lang w:val="en-ID"/>
        </w:rPr>
        <w:t xml:space="preserve">. </w:t>
      </w:r>
      <w:r w:rsidRPr="002A397E">
        <w:rPr>
          <w:rFonts w:eastAsia="Times New Roman"/>
          <w:bCs/>
          <w:iCs/>
          <w:lang w:val="en-ID"/>
        </w:rPr>
        <w:t xml:space="preserve">Ungkapan </w:t>
      </w:r>
      <w:r w:rsidRPr="002A397E">
        <w:rPr>
          <w:rFonts w:ascii="Ezra SIL" w:eastAsia="Times New Roman" w:hAnsi="Ezra SIL" w:cs="Ezra SIL"/>
          <w:bCs/>
          <w:lang w:val="en-ID"/>
        </w:rPr>
        <w:t>נוֹרָא תְהִלֹּת</w:t>
      </w:r>
      <w:r w:rsidRPr="002A397E">
        <w:rPr>
          <w:rFonts w:eastAsia="Times New Roman"/>
          <w:bCs/>
          <w:iCs/>
          <w:lang w:val="en-ID"/>
        </w:rPr>
        <w:t xml:space="preserve"> (“yang dahsyat dalam puji-pujian”) menunjukkan bahwa tindakan Allah menimbulkan kekaguman yang bersifat liturgis. Kata </w:t>
      </w:r>
      <w:r w:rsidRPr="002A397E">
        <w:rPr>
          <w:rFonts w:eastAsia="Times New Roman"/>
          <w:bCs/>
          <w:i/>
          <w:iCs/>
          <w:lang w:val="en-ID"/>
        </w:rPr>
        <w:t>nora’</w:t>
      </w:r>
      <w:r w:rsidRPr="002A397E">
        <w:rPr>
          <w:rFonts w:eastAsia="Times New Roman"/>
          <w:bCs/>
          <w:iCs/>
          <w:lang w:val="en-ID"/>
        </w:rPr>
        <w:t xml:space="preserve"> (</w:t>
      </w:r>
      <w:r w:rsidRPr="002A397E">
        <w:rPr>
          <w:rFonts w:ascii="Ezra SIL" w:eastAsia="Times New Roman" w:hAnsi="Ezra SIL" w:cs="Ezra SIL"/>
          <w:bCs/>
          <w:lang w:val="en-ID"/>
        </w:rPr>
        <w:t>נוֹרָא</w:t>
      </w:r>
      <w:r w:rsidRPr="002A397E">
        <w:rPr>
          <w:rFonts w:eastAsia="Times New Roman"/>
          <w:bCs/>
          <w:iCs/>
          <w:lang w:val="en-ID"/>
        </w:rPr>
        <w:t xml:space="preserve">) berasal dari akar </w:t>
      </w:r>
      <w:r w:rsidRPr="002A397E">
        <w:rPr>
          <w:rFonts w:eastAsia="Times New Roman"/>
          <w:bCs/>
          <w:i/>
          <w:iCs/>
          <w:lang w:val="en-ID"/>
        </w:rPr>
        <w:t>yr’</w:t>
      </w:r>
      <w:r w:rsidRPr="002A397E">
        <w:rPr>
          <w:rFonts w:eastAsia="Times New Roman"/>
          <w:bCs/>
          <w:iCs/>
          <w:lang w:val="en-ID"/>
        </w:rPr>
        <w:t xml:space="preserve"> (</w:t>
      </w:r>
      <w:r w:rsidRPr="002A397E">
        <w:rPr>
          <w:rFonts w:ascii="Ezra SIL" w:eastAsia="Times New Roman" w:hAnsi="Ezra SIL" w:cs="Ezra SIL"/>
          <w:bCs/>
          <w:iCs/>
          <w:lang w:val="en-ID"/>
        </w:rPr>
        <w:t>ירא</w:t>
      </w:r>
      <w:r w:rsidRPr="002A397E">
        <w:rPr>
          <w:rFonts w:eastAsia="Times New Roman"/>
          <w:bCs/>
          <w:iCs/>
          <w:lang w:val="en-ID"/>
        </w:rPr>
        <w:t xml:space="preserve">), “takut,” dan dalam konteks ini menyatakan respons manusia terhadap karya keselamatan Allah. Konsep ini sejalan dengan pemahaman teologi biblika bahwa kekudusan Allah selalu memunculkan ketakjuban dan penyembahan (Walton 2021). Penutup ayat 11, </w:t>
      </w:r>
      <w:r w:rsidRPr="002A397E">
        <w:rPr>
          <w:rFonts w:ascii="Ezra SIL" w:eastAsia="Times New Roman" w:hAnsi="Ezra SIL" w:cs="Ezra SIL"/>
          <w:bCs/>
          <w:lang w:val="en-ID"/>
        </w:rPr>
        <w:t>עֹשֵׂה פֶלֶא</w:t>
      </w:r>
      <w:r w:rsidRPr="002A397E">
        <w:rPr>
          <w:rFonts w:eastAsia="Times New Roman"/>
          <w:bCs/>
          <w:iCs/>
          <w:lang w:val="en-ID"/>
        </w:rPr>
        <w:t xml:space="preserve"> (“yang melakukan keajaiban”), menggunakan kata </w:t>
      </w:r>
      <w:r w:rsidRPr="002A397E">
        <w:rPr>
          <w:rFonts w:eastAsia="Times New Roman"/>
          <w:bCs/>
          <w:i/>
          <w:iCs/>
          <w:lang w:val="en-ID"/>
        </w:rPr>
        <w:t>pele’</w:t>
      </w:r>
      <w:r w:rsidRPr="002A397E">
        <w:rPr>
          <w:rFonts w:eastAsia="Times New Roman"/>
          <w:bCs/>
          <w:iCs/>
          <w:lang w:val="en-ID"/>
        </w:rPr>
        <w:t xml:space="preserve"> (</w:t>
      </w:r>
      <w:r w:rsidRPr="002A397E">
        <w:rPr>
          <w:rFonts w:ascii="Ezra SIL" w:eastAsia="Times New Roman" w:hAnsi="Ezra SIL" w:cs="Ezra SIL"/>
          <w:bCs/>
          <w:iCs/>
          <w:lang w:val="en-ID"/>
        </w:rPr>
        <w:t>פֶלֶא</w:t>
      </w:r>
      <w:r w:rsidRPr="002A397E">
        <w:rPr>
          <w:rFonts w:eastAsia="Times New Roman"/>
          <w:bCs/>
          <w:iCs/>
          <w:lang w:val="en-ID"/>
        </w:rPr>
        <w:t>) yang sering dipakai untuk tindakan penyelamatan yang hanya bisa dijelaskan melalui intervensi ilahi, seperti pembelahan Laut Teberau.</w:t>
      </w:r>
    </w:p>
    <w:p w14:paraId="0628B9CD" w14:textId="6CF38CE0" w:rsidR="0010267E" w:rsidRDefault="0010267E" w:rsidP="0010267E">
      <w:pPr>
        <w:ind w:firstLine="1080"/>
        <w:jc w:val="both"/>
        <w:outlineLvl w:val="3"/>
        <w:rPr>
          <w:rFonts w:eastAsia="Times New Roman"/>
          <w:bCs/>
          <w:iCs/>
          <w:lang w:val="en-ID"/>
        </w:rPr>
      </w:pPr>
      <w:r w:rsidRPr="002A397E">
        <w:rPr>
          <w:rFonts w:eastAsia="Times New Roman"/>
          <w:bCs/>
          <w:iCs/>
          <w:lang w:val="en-ID"/>
        </w:rPr>
        <w:t xml:space="preserve">Ayat 12 melanjutkan gambaran tegas mengenai kuasa Allah: </w:t>
      </w:r>
      <w:r w:rsidRPr="002A397E">
        <w:rPr>
          <w:rFonts w:ascii="Ezra SIL" w:eastAsia="Times New Roman" w:hAnsi="Ezra SIL" w:cs="Ezra SIL"/>
          <w:bCs/>
          <w:lang w:val="en-ID"/>
        </w:rPr>
        <w:t>נָטִיתָ יְמִינְךָ תִּבְלָעֵמוֹ</w:t>
      </w:r>
      <w:r w:rsidRPr="002A397E">
        <w:rPr>
          <w:rFonts w:eastAsia="Times New Roman"/>
          <w:bCs/>
          <w:i/>
          <w:iCs/>
          <w:lang w:val="en-ID"/>
        </w:rPr>
        <w:t xml:space="preserve"> </w:t>
      </w:r>
      <w:r w:rsidRPr="002A397E">
        <w:rPr>
          <w:rFonts w:ascii="Ezra SIL" w:eastAsia="Times New Roman" w:hAnsi="Ezra SIL" w:cs="Ezra SIL"/>
          <w:bCs/>
          <w:lang w:val="en-ID"/>
        </w:rPr>
        <w:t>אָרֶץ</w:t>
      </w:r>
      <w:r>
        <w:rPr>
          <w:rFonts w:eastAsia="Times New Roman"/>
          <w:bCs/>
          <w:iCs/>
          <w:lang w:val="en-ID"/>
        </w:rPr>
        <w:t xml:space="preserve"> </w:t>
      </w:r>
      <w:r w:rsidRPr="002A397E">
        <w:rPr>
          <w:rFonts w:eastAsia="Times New Roman"/>
          <w:bCs/>
          <w:iCs/>
          <w:lang w:val="en-ID"/>
        </w:rPr>
        <w:t xml:space="preserve">“Engkau mengulurkan tangan kanan-Mu; bumi menelan mereka.” Kata kerja </w:t>
      </w:r>
      <w:r w:rsidRPr="002A397E">
        <w:rPr>
          <w:rFonts w:ascii="Ezra SIL" w:eastAsia="Times New Roman" w:hAnsi="Ezra SIL" w:cs="Ezra SIL"/>
          <w:bCs/>
          <w:lang w:val="en-ID"/>
        </w:rPr>
        <w:t>נָטָה</w:t>
      </w:r>
      <w:r w:rsidRPr="002A397E">
        <w:rPr>
          <w:rFonts w:eastAsia="Times New Roman"/>
          <w:bCs/>
          <w:iCs/>
          <w:lang w:val="en-ID"/>
        </w:rPr>
        <w:t xml:space="preserve"> (</w:t>
      </w:r>
      <w:r w:rsidRPr="002A397E">
        <w:rPr>
          <w:rFonts w:eastAsia="Times New Roman"/>
          <w:bCs/>
          <w:i/>
          <w:iCs/>
          <w:lang w:val="en-ID"/>
        </w:rPr>
        <w:t>natah</w:t>
      </w:r>
      <w:r w:rsidRPr="002A397E">
        <w:rPr>
          <w:rFonts w:eastAsia="Times New Roman"/>
          <w:bCs/>
          <w:iCs/>
          <w:lang w:val="en-ID"/>
        </w:rPr>
        <w:t>, "mengulurkan") dalam bentuk perfektum menunjukkan tindakan past-tense, namun dalam puisi Ibrani sering digunakan secara dramatis untuk menggambarkan intervensi langsung Allah. “Tangan kanan” (</w:t>
      </w:r>
      <w:r w:rsidRPr="002A397E">
        <w:rPr>
          <w:rFonts w:eastAsia="Times New Roman"/>
          <w:bCs/>
          <w:i/>
          <w:iCs/>
          <w:lang w:val="en-ID"/>
        </w:rPr>
        <w:t>yemînekha</w:t>
      </w:r>
      <w:r w:rsidRPr="002A397E">
        <w:rPr>
          <w:rFonts w:eastAsia="Times New Roman"/>
          <w:bCs/>
          <w:iCs/>
          <w:lang w:val="en-ID"/>
        </w:rPr>
        <w:t>) merupakan metafora kekuatan perjanjian dan kemenangan ilahi</w:t>
      </w:r>
      <w:r>
        <w:rPr>
          <w:rFonts w:eastAsia="Times New Roman"/>
          <w:bCs/>
          <w:iCs/>
          <w:lang w:val="en-ID"/>
        </w:rPr>
        <w:t xml:space="preserve">. </w:t>
      </w:r>
      <w:r w:rsidRPr="002A397E">
        <w:rPr>
          <w:rFonts w:eastAsia="Times New Roman"/>
          <w:bCs/>
          <w:iCs/>
          <w:lang w:val="en-ID"/>
        </w:rPr>
        <w:t xml:space="preserve">Sementara itu, </w:t>
      </w:r>
      <w:r w:rsidRPr="002A397E">
        <w:rPr>
          <w:rFonts w:ascii="Ezra SIL" w:eastAsia="Times New Roman" w:hAnsi="Ezra SIL" w:cs="Ezra SIL"/>
          <w:bCs/>
          <w:lang w:val="en-ID"/>
        </w:rPr>
        <w:t>תִּבְלָעֵמוֹ אָרֶץ</w:t>
      </w:r>
      <w:r w:rsidRPr="002A397E">
        <w:rPr>
          <w:rFonts w:eastAsia="Times New Roman"/>
          <w:bCs/>
          <w:iCs/>
          <w:lang w:val="en-ID"/>
        </w:rPr>
        <w:t xml:space="preserve"> (“bumi menelan mereka”) menegaskan bahwa kekacauan kosmik tunduk kepada kehendak Yahweh.</w:t>
      </w:r>
      <w:r w:rsidR="0041226C">
        <w:rPr>
          <w:rStyle w:val="FootnoteReference"/>
          <w:rFonts w:eastAsia="Times New Roman"/>
          <w:bCs/>
          <w:iCs/>
          <w:lang w:val="en-ID"/>
        </w:rPr>
        <w:footnoteReference w:id="15"/>
      </w:r>
      <w:r w:rsidRPr="002A397E">
        <w:rPr>
          <w:rFonts w:eastAsia="Times New Roman"/>
          <w:bCs/>
          <w:iCs/>
          <w:lang w:val="en-ID"/>
        </w:rPr>
        <w:t xml:space="preserve"> Dalam tradisi Timur Dekat kuno, “ditelan bumi” sering dikait</w:t>
      </w:r>
      <w:r>
        <w:rPr>
          <w:rFonts w:eastAsia="Times New Roman"/>
          <w:bCs/>
          <w:iCs/>
          <w:lang w:val="en-ID"/>
        </w:rPr>
        <w:t>kan dengan kekuatan dunia bawah,</w:t>
      </w:r>
      <w:r w:rsidRPr="002A397E">
        <w:rPr>
          <w:rFonts w:eastAsia="Times New Roman"/>
          <w:bCs/>
          <w:iCs/>
          <w:lang w:val="en-ID"/>
        </w:rPr>
        <w:t xml:space="preserve"> namun dalam teks ini, semuanya berada di bawah kontrol Yahweh, menegaskan Ia satu-satunya Allah yang memerintah alam semesta </w:t>
      </w:r>
    </w:p>
    <w:p w14:paraId="636CAE35" w14:textId="77777777" w:rsidR="0010267E" w:rsidRDefault="0010267E" w:rsidP="0010267E">
      <w:pPr>
        <w:ind w:firstLine="1080"/>
        <w:jc w:val="both"/>
        <w:outlineLvl w:val="3"/>
        <w:rPr>
          <w:rFonts w:eastAsia="Times New Roman"/>
          <w:bCs/>
          <w:iCs/>
          <w:lang w:val="en-ID"/>
        </w:rPr>
      </w:pPr>
      <w:r>
        <w:rPr>
          <w:rFonts w:eastAsia="Times New Roman"/>
          <w:bCs/>
          <w:iCs/>
          <w:lang w:val="en-ID"/>
        </w:rPr>
        <w:t>Secara teologis, Keluaran 15:11-</w:t>
      </w:r>
      <w:r w:rsidRPr="002A397E">
        <w:rPr>
          <w:rFonts w:eastAsia="Times New Roman"/>
          <w:bCs/>
          <w:iCs/>
          <w:lang w:val="en-ID"/>
        </w:rPr>
        <w:t>12 menampilkan pole</w:t>
      </w:r>
      <w:r>
        <w:rPr>
          <w:rFonts w:eastAsia="Times New Roman"/>
          <w:bCs/>
          <w:iCs/>
          <w:lang w:val="en-ID"/>
        </w:rPr>
        <w:t xml:space="preserve">mik monoteistik yang progresif. </w:t>
      </w:r>
      <w:r w:rsidRPr="002A397E">
        <w:rPr>
          <w:rFonts w:eastAsia="Times New Roman"/>
          <w:bCs/>
          <w:iCs/>
          <w:lang w:val="en-ID"/>
        </w:rPr>
        <w:t xml:space="preserve">bukan hanya bahwa Yahweh </w:t>
      </w:r>
      <w:r w:rsidRPr="002A397E">
        <w:rPr>
          <w:rFonts w:eastAsia="Times New Roman"/>
          <w:bCs/>
          <w:i/>
          <w:iCs/>
          <w:lang w:val="en-ID"/>
        </w:rPr>
        <w:t>lebih unggul</w:t>
      </w:r>
      <w:r w:rsidRPr="002A397E">
        <w:rPr>
          <w:rFonts w:eastAsia="Times New Roman"/>
          <w:bCs/>
          <w:iCs/>
          <w:lang w:val="en-ID"/>
        </w:rPr>
        <w:t xml:space="preserve"> dibanding ilah lain, tetapi bahwa tidak ada ilah lain yang dapat “menjadi seperti” Dia. Keunikan Yahweh diperlihatkan melalui kekudusan-Nya, keagungan perbuatan-Nya, dan kuasa-Nya atas alam ciptaan</w:t>
      </w:r>
      <w:r>
        <w:rPr>
          <w:rFonts w:eastAsia="Times New Roman"/>
          <w:bCs/>
          <w:iCs/>
          <w:lang w:val="en-ID"/>
        </w:rPr>
        <w:t>.</w:t>
      </w:r>
    </w:p>
    <w:p w14:paraId="5B64250F" w14:textId="77777777" w:rsidR="0010267E" w:rsidRPr="000262F1" w:rsidRDefault="0010267E" w:rsidP="0010267E">
      <w:pPr>
        <w:ind w:firstLine="1080"/>
        <w:jc w:val="both"/>
        <w:outlineLvl w:val="3"/>
        <w:rPr>
          <w:rFonts w:eastAsia="Times New Roman"/>
          <w:bCs/>
          <w:iCs/>
          <w:lang w:val="en-ID"/>
        </w:rPr>
      </w:pPr>
    </w:p>
    <w:p w14:paraId="2BEE8951" w14:textId="77777777" w:rsidR="0010267E" w:rsidRDefault="0010267E" w:rsidP="0010267E">
      <w:pPr>
        <w:pStyle w:val="ListParagraph"/>
        <w:spacing w:after="0" w:line="240" w:lineRule="auto"/>
        <w:jc w:val="center"/>
        <w:rPr>
          <w:rFonts w:ascii="Times New Roman" w:hAnsi="Times New Roman"/>
          <w:b/>
          <w:sz w:val="24"/>
          <w:szCs w:val="24"/>
        </w:rPr>
      </w:pPr>
      <w:r w:rsidRPr="00E41784">
        <w:rPr>
          <w:rFonts w:ascii="Times New Roman" w:hAnsi="Times New Roman"/>
          <w:b/>
          <w:sz w:val="24"/>
          <w:szCs w:val="24"/>
        </w:rPr>
        <w:t>Pemerintahan Allah atas umat dan bangsa-bangsa (15:13-17)</w:t>
      </w:r>
    </w:p>
    <w:p w14:paraId="7916AC3C" w14:textId="77777777" w:rsidR="0010267E" w:rsidRDefault="0010267E" w:rsidP="0010267E"/>
    <w:p w14:paraId="75DA6265" w14:textId="77777777" w:rsidR="0010267E" w:rsidRPr="00EC4639" w:rsidRDefault="0010267E" w:rsidP="0010267E">
      <w:pPr>
        <w:ind w:firstLine="720"/>
        <w:jc w:val="both"/>
      </w:pPr>
      <w:r>
        <w:t xml:space="preserve">Keluaran 15:13-17 </w:t>
      </w:r>
      <w:r w:rsidRPr="003868EE">
        <w:t xml:space="preserve"> menegaskan bahwa karya pembebasan Allah tidak berhenti pada penyelamatan Israel dari Mesir, tetapi berlanjut dalam bentuk penyertaan, penuntunan, dan penegakan pemerintahan-Nya atas umat-Nya dan atas bangsa-bangsa. </w:t>
      </w:r>
      <w:r>
        <w:t>Ayat 13-</w:t>
      </w:r>
      <w:r w:rsidRPr="003868EE">
        <w:t>17 menggambarkan transisi teologis dari Allah sebagai Pembebas menuju Allah sebagai Raja yang menuntun umat ke tempat kudus-Nya, sekaligus menggoncangkan bangsa-bangsa di sekitar mereka.</w:t>
      </w:r>
    </w:p>
    <w:p w14:paraId="55FDAC69" w14:textId="77777777" w:rsidR="0010267E" w:rsidRDefault="0010267E" w:rsidP="0010267E"/>
    <w:p w14:paraId="7FCC0B63" w14:textId="77777777" w:rsidR="0010267E" w:rsidRDefault="0010267E" w:rsidP="0010267E">
      <w:pPr>
        <w:jc w:val="center"/>
      </w:pPr>
      <w:r w:rsidRPr="00E41784">
        <w:t>Allah Memimpin umat-Nya (Ayt 13)</w:t>
      </w:r>
    </w:p>
    <w:p w14:paraId="51DDCD99" w14:textId="77777777" w:rsidR="0010267E" w:rsidRPr="00E41784" w:rsidRDefault="0010267E" w:rsidP="0010267E">
      <w:pPr>
        <w:jc w:val="center"/>
      </w:pPr>
    </w:p>
    <w:p w14:paraId="4525515B" w14:textId="77777777" w:rsidR="0010267E" w:rsidRDefault="0010267E" w:rsidP="0010267E">
      <w:pPr>
        <w:ind w:firstLine="720"/>
        <w:jc w:val="both"/>
      </w:pPr>
      <w:commentRangeStart w:id="6"/>
      <w:r>
        <w:rPr>
          <w:rFonts w:eastAsia="Times New Roman"/>
        </w:rPr>
        <w:t>Keluaran 15:13-</w:t>
      </w:r>
      <w:r w:rsidRPr="00E41784">
        <w:rPr>
          <w:rFonts w:eastAsia="Times New Roman"/>
        </w:rPr>
        <w:t xml:space="preserve">17 menampilkan suatu deklarasi teologis yang menegaskan pemerintahan Allah atas umat dan bangsa-bangsa sebagai kelanjutan logis dari karya pembebasan-Nya. </w:t>
      </w:r>
      <w:r w:rsidRPr="00AF6ADD">
        <w:rPr>
          <w:rFonts w:eastAsia="Times New Roman"/>
        </w:rPr>
        <w:t xml:space="preserve">Ayat </w:t>
      </w:r>
      <w:r w:rsidRPr="00AF6ADD">
        <w:t>13 membuka bagian ini dengan pernyataan bahwa Allah “menuntun” (</w:t>
      </w:r>
      <w:r w:rsidRPr="00AF6ADD">
        <w:rPr>
          <w:rFonts w:ascii="Ezra SIL" w:hAnsi="Ezra SIL" w:cs="Ezra SIL"/>
        </w:rPr>
        <w:t xml:space="preserve">נָחָה, </w:t>
      </w:r>
      <w:r w:rsidRPr="00AF6ADD">
        <w:rPr>
          <w:rStyle w:val="Emphasis"/>
        </w:rPr>
        <w:t>nāḥâ</w:t>
      </w:r>
      <w:r w:rsidRPr="00AF6ADD">
        <w:t>) umat-Nya “dengan kasih setia-Mu” (</w:t>
      </w:r>
      <w:r w:rsidRPr="00AF6ADD">
        <w:rPr>
          <w:rFonts w:ascii="Ezra SIL" w:hAnsi="Ezra SIL" w:cs="Ezra SIL"/>
        </w:rPr>
        <w:t>בְּחַסְדְּךָ</w:t>
      </w:r>
      <w:r w:rsidRPr="00AF6ADD">
        <w:t xml:space="preserve">, </w:t>
      </w:r>
      <w:r w:rsidRPr="00AF6ADD">
        <w:rPr>
          <w:rStyle w:val="Emphasis"/>
        </w:rPr>
        <w:t>beḥasdekā</w:t>
      </w:r>
      <w:r w:rsidRPr="00AF6ADD">
        <w:t xml:space="preserve">). Kata </w:t>
      </w:r>
      <w:r w:rsidRPr="00AF6ADD">
        <w:rPr>
          <w:rStyle w:val="Emphasis"/>
        </w:rPr>
        <w:t>ḥesed</w:t>
      </w:r>
      <w:r w:rsidRPr="00AF6ADD">
        <w:t xml:space="preserve"> bukan sekadar kasih, tetapi komitmen perjanjian yang</w:t>
      </w:r>
      <w:r>
        <w:t xml:space="preserve"> aktif, stabil, dan memelihara.</w:t>
      </w:r>
      <w:r w:rsidRPr="000C6E79">
        <w:rPr>
          <w:rStyle w:val="FootnoteReference"/>
        </w:rPr>
        <w:footnoteReference w:id="16"/>
      </w:r>
      <w:r w:rsidRPr="00AF6ADD">
        <w:t xml:space="preserve"> Penggunaan </w:t>
      </w:r>
      <w:r w:rsidRPr="00AF6ADD">
        <w:rPr>
          <w:rStyle w:val="Emphasis"/>
        </w:rPr>
        <w:t>nāḥâ</w:t>
      </w:r>
      <w:r w:rsidRPr="00AF6ADD">
        <w:t xml:space="preserve"> menandai bimbingan ilahi yang bersifat berkelanjutan, bukan sekadar tindakan sekali waktu. Dengan demikian, pembebasan dari Mesir diarahkan menuju formasi identitas umat yang hidup di bawah kepemimpinan Allah.</w:t>
      </w:r>
      <w:commentRangeEnd w:id="6"/>
      <w:r w:rsidR="00DF1573">
        <w:rPr>
          <w:rStyle w:val="CommentReference"/>
          <w:sz w:val="24"/>
          <w:szCs w:val="24"/>
        </w:rPr>
        <w:commentReference w:id="6"/>
      </w:r>
    </w:p>
    <w:p w14:paraId="43AEE3AE" w14:textId="6403F991" w:rsidR="0010267E" w:rsidRPr="00E41784" w:rsidRDefault="0010267E" w:rsidP="0010267E">
      <w:pPr>
        <w:ind w:firstLine="720"/>
        <w:jc w:val="both"/>
        <w:rPr>
          <w:rFonts w:eastAsia="Times New Roman"/>
          <w:sz w:val="28"/>
        </w:rPr>
      </w:pPr>
      <w:r w:rsidRPr="00AF6ADD">
        <w:t>Frasa selanjutnya, “Engkau membawa mereka” (</w:t>
      </w:r>
      <w:r w:rsidRPr="00AF6ADD">
        <w:rPr>
          <w:rFonts w:ascii="Ezra SIL" w:hAnsi="Ezra SIL" w:cs="Ezra SIL"/>
        </w:rPr>
        <w:t>נָהַלְתָּ,</w:t>
      </w:r>
      <w:r w:rsidRPr="00AF6ADD">
        <w:t xml:space="preserve"> </w:t>
      </w:r>
      <w:r w:rsidRPr="00AF6ADD">
        <w:rPr>
          <w:rStyle w:val="Emphasis"/>
        </w:rPr>
        <w:t>nāhăltā</w:t>
      </w:r>
      <w:r w:rsidRPr="00AF6ADD">
        <w:t>), memperkuat motif Allah sebagai Gembala yang memimpin umat menuju “tempat kudus-Mu” (</w:t>
      </w:r>
      <w:r w:rsidRPr="00AF6ADD">
        <w:rPr>
          <w:rFonts w:ascii="Ezra SIL" w:hAnsi="Ezra SIL" w:cs="Ezra SIL"/>
        </w:rPr>
        <w:t>נְוֵה קָדְשֶׁךָ</w:t>
      </w:r>
      <w:r w:rsidRPr="00AF6ADD">
        <w:t xml:space="preserve">, </w:t>
      </w:r>
      <w:r w:rsidRPr="00AF6ADD">
        <w:rPr>
          <w:rStyle w:val="Emphasis"/>
        </w:rPr>
        <w:t>nəwê qodshekā</w:t>
      </w:r>
      <w:r w:rsidRPr="00AF6ADD">
        <w:t xml:space="preserve">). Istilah </w:t>
      </w:r>
      <w:r w:rsidRPr="00AF6ADD">
        <w:rPr>
          <w:rStyle w:val="Emphasis"/>
        </w:rPr>
        <w:t>nəwê</w:t>
      </w:r>
      <w:r w:rsidRPr="00AF6ADD">
        <w:t xml:space="preserve"> merujuk pada “tempat tinggal” atau “tempat peristirahatan,” yang dalam konteks ini menunjuk</w:t>
      </w:r>
      <w:r>
        <w:t xml:space="preserve"> pada pusat pemerintahan Allah.</w:t>
      </w:r>
      <w:r w:rsidR="00DC1DDC">
        <w:rPr>
          <w:rStyle w:val="FootnoteReference"/>
        </w:rPr>
        <w:footnoteReference w:id="17"/>
      </w:r>
      <w:r w:rsidRPr="00AF6ADD">
        <w:t xml:space="preserve"> </w:t>
      </w:r>
      <w:r>
        <w:t>sehingga</w:t>
      </w:r>
      <w:r w:rsidRPr="00AF6ADD">
        <w:t>, tindakan penuntunan merupakan bagian dari program teologis yang menempatkan Israel dalam orbit kerajaan Allah.</w:t>
      </w:r>
    </w:p>
    <w:p w14:paraId="276158F6" w14:textId="77777777" w:rsidR="0010267E" w:rsidRDefault="0010267E" w:rsidP="0010267E">
      <w:pPr>
        <w:jc w:val="center"/>
      </w:pPr>
    </w:p>
    <w:p w14:paraId="5C9EAB89" w14:textId="77777777" w:rsidR="0010267E" w:rsidRPr="00E41784" w:rsidRDefault="0010267E" w:rsidP="0010267E">
      <w:pPr>
        <w:jc w:val="center"/>
      </w:pPr>
      <w:r w:rsidRPr="00E41784">
        <w:t>Bangsa-bangsa gentar (Ayt 14-16)</w:t>
      </w:r>
    </w:p>
    <w:p w14:paraId="4E277C43" w14:textId="0393B067" w:rsidR="0010267E" w:rsidRPr="00E41784" w:rsidRDefault="0010267E" w:rsidP="0010267E">
      <w:pPr>
        <w:spacing w:before="100" w:beforeAutospacing="1" w:after="100" w:afterAutospacing="1"/>
        <w:ind w:firstLine="720"/>
        <w:jc w:val="both"/>
        <w:rPr>
          <w:rFonts w:eastAsia="Times New Roman"/>
          <w:sz w:val="28"/>
        </w:rPr>
      </w:pPr>
      <w:r w:rsidRPr="00AF6ADD">
        <w:t>Ayat 14–16 mengubah fokus dari umat kepada bangsa-bangsa. Reaksi mereka digambarkan dengan istilah “gentar” (</w:t>
      </w:r>
      <w:r w:rsidRPr="00AF6ADD">
        <w:rPr>
          <w:rFonts w:ascii="Ezra SIL" w:hAnsi="Ezra SIL" w:cs="Ezra SIL"/>
        </w:rPr>
        <w:t>שָׁמַעוּ … יִרְגָּזוּן</w:t>
      </w:r>
      <w:r w:rsidRPr="00AF6ADD">
        <w:t xml:space="preserve">, </w:t>
      </w:r>
      <w:r w:rsidRPr="00AF6ADD">
        <w:rPr>
          <w:rStyle w:val="Emphasis"/>
        </w:rPr>
        <w:t>šāmʿû … yirgāzûn</w:t>
      </w:r>
      <w:r w:rsidRPr="00AF6ADD">
        <w:t>), “terpukul lemah” (</w:t>
      </w:r>
      <w:r w:rsidRPr="00AF6ADD">
        <w:rPr>
          <w:rFonts w:ascii="Ezra SIL" w:hAnsi="Ezra SIL" w:cs="Ezra SIL"/>
        </w:rPr>
        <w:t>אָחַז לָהֶם רָעַד</w:t>
      </w:r>
      <w:r w:rsidRPr="00AF6ADD">
        <w:t xml:space="preserve">, </w:t>
      </w:r>
      <w:r w:rsidRPr="00AF6ADD">
        <w:rPr>
          <w:rStyle w:val="Emphasis"/>
        </w:rPr>
        <w:t>ʾāḥaz lāhem rāʿad</w:t>
      </w:r>
      <w:r w:rsidRPr="00AF6ADD">
        <w:t>), dan “takut dan ngeri” (</w:t>
      </w:r>
      <w:r w:rsidRPr="00AF6ADD">
        <w:rPr>
          <w:rFonts w:ascii="Ezra SIL" w:hAnsi="Ezra SIL" w:cs="Ezra SIL"/>
        </w:rPr>
        <w:t>תִּפֹּל עֲלֵיהֶם אֵימָתָה וָפַחַד,</w:t>
      </w:r>
      <w:r w:rsidRPr="00AF6ADD">
        <w:t xml:space="preserve"> </w:t>
      </w:r>
      <w:r w:rsidRPr="00AF6ADD">
        <w:rPr>
          <w:rStyle w:val="Emphasis"/>
        </w:rPr>
        <w:t>tippōl ʿălêhem ʾēmātā wāpaḥad</w:t>
      </w:r>
      <w:r w:rsidRPr="00AF6ADD">
        <w:t xml:space="preserve">). Kata </w:t>
      </w:r>
      <w:r w:rsidRPr="00AF6ADD">
        <w:rPr>
          <w:rStyle w:val="Emphasis"/>
        </w:rPr>
        <w:t>ʾēmāh</w:t>
      </w:r>
      <w:r w:rsidRPr="00AF6ADD">
        <w:t xml:space="preserve"> (keagungan yang menimbulkan takut) dan </w:t>
      </w:r>
      <w:r w:rsidRPr="00AF6ADD">
        <w:rPr>
          <w:rStyle w:val="Emphasis"/>
        </w:rPr>
        <w:t>paḥad</w:t>
      </w:r>
      <w:r w:rsidRPr="00AF6ADD">
        <w:t xml:space="preserve"> (ketakutan mendalam) menekankan bahwa bangsa-bangsa bukan hanya takut secara politis, tetapi mereka harus mengakui otoritas </w:t>
      </w:r>
      <w:r>
        <w:t>Allah dalam sejarah.</w:t>
      </w:r>
      <w:r w:rsidR="00E33216">
        <w:rPr>
          <w:rStyle w:val="FootnoteReference"/>
        </w:rPr>
        <w:footnoteReference w:id="18"/>
      </w:r>
      <w:r w:rsidRPr="00AF6ADD">
        <w:t xml:space="preserve"> </w:t>
      </w:r>
      <w:r>
        <w:rPr>
          <w:rFonts w:eastAsia="Times New Roman"/>
        </w:rPr>
        <w:t>oleh karena itu</w:t>
      </w:r>
      <w:r w:rsidRPr="00E41784">
        <w:rPr>
          <w:rFonts w:eastAsia="Times New Roman"/>
        </w:rPr>
        <w:t>, tindakan penyelamatan Allah menjadi tanda bahwa sejarah antarbangsa berada dalam cakupan intervensi dan pengaturan ilahi.</w:t>
      </w:r>
    </w:p>
    <w:p w14:paraId="5F129068" w14:textId="77777777" w:rsidR="00CC68EC" w:rsidRDefault="00CC68EC" w:rsidP="00DC1DDC"/>
    <w:p w14:paraId="5BD6F9D8" w14:textId="77777777" w:rsidR="0010267E" w:rsidRPr="00E41784" w:rsidRDefault="0010267E" w:rsidP="0010267E">
      <w:pPr>
        <w:jc w:val="center"/>
      </w:pPr>
      <w:r w:rsidRPr="00E41784">
        <w:t>Pemerintahan kekal Allah (17-18)</w:t>
      </w:r>
    </w:p>
    <w:p w14:paraId="613BB5B3" w14:textId="77777777" w:rsidR="0010267E" w:rsidRPr="00CC68EC" w:rsidRDefault="0010267E" w:rsidP="00CC68EC">
      <w:pPr>
        <w:pStyle w:val="NormalWeb"/>
        <w:spacing w:before="0" w:beforeAutospacing="0" w:after="0" w:afterAutospacing="0"/>
        <w:jc w:val="both"/>
        <w:rPr>
          <w:lang w:val="en-US"/>
        </w:rPr>
      </w:pPr>
    </w:p>
    <w:p w14:paraId="4AB672E3" w14:textId="7A388C3F" w:rsidR="0010267E" w:rsidRPr="00E33216" w:rsidRDefault="0010267E" w:rsidP="0010267E">
      <w:pPr>
        <w:pStyle w:val="NormalWeb"/>
        <w:spacing w:before="0" w:beforeAutospacing="0" w:after="0" w:afterAutospacing="0"/>
        <w:ind w:firstLine="720"/>
        <w:jc w:val="both"/>
        <w:rPr>
          <w:lang w:val="en-US"/>
        </w:rPr>
      </w:pPr>
      <w:r>
        <w:t>Ayat 17-18 merupakan puncak teologis dari struktur ini. Allah “menanam” (</w:t>
      </w:r>
      <w:r w:rsidRPr="002E52B5">
        <w:rPr>
          <w:rFonts w:ascii="Ezra SIL" w:hAnsi="Ezra SIL" w:cs="Ezra SIL"/>
        </w:rPr>
        <w:t>תְּבִיאֵמוֹ וְתִטָּעֵמוֹ</w:t>
      </w:r>
      <w:r>
        <w:t xml:space="preserve">, </w:t>
      </w:r>
      <w:r>
        <w:rPr>
          <w:rStyle w:val="Emphasis"/>
        </w:rPr>
        <w:t>təbîʾēmô wətittāʿēmô</w:t>
      </w:r>
      <w:r>
        <w:t>) umat-Nya di “gunung milik-Mu” (</w:t>
      </w:r>
      <w:r w:rsidRPr="002E52B5">
        <w:rPr>
          <w:rFonts w:ascii="Ezra SIL" w:hAnsi="Ezra SIL" w:cs="Ezra SIL"/>
        </w:rPr>
        <w:t>הַר נַחֲלָתְךָ</w:t>
      </w:r>
      <w:r>
        <w:t xml:space="preserve">, </w:t>
      </w:r>
      <w:r>
        <w:rPr>
          <w:rStyle w:val="Emphasis"/>
        </w:rPr>
        <w:t>har naḥălātəkā</w:t>
      </w:r>
      <w:r>
        <w:t xml:space="preserve">). Kata </w:t>
      </w:r>
      <w:r>
        <w:rPr>
          <w:rStyle w:val="Emphasis"/>
        </w:rPr>
        <w:t>nāṭaʿ</w:t>
      </w:r>
      <w:r>
        <w:t xml:space="preserve"> (“menanam”) menandai tindakan penyatuan permanen antara umat dan tempat kudus Allah. Puncaknya terdapat dalam deklarasi, “Tuhan memerintah untuk selama-lamanya” (</w:t>
      </w:r>
      <w:r w:rsidRPr="002E52B5">
        <w:rPr>
          <w:rFonts w:ascii="Ezra SIL" w:hAnsi="Ezra SIL" w:cs="Ezra SIL"/>
        </w:rPr>
        <w:t>יְהוָה יִמְלֹךְ לְעֹלָם וָעֶד,</w:t>
      </w:r>
      <w:r>
        <w:t xml:space="preserve"> </w:t>
      </w:r>
      <w:r>
        <w:rPr>
          <w:rStyle w:val="Emphasis"/>
        </w:rPr>
        <w:t>YHWH yimlōk ləʿōlām wāʿed</w:t>
      </w:r>
      <w:r>
        <w:t xml:space="preserve">). Frasa </w:t>
      </w:r>
      <w:r>
        <w:rPr>
          <w:rStyle w:val="Emphasis"/>
        </w:rPr>
        <w:t>mālak</w:t>
      </w:r>
      <w:r>
        <w:t xml:space="preserve"> (memerintah) dalam bentuk imperfek menyiratkan pemerintahan yang berlangsung dan tidak terputus.</w:t>
      </w:r>
      <w:r w:rsidR="00E33216">
        <w:rPr>
          <w:rStyle w:val="FootnoteReference"/>
        </w:rPr>
        <w:footnoteReference w:id="19"/>
      </w:r>
    </w:p>
    <w:p w14:paraId="546246A8" w14:textId="77777777" w:rsidR="0010267E" w:rsidRDefault="0010267E" w:rsidP="0010267E">
      <w:pPr>
        <w:pStyle w:val="NormalWeb"/>
        <w:spacing w:before="0" w:beforeAutospacing="0" w:after="0" w:afterAutospacing="0"/>
        <w:ind w:firstLine="720"/>
        <w:jc w:val="both"/>
      </w:pPr>
      <w:r>
        <w:t>Dengan demikian, Keluaran 15:13–17 tidak hanya melukiskan kemenangan historis, tetapi menegaskan paradigma pemerintahan Allah yakni Ia memimpin umat-Nya, menundukkan bangsa-bangsa, dan menegakkan kerajaan kekal yang berakar dalam kasih setia perjanjian.</w:t>
      </w:r>
    </w:p>
    <w:p w14:paraId="2485CE86" w14:textId="77777777" w:rsidR="0010267E" w:rsidRPr="006F31CB" w:rsidRDefault="0010267E" w:rsidP="0010267E">
      <w:pPr>
        <w:jc w:val="both"/>
        <w:outlineLvl w:val="3"/>
        <w:rPr>
          <w:rFonts w:eastAsia="Times New Roman"/>
          <w:bCs/>
          <w:iCs/>
          <w:lang w:val="id-ID"/>
        </w:rPr>
      </w:pPr>
    </w:p>
    <w:p w14:paraId="3C50B0AA" w14:textId="77777777" w:rsidR="0010267E" w:rsidRPr="0010267E" w:rsidRDefault="0010267E" w:rsidP="0010267E">
      <w:pPr>
        <w:jc w:val="center"/>
        <w:outlineLvl w:val="3"/>
        <w:rPr>
          <w:rFonts w:eastAsia="Times New Roman"/>
          <w:b/>
          <w:bCs/>
          <w:iCs/>
          <w:lang w:val="id-ID"/>
        </w:rPr>
      </w:pPr>
      <w:r w:rsidRPr="0010267E">
        <w:rPr>
          <w:rFonts w:eastAsia="Times New Roman"/>
          <w:b/>
          <w:bCs/>
          <w:iCs/>
          <w:lang w:val="id-ID"/>
        </w:rPr>
        <w:t>Penutup Liturgi (ayt 19-21)</w:t>
      </w:r>
    </w:p>
    <w:p w14:paraId="7E963642" w14:textId="77777777" w:rsidR="0010267E" w:rsidRPr="0010267E" w:rsidRDefault="0010267E" w:rsidP="0010267E">
      <w:pPr>
        <w:ind w:firstLine="720"/>
        <w:jc w:val="both"/>
        <w:outlineLvl w:val="3"/>
        <w:rPr>
          <w:lang w:val="id-ID"/>
        </w:rPr>
      </w:pPr>
    </w:p>
    <w:p w14:paraId="63AC6D46" w14:textId="77777777" w:rsidR="0010267E" w:rsidRPr="0010267E" w:rsidRDefault="0010267E" w:rsidP="0010267E">
      <w:pPr>
        <w:ind w:firstLine="720"/>
        <w:jc w:val="both"/>
        <w:outlineLvl w:val="3"/>
        <w:rPr>
          <w:rFonts w:eastAsia="Times New Roman"/>
          <w:b/>
          <w:bCs/>
          <w:iCs/>
          <w:sz w:val="28"/>
          <w:lang w:val="id-ID"/>
        </w:rPr>
      </w:pPr>
      <w:r w:rsidRPr="0010267E">
        <w:rPr>
          <w:lang w:val="id-ID"/>
        </w:rPr>
        <w:t>Sebagai penutup dari keseluruhan struktur nyanyian, bagian terakhir Kidung Musa tidak hanya berfungsi sebagai epilog liturgis, tetapi sebagai penguatan ulang atas identitas Israel melalui pengingatan akan karya keselamatan Allah. Penutup ini mengikat seluruh deklarasi pujian sebelumnya dan mengarahkannya pada satu pengakuan inti yakni bahwa keselamatan Israel sepenuhnya lahir dari tindakan Allah yang berdaulat.</w:t>
      </w:r>
    </w:p>
    <w:p w14:paraId="68E8F476" w14:textId="77777777" w:rsidR="0010267E" w:rsidRPr="0010267E" w:rsidRDefault="0010267E" w:rsidP="0010267E">
      <w:pPr>
        <w:jc w:val="center"/>
        <w:rPr>
          <w:lang w:val="id-ID"/>
        </w:rPr>
      </w:pPr>
    </w:p>
    <w:p w14:paraId="4BF7517F" w14:textId="77777777" w:rsidR="0010267E" w:rsidRPr="0010267E" w:rsidRDefault="0010267E" w:rsidP="0010267E">
      <w:pPr>
        <w:jc w:val="center"/>
        <w:rPr>
          <w:lang w:val="id-ID"/>
        </w:rPr>
      </w:pPr>
      <w:r w:rsidRPr="0010267E">
        <w:rPr>
          <w:lang w:val="id-ID"/>
        </w:rPr>
        <w:t>Ringkasan keselamatan (Ayat 19)</w:t>
      </w:r>
    </w:p>
    <w:p w14:paraId="6A2D97A2" w14:textId="17786403" w:rsidR="0010267E" w:rsidRPr="006F31CB" w:rsidRDefault="0010267E" w:rsidP="0010267E">
      <w:pPr>
        <w:pStyle w:val="NormalWeb"/>
        <w:ind w:firstLine="720"/>
        <w:jc w:val="both"/>
      </w:pPr>
      <w:r>
        <w:t>Keluaran 15:19-21 membentuk penutup liturgis yang mengikat kembali seluruh nyanyian Musa dalam suatu rangkaian deklaratif–performatif yang menegaskan identitas Israel sebagai umat yang diselamatkan dan yang menyembah. Ayat 19 memuat ringkasan keselamatan melalui narasi repetitif yang menekankan karya Allah: “ketika kuda, kereta, dan orang berkuda Firaun masuk ke laut” dan “TUHAN mengembalikan air laut itu” (</w:t>
      </w:r>
      <w:r w:rsidRPr="00245F4C">
        <w:rPr>
          <w:rFonts w:ascii="Ezra SIL" w:hAnsi="Ezra SIL" w:cs="Ezra SIL"/>
        </w:rPr>
        <w:t>וַיָּשֶׁב יְהוָה</w:t>
      </w:r>
      <w:r>
        <w:t xml:space="preserve">, </w:t>
      </w:r>
      <w:r>
        <w:rPr>
          <w:rStyle w:val="Emphasis"/>
        </w:rPr>
        <w:t>wayyāšeb YHWH</w:t>
      </w:r>
      <w:r>
        <w:t xml:space="preserve">). Verba </w:t>
      </w:r>
      <w:r>
        <w:rPr>
          <w:rStyle w:val="Emphasis"/>
        </w:rPr>
        <w:t>šûb</w:t>
      </w:r>
      <w:r>
        <w:t xml:space="preserve"> dalam bentuk </w:t>
      </w:r>
      <w:r>
        <w:rPr>
          <w:rStyle w:val="Emphasis"/>
        </w:rPr>
        <w:t>wayyāšeb</w:t>
      </w:r>
      <w:r>
        <w:t xml:space="preserve"> menyatakan tindakan ilahi yang tegas, final, dan berbalik arah terhadap kekuatan penindas.</w:t>
      </w:r>
      <w:r w:rsidR="00E33216">
        <w:rPr>
          <w:rStyle w:val="FootnoteReference"/>
        </w:rPr>
        <w:footnoteReference w:id="20"/>
      </w:r>
      <w:r>
        <w:t xml:space="preserve"> Pengulangan frasa ini bersifat liturgis yang merupakan sebuah bentuk </w:t>
      </w:r>
      <w:r w:rsidRPr="00245F4C">
        <w:rPr>
          <w:rStyle w:val="Emphasis"/>
        </w:rPr>
        <w:t>anamnesis</w:t>
      </w:r>
      <w:r>
        <w:t xml:space="preserve"> yang tidak hanya mengingat tetapi menghadirkan kembali makna keselamatan. Kalimat bahwa “Israel berjalan di tanah kering” (</w:t>
      </w:r>
      <w:r w:rsidRPr="00245F4C">
        <w:rPr>
          <w:rFonts w:ascii="Ezra SIL" w:hAnsi="Ezra SIL" w:cs="Ezra SIL"/>
        </w:rPr>
        <w:t>בַּיַּבָּשָׁה</w:t>
      </w:r>
      <w:r>
        <w:t xml:space="preserve">, </w:t>
      </w:r>
      <w:r>
        <w:rPr>
          <w:rStyle w:val="Emphasis"/>
        </w:rPr>
        <w:t>bayyabbašāh</w:t>
      </w:r>
      <w:r>
        <w:t>) mempertegas kontras teologis dimana umat berjalan dalam ruang keselamatan yang dibuka Allah, sementara musuh hancur dalam ruang penghakiman Allah.</w:t>
      </w:r>
      <w:r w:rsidRPr="000C6E79">
        <w:rPr>
          <w:rStyle w:val="FootnoteReference"/>
          <w:rFonts w:eastAsia="Calibri"/>
        </w:rPr>
        <w:footnoteReference w:id="21"/>
      </w:r>
    </w:p>
    <w:p w14:paraId="721F01C2" w14:textId="77777777" w:rsidR="0010267E" w:rsidRPr="00245F4C" w:rsidRDefault="0010267E" w:rsidP="0010267E">
      <w:pPr>
        <w:jc w:val="center"/>
      </w:pPr>
      <w:r w:rsidRPr="00245F4C">
        <w:t>Tarian Miryam (Ayat 20)</w:t>
      </w:r>
    </w:p>
    <w:p w14:paraId="2A935C80" w14:textId="58D7926D" w:rsidR="0010267E" w:rsidRDefault="0010267E" w:rsidP="0010267E">
      <w:pPr>
        <w:pStyle w:val="NormalWeb"/>
        <w:ind w:firstLine="720"/>
        <w:jc w:val="both"/>
      </w:pPr>
      <w:r>
        <w:t>Ayat 20 menyajikan respons profetis Miryam, disebut “nabi perempuan” (</w:t>
      </w:r>
      <w:r w:rsidRPr="00245F4C">
        <w:rPr>
          <w:rFonts w:ascii="Ezra SIL" w:hAnsi="Ezra SIL" w:cs="Ezra SIL"/>
        </w:rPr>
        <w:t>הַנְּבִיאָה</w:t>
      </w:r>
      <w:r>
        <w:t xml:space="preserve">, </w:t>
      </w:r>
      <w:r>
        <w:rPr>
          <w:rStyle w:val="Emphasis"/>
        </w:rPr>
        <w:t>hannəḇiʾāh</w:t>
      </w:r>
      <w:r>
        <w:t>), sebuah gelar yang menunjukkan peran representatifnya sebagai pengantar respons umat terhadap karya Allah. Tindakan Miryam “mengambil” (</w:t>
      </w:r>
      <w:r w:rsidRPr="00245F4C">
        <w:rPr>
          <w:rFonts w:ascii="Ezra SIL" w:hAnsi="Ezra SIL" w:cs="Ezra SIL"/>
        </w:rPr>
        <w:t>וַתִּקַּח</w:t>
      </w:r>
      <w:r>
        <w:t xml:space="preserve">, </w:t>
      </w:r>
      <w:r>
        <w:rPr>
          <w:rStyle w:val="Emphasis"/>
        </w:rPr>
        <w:t>wattiqqaḥ</w:t>
      </w:r>
      <w:r>
        <w:t>) rebana dan memimpin para perempuan “menari” (</w:t>
      </w:r>
      <w:r w:rsidRPr="00245F4C">
        <w:rPr>
          <w:rFonts w:ascii="Ezra SIL" w:hAnsi="Ezra SIL" w:cs="Ezra SIL"/>
        </w:rPr>
        <w:t>בְּמְחֹלֹת,</w:t>
      </w:r>
      <w:r>
        <w:t xml:space="preserve"> </w:t>
      </w:r>
      <w:r>
        <w:rPr>
          <w:rStyle w:val="Emphasis"/>
        </w:rPr>
        <w:t>bəmḥolôt</w:t>
      </w:r>
      <w:r>
        <w:t>) menandai ekspresi liturgis yang menggabungkan musik, tubuh, dan teologi.</w:t>
      </w:r>
      <w:r w:rsidR="00690151">
        <w:t xml:space="preserve"> </w:t>
      </w:r>
      <w:r>
        <w:t>Tarian mereka tidak bersifat hiburan, melainkan sebuah simbol profetik bahwa tubuh umat pun terlibat dalam pernyataan iman atas kemenangan Allah.</w:t>
      </w:r>
      <w:r w:rsidR="00690151">
        <w:rPr>
          <w:rStyle w:val="FootnoteReference"/>
        </w:rPr>
        <w:footnoteReference w:id="22"/>
      </w:r>
      <w:r>
        <w:t xml:space="preserve"> Penggunaan kata </w:t>
      </w:r>
      <w:r>
        <w:rPr>
          <w:rStyle w:val="Emphasis"/>
        </w:rPr>
        <w:t>mḥol</w:t>
      </w:r>
      <w:r>
        <w:t xml:space="preserve"> mengindikasikan tarian berputar yang penuh sukacita ritual, menunjukkan bahwa keselamatan menghadirkan transformasi total yakni emosi, tubuh, dan komunitas.</w:t>
      </w:r>
    </w:p>
    <w:p w14:paraId="72505910" w14:textId="77777777" w:rsidR="0010267E" w:rsidRPr="0010267E" w:rsidRDefault="0010267E" w:rsidP="0010267E">
      <w:pPr>
        <w:jc w:val="center"/>
        <w:rPr>
          <w:lang w:val="id-ID"/>
        </w:rPr>
      </w:pPr>
      <w:r w:rsidRPr="00DF1573">
        <w:rPr>
          <w:color w:val="EE0000"/>
          <w:lang w:val="id-ID"/>
        </w:rPr>
        <w:t>Nyayian</w:t>
      </w:r>
      <w:r w:rsidRPr="0010267E">
        <w:rPr>
          <w:lang w:val="id-ID"/>
        </w:rPr>
        <w:t xml:space="preserve"> umat (Ayat 21)</w:t>
      </w:r>
    </w:p>
    <w:p w14:paraId="0F75AE5B" w14:textId="77777777" w:rsidR="0010267E" w:rsidRPr="0010267E" w:rsidRDefault="0010267E" w:rsidP="0010267E">
      <w:pPr>
        <w:jc w:val="center"/>
        <w:rPr>
          <w:lang w:val="id-ID"/>
        </w:rPr>
      </w:pPr>
    </w:p>
    <w:p w14:paraId="30AE8FFB" w14:textId="46F0C38F" w:rsidR="0010267E" w:rsidRPr="00245F4C" w:rsidRDefault="0010267E" w:rsidP="0010267E">
      <w:pPr>
        <w:ind w:firstLine="720"/>
        <w:jc w:val="both"/>
      </w:pPr>
      <w:r w:rsidRPr="0010267E">
        <w:rPr>
          <w:lang w:val="id-ID"/>
        </w:rPr>
        <w:t xml:space="preserve">Ayat 21 memuat nyanyian Miryam yang menjadi </w:t>
      </w:r>
      <w:r w:rsidRPr="0010267E">
        <w:rPr>
          <w:rStyle w:val="Emphasis"/>
          <w:lang w:val="id-ID"/>
        </w:rPr>
        <w:t>antiphonal refrain (besahut-sahutan)</w:t>
      </w:r>
      <w:r w:rsidRPr="0010267E">
        <w:rPr>
          <w:lang w:val="id-ID"/>
        </w:rPr>
        <w:t xml:space="preserve"> terhadap nyanyian Musa: “Menyanyilah bagi TUHAN” (</w:t>
      </w:r>
      <w:r w:rsidRPr="0010267E">
        <w:rPr>
          <w:rFonts w:ascii="Ezra SIL" w:hAnsi="Ezra SIL" w:cs="Ezra SIL"/>
          <w:lang w:val="id-ID"/>
        </w:rPr>
        <w:t>שִׁירוּ לַיהוָה</w:t>
      </w:r>
      <w:r w:rsidRPr="0010267E">
        <w:rPr>
          <w:lang w:val="id-ID"/>
        </w:rPr>
        <w:t xml:space="preserve">, </w:t>
      </w:r>
      <w:r w:rsidRPr="0010267E">
        <w:rPr>
          <w:rStyle w:val="Emphasis"/>
          <w:lang w:val="id-ID"/>
        </w:rPr>
        <w:t>šîrû laYHWH</w:t>
      </w:r>
      <w:r w:rsidRPr="0010267E">
        <w:rPr>
          <w:lang w:val="id-ID"/>
        </w:rPr>
        <w:t xml:space="preserve">). </w:t>
      </w:r>
      <w:r w:rsidRPr="00245F4C">
        <w:t xml:space="preserve">Imperatif jamak </w:t>
      </w:r>
      <w:r w:rsidRPr="00245F4C">
        <w:rPr>
          <w:rStyle w:val="Emphasis"/>
        </w:rPr>
        <w:t>šîrû</w:t>
      </w:r>
      <w:r w:rsidRPr="00245F4C">
        <w:t xml:space="preserve"> menunjukkan bahwa pujian merupakan tindakan komunal yang</w:t>
      </w:r>
      <w:r>
        <w:t xml:space="preserve"> wajib, bukan pilihan personal.</w:t>
      </w:r>
      <w:r w:rsidR="00DC1DDC">
        <w:rPr>
          <w:rStyle w:val="FootnoteReference"/>
        </w:rPr>
        <w:footnoteReference w:id="23"/>
      </w:r>
      <w:r w:rsidRPr="00245F4C">
        <w:t xml:space="preserve"> Frasa “Ia tinggi menjulang” (</w:t>
      </w:r>
      <w:r w:rsidRPr="00245F4C">
        <w:rPr>
          <w:rFonts w:ascii="Ezra SIL" w:hAnsi="Ezra SIL" w:cs="Ezra SIL"/>
        </w:rPr>
        <w:t>גָּאָה גָּאָה</w:t>
      </w:r>
      <w:r w:rsidRPr="00245F4C">
        <w:t xml:space="preserve">, </w:t>
      </w:r>
      <w:r w:rsidRPr="00245F4C">
        <w:rPr>
          <w:rStyle w:val="Emphasis"/>
        </w:rPr>
        <w:t>gāʾāh gāʾāh</w:t>
      </w:r>
      <w:r w:rsidRPr="00245F4C">
        <w:t>) menyajikan bentuk intensif (infinitif absolut + perfek) yang menegaskan kea</w:t>
      </w:r>
      <w:r>
        <w:t>gungan Allah secara superlatif.</w:t>
      </w:r>
      <w:r w:rsidRPr="000C6E79">
        <w:rPr>
          <w:rStyle w:val="FootnoteReference"/>
        </w:rPr>
        <w:footnoteReference w:id="24"/>
      </w:r>
      <w:r w:rsidRPr="00245F4C">
        <w:t xml:space="preserve"> Baik isi maupun ben</w:t>
      </w:r>
      <w:r>
        <w:t>tuknya menegaskan pola liturgis,</w:t>
      </w:r>
      <w:r w:rsidRPr="00245F4C">
        <w:t xml:space="preserve"> umat merespons penyelamatan dengan nyanyian yang memperkuat memori kolektif dan membentuk identitas teologis.</w:t>
      </w:r>
    </w:p>
    <w:p w14:paraId="33D66F7E" w14:textId="77777777" w:rsidR="0010267E" w:rsidRDefault="0010267E" w:rsidP="0010267E">
      <w:pPr>
        <w:pStyle w:val="NormalWeb"/>
        <w:spacing w:before="0" w:beforeAutospacing="0" w:after="0" w:afterAutospacing="0"/>
        <w:ind w:firstLine="720"/>
        <w:jc w:val="both"/>
      </w:pPr>
      <w:r>
        <w:t>Dengan demikian, Keluaran 15:19-21 menutup nyanyian Musa dengan memperlihatkan bahwa liturgi bukan sekadar perayaan, tetapi sarana pemeliharaan iman. Ringkasan keselamatan menghadirkan kembali karya Allah, tarian Miryam memperlihatkan respons profetis-tubuh umat, dan nyanyian komunal meneguhkan bahwa pujian adalah identitas umat yang hidup dalam  karya keselamatan Allah.</w:t>
      </w:r>
    </w:p>
    <w:p w14:paraId="44801069" w14:textId="77777777" w:rsidR="0010267E" w:rsidRPr="00EC4639" w:rsidRDefault="0010267E" w:rsidP="0010267E">
      <w:pPr>
        <w:pStyle w:val="NormalWeb"/>
        <w:spacing w:before="0" w:beforeAutospacing="0" w:after="0" w:afterAutospacing="0"/>
        <w:ind w:firstLine="720"/>
        <w:jc w:val="both"/>
      </w:pPr>
      <w:r>
        <w:t>.</w:t>
      </w:r>
    </w:p>
    <w:p w14:paraId="00026B9B" w14:textId="77777777" w:rsidR="0010267E" w:rsidRPr="002A397E" w:rsidRDefault="0010267E" w:rsidP="0010267E">
      <w:pPr>
        <w:outlineLvl w:val="3"/>
        <w:rPr>
          <w:rFonts w:eastAsia="Times New Roman"/>
          <w:bCs/>
          <w:iCs/>
        </w:rPr>
      </w:pPr>
    </w:p>
    <w:p w14:paraId="77E6DC84" w14:textId="77777777" w:rsidR="0010267E" w:rsidRDefault="0010267E" w:rsidP="0010267E">
      <w:pPr>
        <w:jc w:val="center"/>
        <w:outlineLvl w:val="3"/>
        <w:rPr>
          <w:rFonts w:eastAsia="Times New Roman"/>
          <w:b/>
          <w:bCs/>
          <w:iCs/>
          <w:lang w:val="en-ID"/>
        </w:rPr>
      </w:pPr>
      <w:r w:rsidRPr="00230649">
        <w:rPr>
          <w:rFonts w:eastAsia="Times New Roman"/>
          <w:b/>
          <w:bCs/>
          <w:iCs/>
          <w:lang w:val="en-ID"/>
        </w:rPr>
        <w:t xml:space="preserve">Nada yang Membebaskan: Struktur Liturgis dan Teologi Panggilan </w:t>
      </w:r>
    </w:p>
    <w:p w14:paraId="6EA6B188" w14:textId="77777777" w:rsidR="0010267E" w:rsidRDefault="0010267E" w:rsidP="0010267E">
      <w:pPr>
        <w:jc w:val="center"/>
        <w:outlineLvl w:val="3"/>
        <w:rPr>
          <w:rFonts w:eastAsia="Times New Roman"/>
          <w:b/>
          <w:bCs/>
          <w:iCs/>
          <w:lang w:val="en-ID"/>
        </w:rPr>
      </w:pPr>
      <w:r w:rsidRPr="00230649">
        <w:rPr>
          <w:rFonts w:eastAsia="Times New Roman"/>
          <w:b/>
          <w:bCs/>
          <w:iCs/>
          <w:lang w:val="en-ID"/>
        </w:rPr>
        <w:t>dalam K</w:t>
      </w:r>
      <w:r>
        <w:rPr>
          <w:rFonts w:eastAsia="Times New Roman"/>
          <w:b/>
          <w:bCs/>
          <w:iCs/>
          <w:lang w:val="en-ID"/>
        </w:rPr>
        <w:t>idung Agung Musa (Keluaran 15:1-</w:t>
      </w:r>
      <w:r w:rsidRPr="00230649">
        <w:rPr>
          <w:rFonts w:eastAsia="Times New Roman"/>
          <w:b/>
          <w:bCs/>
          <w:iCs/>
          <w:lang w:val="en-ID"/>
        </w:rPr>
        <w:t>21)</w:t>
      </w:r>
    </w:p>
    <w:p w14:paraId="0BF5A685" w14:textId="77777777" w:rsidR="0010267E" w:rsidRPr="00230649" w:rsidRDefault="0010267E" w:rsidP="0010267E">
      <w:pPr>
        <w:jc w:val="center"/>
        <w:outlineLvl w:val="3"/>
        <w:rPr>
          <w:rFonts w:eastAsia="Times New Roman"/>
          <w:b/>
          <w:bCs/>
          <w:iCs/>
          <w:lang w:val="en-ID"/>
        </w:rPr>
      </w:pPr>
    </w:p>
    <w:p w14:paraId="33E5EB77" w14:textId="65F27B82" w:rsidR="006A238E" w:rsidRDefault="0010267E" w:rsidP="006A238E">
      <w:pPr>
        <w:ind w:firstLine="720"/>
        <w:jc w:val="both"/>
        <w:outlineLvl w:val="3"/>
        <w:rPr>
          <w:rFonts w:eastAsia="Times New Roman"/>
          <w:bCs/>
          <w:iCs/>
          <w:lang w:val="en-ID"/>
        </w:rPr>
      </w:pPr>
      <w:r w:rsidRPr="00230649">
        <w:rPr>
          <w:rFonts w:eastAsia="Times New Roman"/>
          <w:bCs/>
          <w:iCs/>
          <w:lang w:val="en-ID"/>
        </w:rPr>
        <w:t>Kidung</w:t>
      </w:r>
      <w:r>
        <w:rPr>
          <w:rFonts w:eastAsia="Times New Roman"/>
          <w:bCs/>
          <w:iCs/>
          <w:lang w:val="en-ID"/>
        </w:rPr>
        <w:t xml:space="preserve"> Agung Musa dalam Keluaran 15:1-</w:t>
      </w:r>
      <w:r w:rsidRPr="00230649">
        <w:rPr>
          <w:rFonts w:eastAsia="Times New Roman"/>
          <w:bCs/>
          <w:iCs/>
          <w:lang w:val="en-ID"/>
        </w:rPr>
        <w:t>21 merupakan salah satu komposisi paling monumental dalam tradisi Israel. Teks ini bukan hanya sebuah nyanyian kemenangan, melainkan juga liturgi pembebasan yang mengungkapkan identitas Allah dan panggilan umat-Nya. Sebagai respons atas karya keselamatan di Laut Teberau, nyanyian ini membentuk kesadaran teologis Israel mengenai siapa Allah dan siapa mereka sebagai umat yang dipanggil untuk hidup dalam relasi perjanjian. Dengan demikian, Kidung Musa bukan sekadar historiografi puitis, tetapi juga instrumen teologis yang m</w:t>
      </w:r>
      <w:r>
        <w:rPr>
          <w:rFonts w:eastAsia="Times New Roman"/>
          <w:bCs/>
          <w:iCs/>
          <w:lang w:val="en-ID"/>
        </w:rPr>
        <w:t>enggambarkan</w:t>
      </w:r>
      <w:r w:rsidRPr="00230649">
        <w:rPr>
          <w:rFonts w:eastAsia="Times New Roman"/>
          <w:bCs/>
          <w:iCs/>
          <w:lang w:val="en-ID"/>
        </w:rPr>
        <w:t xml:space="preserve"> identitas dan panggilan umat Allah.</w:t>
      </w:r>
    </w:p>
    <w:p w14:paraId="22792962" w14:textId="77777777" w:rsidR="006A238E" w:rsidRDefault="006A238E" w:rsidP="006A238E">
      <w:pPr>
        <w:ind w:firstLine="720"/>
        <w:jc w:val="both"/>
        <w:outlineLvl w:val="3"/>
        <w:rPr>
          <w:rFonts w:eastAsia="Times New Roman"/>
          <w:bCs/>
          <w:iCs/>
          <w:lang w:val="en-ID"/>
        </w:rPr>
      </w:pPr>
    </w:p>
    <w:p w14:paraId="1D355172" w14:textId="77777777" w:rsidR="006A238E" w:rsidRDefault="006A238E" w:rsidP="006A238E">
      <w:pPr>
        <w:ind w:firstLine="720"/>
        <w:jc w:val="both"/>
        <w:outlineLvl w:val="3"/>
        <w:rPr>
          <w:rFonts w:eastAsia="Times New Roman"/>
          <w:bCs/>
          <w:iCs/>
          <w:lang w:val="en-ID"/>
        </w:rPr>
      </w:pPr>
    </w:p>
    <w:p w14:paraId="218248C6" w14:textId="77777777" w:rsidR="006A238E" w:rsidRDefault="006A238E" w:rsidP="006A238E">
      <w:pPr>
        <w:ind w:firstLine="720"/>
        <w:jc w:val="both"/>
        <w:outlineLvl w:val="3"/>
        <w:rPr>
          <w:rFonts w:eastAsia="Times New Roman"/>
          <w:bCs/>
          <w:iCs/>
          <w:lang w:val="en-ID"/>
        </w:rPr>
      </w:pPr>
    </w:p>
    <w:p w14:paraId="1E2E9CEA" w14:textId="77777777" w:rsidR="006A238E" w:rsidRPr="006A238E" w:rsidRDefault="006A238E" w:rsidP="006A238E">
      <w:pPr>
        <w:ind w:firstLine="720"/>
        <w:jc w:val="both"/>
        <w:outlineLvl w:val="3"/>
        <w:rPr>
          <w:rFonts w:eastAsia="Times New Roman"/>
          <w:bCs/>
          <w:iCs/>
          <w:lang w:val="en-ID"/>
        </w:rPr>
      </w:pPr>
    </w:p>
    <w:p w14:paraId="470C18A4" w14:textId="77777777" w:rsidR="0010267E" w:rsidRDefault="0010267E" w:rsidP="0010267E">
      <w:pPr>
        <w:jc w:val="center"/>
        <w:outlineLvl w:val="3"/>
        <w:rPr>
          <w:rFonts w:eastAsia="Times New Roman"/>
          <w:iCs/>
          <w:lang w:val="en-ID"/>
        </w:rPr>
      </w:pPr>
      <w:r w:rsidRPr="00230649">
        <w:rPr>
          <w:rFonts w:eastAsia="Times New Roman"/>
          <w:iCs/>
          <w:lang w:val="en-ID"/>
        </w:rPr>
        <w:t>Struktur Liturgis: Proklamasi, Pujian, dan Partisipasi Umat</w:t>
      </w:r>
    </w:p>
    <w:p w14:paraId="361A1469" w14:textId="77777777" w:rsidR="0010267E" w:rsidRPr="00230649" w:rsidRDefault="0010267E" w:rsidP="0010267E">
      <w:pPr>
        <w:jc w:val="center"/>
        <w:outlineLvl w:val="3"/>
        <w:rPr>
          <w:rFonts w:eastAsia="Times New Roman"/>
          <w:iCs/>
          <w:lang w:val="en-ID"/>
        </w:rPr>
      </w:pPr>
    </w:p>
    <w:p w14:paraId="218DC8E7" w14:textId="77777777" w:rsidR="0010267E" w:rsidRPr="00230649" w:rsidRDefault="0010267E" w:rsidP="0010267E">
      <w:pPr>
        <w:ind w:firstLine="720"/>
        <w:jc w:val="both"/>
        <w:outlineLvl w:val="3"/>
        <w:rPr>
          <w:rFonts w:eastAsia="Times New Roman"/>
          <w:bCs/>
          <w:iCs/>
          <w:lang w:val="en-ID"/>
        </w:rPr>
      </w:pPr>
      <w:r w:rsidRPr="00230649">
        <w:rPr>
          <w:rFonts w:eastAsia="Times New Roman"/>
          <w:bCs/>
          <w:iCs/>
          <w:lang w:val="en-ID"/>
        </w:rPr>
        <w:t xml:space="preserve">Kidung Agung Musa memiliki struktur liturgis khas yang terdiri dari tiga unsur utama: proklamasi karya Allah, pujian komunal, dan partisipasi umat. Unsur pertama tampak dalam deklarasi Musa: </w:t>
      </w:r>
      <w:r w:rsidRPr="00230649">
        <w:rPr>
          <w:rFonts w:eastAsia="Times New Roman"/>
          <w:bCs/>
          <w:i/>
          <w:iCs/>
          <w:lang w:val="en-ID"/>
        </w:rPr>
        <w:t>“Aku hendak menyanyi bagi TUHAN, sebab Ia tinggi luhur, kuda dan penunggangnya dilemparkan-Nya ke laut”</w:t>
      </w:r>
      <w:r w:rsidRPr="00230649">
        <w:rPr>
          <w:rFonts w:eastAsia="Times New Roman"/>
          <w:bCs/>
          <w:iCs/>
          <w:lang w:val="en-ID"/>
        </w:rPr>
        <w:t xml:space="preserve"> (15:1). Bagian ini mengandung formula </w:t>
      </w:r>
      <w:r w:rsidRPr="00230649">
        <w:rPr>
          <w:rFonts w:eastAsia="Times New Roman"/>
          <w:bCs/>
          <w:i/>
          <w:iCs/>
          <w:lang w:val="en-ID"/>
        </w:rPr>
        <w:t>hodiqti</w:t>
      </w:r>
      <w:r>
        <w:rPr>
          <w:rFonts w:eastAsia="Times New Roman"/>
          <w:bCs/>
          <w:iCs/>
          <w:lang w:val="en-ID"/>
        </w:rPr>
        <w:t xml:space="preserve"> </w:t>
      </w:r>
      <w:r w:rsidRPr="00230649">
        <w:rPr>
          <w:rFonts w:eastAsia="Times New Roman"/>
          <w:bCs/>
          <w:iCs/>
          <w:lang w:val="en-ID"/>
        </w:rPr>
        <w:t>narasi liturgis yang menegaskan supremasi Allah sebagai pejuang ilahi.</w:t>
      </w:r>
      <w:r w:rsidRPr="000C6E79">
        <w:rPr>
          <w:rStyle w:val="FootnoteReference"/>
        </w:rPr>
        <w:footnoteReference w:id="25"/>
      </w:r>
    </w:p>
    <w:p w14:paraId="576107B4" w14:textId="77777777" w:rsidR="0010267E" w:rsidRDefault="0010267E" w:rsidP="0010267E">
      <w:pPr>
        <w:jc w:val="both"/>
        <w:outlineLvl w:val="3"/>
        <w:rPr>
          <w:rFonts w:eastAsia="Times New Roman"/>
          <w:bCs/>
          <w:iCs/>
          <w:lang w:val="en-ID"/>
        </w:rPr>
      </w:pPr>
      <w:r w:rsidRPr="00230649">
        <w:rPr>
          <w:rFonts w:eastAsia="Times New Roman"/>
          <w:bCs/>
          <w:iCs/>
          <w:lang w:val="en-ID"/>
        </w:rPr>
        <w:t>Unsur kedua, yaitu pujian komunal, terwujud dalam repetisi frasa-frasa liturgis yang menekankan tindakan Allah sebagai penyelamat. Struktur repetitif ini berfungsi untuk membentuk memori kolektif tentang kebebasan yang diberikan Allah. Seperti dicatat oleh Christoph Levin, “nyanyian ini bertindak sebagai memori ritual yang mengikat pengalaman sejarah dengan identitas iman.”</w:t>
      </w:r>
      <w:r w:rsidRPr="000C6E79">
        <w:rPr>
          <w:rStyle w:val="FootnoteReference"/>
        </w:rPr>
        <w:footnoteReference w:id="26"/>
      </w:r>
      <w:r>
        <w:rPr>
          <w:rFonts w:eastAsia="Times New Roman"/>
          <w:bCs/>
          <w:iCs/>
          <w:lang w:val="en-ID"/>
        </w:rPr>
        <w:t xml:space="preserve"> </w:t>
      </w:r>
      <w:r w:rsidRPr="00230649">
        <w:rPr>
          <w:rFonts w:eastAsia="Times New Roman"/>
          <w:bCs/>
          <w:iCs/>
          <w:lang w:val="en-ID"/>
        </w:rPr>
        <w:t xml:space="preserve">Unsur ketiga adalah partisipasi umat melalui tokoh Miryam (ay. 20–21). Keterlibatan Miryam memperluas ruang liturgi dari pujian yang dinyanyikan oleh pemimpin (Musa) menjadi liturgi responsorial di mana seluruh komunitas terlibat. </w:t>
      </w:r>
      <w:r>
        <w:rPr>
          <w:rFonts w:eastAsia="Times New Roman"/>
          <w:bCs/>
          <w:iCs/>
          <w:lang w:val="en-ID"/>
        </w:rPr>
        <w:t>P</w:t>
      </w:r>
      <w:r w:rsidRPr="00230649">
        <w:rPr>
          <w:rFonts w:eastAsia="Times New Roman"/>
          <w:bCs/>
          <w:iCs/>
          <w:lang w:val="en-ID"/>
        </w:rPr>
        <w:t>ujian bukan hanya tindakan individual, melainkan aksi komunal yang mempersatukan umat di hadapan Allah.</w:t>
      </w:r>
    </w:p>
    <w:p w14:paraId="797CECE4" w14:textId="77777777" w:rsidR="0010267E" w:rsidRPr="00230649" w:rsidRDefault="0010267E" w:rsidP="0010267E">
      <w:pPr>
        <w:jc w:val="both"/>
        <w:outlineLvl w:val="3"/>
        <w:rPr>
          <w:rFonts w:eastAsia="Times New Roman"/>
          <w:bCs/>
          <w:iCs/>
          <w:lang w:val="en-ID"/>
        </w:rPr>
      </w:pPr>
    </w:p>
    <w:p w14:paraId="5AFBEF4A" w14:textId="77777777" w:rsidR="0010267E" w:rsidRDefault="0010267E" w:rsidP="0010267E">
      <w:pPr>
        <w:jc w:val="center"/>
        <w:outlineLvl w:val="3"/>
        <w:rPr>
          <w:rFonts w:eastAsia="Times New Roman"/>
          <w:iCs/>
          <w:lang w:val="en-ID"/>
        </w:rPr>
      </w:pPr>
      <w:r w:rsidRPr="00230649">
        <w:rPr>
          <w:rFonts w:eastAsia="Times New Roman"/>
          <w:iCs/>
          <w:lang w:val="en-ID"/>
        </w:rPr>
        <w:t>Teologi Pembebasan: Allah sebagai Pejuang Ilahi</w:t>
      </w:r>
    </w:p>
    <w:p w14:paraId="0E17D94E" w14:textId="77777777" w:rsidR="0010267E" w:rsidRPr="00230649" w:rsidRDefault="0010267E" w:rsidP="0010267E">
      <w:pPr>
        <w:ind w:firstLine="720"/>
        <w:jc w:val="center"/>
        <w:outlineLvl w:val="3"/>
        <w:rPr>
          <w:rFonts w:eastAsia="Times New Roman"/>
          <w:iCs/>
          <w:lang w:val="en-ID"/>
        </w:rPr>
      </w:pPr>
    </w:p>
    <w:p w14:paraId="43F83CA2" w14:textId="77777777" w:rsidR="0010267E" w:rsidRPr="00C57743" w:rsidRDefault="0010267E" w:rsidP="0010267E">
      <w:pPr>
        <w:ind w:firstLine="720"/>
        <w:jc w:val="both"/>
        <w:outlineLvl w:val="3"/>
        <w:rPr>
          <w:rFonts w:eastAsia="Times New Roman"/>
          <w:bCs/>
          <w:iCs/>
          <w:lang w:val="en-ID"/>
        </w:rPr>
      </w:pPr>
      <w:r w:rsidRPr="00C57743">
        <w:rPr>
          <w:rFonts w:eastAsia="Times New Roman"/>
          <w:bCs/>
          <w:iCs/>
          <w:lang w:val="en-ID"/>
        </w:rPr>
        <w:t>Salah satu tema sentral dalam Kidung Musa adalah penggambaran Yahweh sebagai pejuang ilahi (</w:t>
      </w:r>
      <w:r w:rsidRPr="00C57743">
        <w:rPr>
          <w:rFonts w:eastAsia="Times New Roman"/>
          <w:bCs/>
          <w:i/>
          <w:iCs/>
          <w:lang w:val="en-ID"/>
        </w:rPr>
        <w:t>YHWH ’îš milḥāmāh</w:t>
      </w:r>
      <w:r w:rsidRPr="00C57743">
        <w:rPr>
          <w:rFonts w:eastAsia="Times New Roman"/>
          <w:bCs/>
          <w:iCs/>
          <w:lang w:val="en-ID"/>
        </w:rPr>
        <w:t>, Keluaran 15:3). Dalam konteks dunia Timur Dekat kuno, motif dewa pejuang sering digunakan untuk menegaskan supremasi ilah tertentu atas ilah-ilah lain atau atas kekuatan kosmik. Namun, Kidung Musa memberikan reinterpretasi teologis yang radikal: kemenangan Yahweh bukan sekadar kompetisi antar-ilah, melainkan aksi pembebasan moral dan historis bagi umat yang tertindas. Dalam hal ini, kuasa Yahweh diarahkan bukan untuk mendominasi ilah lain, tetapi untuk menegakkan keadilan, keselamatan, dan kebaikan bagi umat yang lemah dan teraniaya. Walton menekankan bahwa gambaran ilahi ini “menunjukkan tindakan Allah yang berpihak pada keadilan dan melawan penindasan,” menegaskan dimensi etis dan teologis dari kemenangan ilahi.</w:t>
      </w:r>
      <w:r w:rsidRPr="000C6E79">
        <w:rPr>
          <w:rStyle w:val="FootnoteReference"/>
        </w:rPr>
        <w:footnoteReference w:id="27"/>
      </w:r>
    </w:p>
    <w:p w14:paraId="253AEEA4" w14:textId="77777777" w:rsidR="0010267E" w:rsidRPr="00C57743" w:rsidRDefault="0010267E" w:rsidP="0010267E">
      <w:pPr>
        <w:ind w:firstLine="720"/>
        <w:jc w:val="both"/>
        <w:outlineLvl w:val="3"/>
        <w:rPr>
          <w:rFonts w:eastAsia="Times New Roman"/>
          <w:bCs/>
          <w:iCs/>
          <w:lang w:val="en-ID"/>
        </w:rPr>
      </w:pPr>
      <w:r w:rsidRPr="00C57743">
        <w:rPr>
          <w:rFonts w:eastAsia="Times New Roman"/>
          <w:bCs/>
          <w:iCs/>
          <w:lang w:val="en-ID"/>
        </w:rPr>
        <w:t>Selain itu, pembebasan yang digambarkan Kidung Musa tidak berhenti pada intervensi fisik di Laut Teberau. Peristiwa tersebut adalah pernyataan teologis bahwa Allah adalah Tuhan yang aktif dalam sejarah manusia</w:t>
      </w:r>
      <w:r>
        <w:rPr>
          <w:rFonts w:eastAsia="Times New Roman"/>
          <w:bCs/>
          <w:iCs/>
          <w:lang w:val="en-ID"/>
        </w:rPr>
        <w:t xml:space="preserve"> </w:t>
      </w:r>
      <w:r w:rsidRPr="00C57743">
        <w:rPr>
          <w:rFonts w:eastAsia="Times New Roman"/>
          <w:bCs/>
          <w:iCs/>
          <w:lang w:val="en-ID"/>
        </w:rPr>
        <w:t>bahwa setiap peristiwa sejarah, terutama pembebasan umat, merupakan ekspresi kuasa dan kehendak Allah. Dengan menenggelamkan pasukan Mesir, Allah memperlihatkan bahwa kekuasaan-Nya melampaui struktur politik, sosial, dan kosmik, menunjukkan bahwa tidak ada sistem penindasan manusia maupun alam yang mampu menandingi kedaulatan-Nya.</w:t>
      </w:r>
    </w:p>
    <w:p w14:paraId="60E1D09C" w14:textId="77777777" w:rsidR="0010267E" w:rsidRPr="00C57743" w:rsidRDefault="0010267E" w:rsidP="0010267E">
      <w:pPr>
        <w:ind w:firstLine="720"/>
        <w:jc w:val="both"/>
        <w:outlineLvl w:val="3"/>
        <w:rPr>
          <w:rFonts w:eastAsia="Times New Roman"/>
          <w:bCs/>
          <w:iCs/>
          <w:lang w:val="en-ID"/>
        </w:rPr>
      </w:pPr>
      <w:r w:rsidRPr="00C57743">
        <w:rPr>
          <w:rFonts w:eastAsia="Times New Roman"/>
          <w:bCs/>
          <w:iCs/>
          <w:lang w:val="en-ID"/>
        </w:rPr>
        <w:t>Lebih jauh lagi, Kidung Musa menegaskan bahwa keselamatan adalah inisiatif Allah yang bebas dan berdaulat (</w:t>
      </w:r>
      <w:r w:rsidRPr="00C57743">
        <w:rPr>
          <w:rFonts w:eastAsia="Times New Roman"/>
          <w:bCs/>
          <w:i/>
          <w:iCs/>
          <w:lang w:val="en-ID"/>
        </w:rPr>
        <w:t>chesed</w:t>
      </w:r>
      <w:r w:rsidRPr="00C57743">
        <w:rPr>
          <w:rFonts w:eastAsia="Times New Roman"/>
          <w:bCs/>
          <w:iCs/>
          <w:lang w:val="en-ID"/>
        </w:rPr>
        <w:t xml:space="preserve"> dan </w:t>
      </w:r>
      <w:r w:rsidRPr="00C57743">
        <w:rPr>
          <w:rFonts w:eastAsia="Times New Roman"/>
          <w:bCs/>
          <w:i/>
          <w:iCs/>
          <w:lang w:val="en-ID"/>
        </w:rPr>
        <w:t>seder</w:t>
      </w:r>
      <w:r w:rsidRPr="00C57743">
        <w:rPr>
          <w:rFonts w:eastAsia="Times New Roman"/>
          <w:bCs/>
          <w:iCs/>
          <w:lang w:val="en-ID"/>
        </w:rPr>
        <w:t xml:space="preserve"> yang aktif dalam narasi). Pembebasan bukan hasil strategi manusia atau kebetulan sejarah, melainkan karya ilahi yang sengaja dan direncanakan dalam rencana keselamatan yang holistik.</w:t>
      </w:r>
      <w:r w:rsidRPr="000C6E79">
        <w:rPr>
          <w:rStyle w:val="FootnoteReference"/>
        </w:rPr>
        <w:footnoteReference w:id="28"/>
      </w:r>
      <w:r w:rsidRPr="00C57743">
        <w:rPr>
          <w:rFonts w:eastAsia="Times New Roman"/>
          <w:bCs/>
          <w:iCs/>
          <w:lang w:val="en-ID"/>
        </w:rPr>
        <w:t xml:space="preserve"> Dalam perspektif teologi biblika, hal ini menekankan bahwa Allah tidak hanya sebagai pejuang fisik, tetapi juga sebagai penyelamat moral, spiritual, dan kosmik, yang memanggil umat-Nya untuk hidup dalam kesetiaan, pujian, dan tanggapan etis terhadap karya-Nya. Kidung Musa menegaskan bahwa keadilan dan keselamatan adalah dua dimensi yang tak terpisahkan dari karakter Allah, sekaligus menjadi dasar panggilan teologis bagi umat untuk hidup sebagai komunitas yang setia, bersaksi, dan memuliakan Tuhan yang membebaskan.</w:t>
      </w:r>
    </w:p>
    <w:p w14:paraId="520CD201" w14:textId="77777777" w:rsidR="0010267E" w:rsidRPr="00230649" w:rsidRDefault="0010267E" w:rsidP="0010267E">
      <w:pPr>
        <w:jc w:val="both"/>
        <w:outlineLvl w:val="3"/>
        <w:rPr>
          <w:rFonts w:eastAsia="Times New Roman"/>
          <w:bCs/>
          <w:iCs/>
          <w:lang w:val="en-ID"/>
        </w:rPr>
      </w:pPr>
    </w:p>
    <w:p w14:paraId="50E14854" w14:textId="77777777" w:rsidR="0010267E" w:rsidRDefault="0010267E" w:rsidP="0010267E">
      <w:pPr>
        <w:jc w:val="center"/>
        <w:outlineLvl w:val="3"/>
        <w:rPr>
          <w:rFonts w:eastAsia="Times New Roman"/>
          <w:iCs/>
          <w:lang w:val="en-ID"/>
        </w:rPr>
      </w:pPr>
      <w:commentRangeStart w:id="7"/>
      <w:r w:rsidRPr="00230649">
        <w:rPr>
          <w:rFonts w:eastAsia="Times New Roman"/>
          <w:iCs/>
          <w:lang w:val="en-ID"/>
        </w:rPr>
        <w:t>Teologi Panggilan: Dari Pembebasan Menuju Penyembahan</w:t>
      </w:r>
      <w:commentRangeEnd w:id="7"/>
      <w:r w:rsidR="00DF1573">
        <w:rPr>
          <w:rStyle w:val="CommentReference"/>
          <w:rFonts w:eastAsia="Times New Roman"/>
          <w:iCs/>
          <w:sz w:val="24"/>
          <w:szCs w:val="24"/>
          <w:lang w:val="en-ID"/>
        </w:rPr>
        <w:commentReference w:id="7"/>
      </w:r>
    </w:p>
    <w:p w14:paraId="6DA0A1CB" w14:textId="77777777" w:rsidR="0010267E" w:rsidRPr="00230649" w:rsidRDefault="0010267E" w:rsidP="0010267E">
      <w:pPr>
        <w:ind w:firstLine="720"/>
        <w:jc w:val="center"/>
        <w:outlineLvl w:val="3"/>
        <w:rPr>
          <w:rFonts w:eastAsia="Times New Roman"/>
          <w:bCs/>
          <w:iCs/>
          <w:lang w:val="en-ID"/>
        </w:rPr>
      </w:pPr>
    </w:p>
    <w:p w14:paraId="466BDC6F" w14:textId="77777777" w:rsidR="0010267E" w:rsidRPr="00CB5740" w:rsidRDefault="0010267E" w:rsidP="0010267E">
      <w:pPr>
        <w:ind w:firstLine="720"/>
        <w:jc w:val="both"/>
        <w:outlineLvl w:val="3"/>
        <w:rPr>
          <w:rFonts w:eastAsia="Times New Roman"/>
          <w:bCs/>
          <w:iCs/>
          <w:lang w:val="en-ID"/>
        </w:rPr>
      </w:pPr>
      <w:r w:rsidRPr="00CB5740">
        <w:rPr>
          <w:rFonts w:eastAsia="Times New Roman"/>
          <w:bCs/>
          <w:iCs/>
          <w:lang w:val="en-ID"/>
        </w:rPr>
        <w:t>Kidung Musa (Keluaran 15:1–21) tidak hanya merekam nyanyian kemenangan atas pembebasan Mesir, tetapi secara teologis membentuk identitas umat sebagai komunitas terpanggil. Dalam konteks Kidung ini, tema panggilan (calling) berakar kuat pada tindakan pembebasan Allah (exodus) yang kemudian dipenuhi dengan penyembahan, ketaatan, dan kehidupan perjanjian.</w:t>
      </w:r>
    </w:p>
    <w:p w14:paraId="32F4798C" w14:textId="7246A61C" w:rsidR="0010267E" w:rsidRPr="00CB5740" w:rsidRDefault="0010267E" w:rsidP="0010267E">
      <w:pPr>
        <w:ind w:firstLine="720"/>
        <w:jc w:val="both"/>
        <w:outlineLvl w:val="3"/>
        <w:rPr>
          <w:rFonts w:eastAsia="Times New Roman"/>
          <w:bCs/>
          <w:iCs/>
          <w:lang w:val="en-ID"/>
        </w:rPr>
      </w:pPr>
      <w:r w:rsidRPr="00CB5740">
        <w:rPr>
          <w:rFonts w:eastAsia="Times New Roman"/>
          <w:bCs/>
          <w:iCs/>
          <w:lang w:val="en-ID"/>
        </w:rPr>
        <w:t xml:space="preserve">Di ayat 13, Kidung Musa menyatakan bahwa Allah </w:t>
      </w:r>
      <w:r w:rsidRPr="00CB5740">
        <w:rPr>
          <w:rFonts w:eastAsia="Times New Roman"/>
          <w:bCs/>
          <w:i/>
          <w:iCs/>
          <w:lang w:val="en-ID"/>
        </w:rPr>
        <w:t>“menuntun umat-Nya dengan ḥesed”</w:t>
      </w:r>
      <w:r w:rsidRPr="00CB5740">
        <w:rPr>
          <w:rFonts w:eastAsia="Times New Roman"/>
          <w:bCs/>
          <w:iCs/>
          <w:lang w:val="en-ID"/>
        </w:rPr>
        <w:t>. Kata Ibrani ḥesed (</w:t>
      </w:r>
      <w:r w:rsidRPr="00CB5740">
        <w:rPr>
          <w:rFonts w:ascii="Ezra SIL" w:eastAsia="Times New Roman" w:hAnsi="Ezra SIL" w:cs="Ezra SIL"/>
          <w:bCs/>
          <w:iCs/>
          <w:lang w:val="en-ID"/>
        </w:rPr>
        <w:t>חֶסֶד</w:t>
      </w:r>
      <w:r w:rsidRPr="00CB5740">
        <w:rPr>
          <w:rFonts w:eastAsia="Times New Roman"/>
          <w:bCs/>
          <w:iCs/>
          <w:lang w:val="en-ID"/>
        </w:rPr>
        <w:t>) sering diterjemahkan sebagai kasih setia, kesetiaan perjanjian, atau kasih yang berkomitmen. Dalam teologi Perjanjian Lama kontemporer, ḥesed dipahami bukan hanya sebagai sifat emosional, tetapi sebagai komitmen moral ilahi yang menuntun tindakan Tuhan dalam sejarah umat-Nya.</w:t>
      </w:r>
      <w:r>
        <w:rPr>
          <w:rFonts w:eastAsia="Times New Roman"/>
          <w:bCs/>
          <w:iCs/>
          <w:lang w:val="en-ID"/>
        </w:rPr>
        <w:t xml:space="preserve"> </w:t>
      </w:r>
      <w:r w:rsidRPr="00CB5740">
        <w:rPr>
          <w:rFonts w:eastAsia="Times New Roman"/>
          <w:bCs/>
          <w:iCs/>
          <w:lang w:val="en-ID"/>
        </w:rPr>
        <w:t>Pembebasan di Laut Teberau bukanlah sekadar kebebasan fisik, tetapi pemulihan relasi perjanjian: Allah menunjukkan ḥesed kepada umat-Nya, mengukuhkan bahwa tindakan penyelamatan-Nya bukan kebetulan, melainkan bagian dari rencana keselamatan jangka panjang. Teolog seperti L. Michael Morales menekankan bahwa tujuan eksodus bukan hanya keluar dari Mesir, tetapi restorasi hubungan antara Allah dan umat sebagai landasan redemptif..”</w:t>
      </w:r>
      <w:r>
        <w:rPr>
          <w:rFonts w:eastAsia="Times New Roman"/>
          <w:bCs/>
          <w:iCs/>
          <w:lang w:val="en-ID"/>
        </w:rPr>
        <w:t xml:space="preserve"> T</w:t>
      </w:r>
      <w:r w:rsidRPr="00CB5740">
        <w:rPr>
          <w:rFonts w:eastAsia="Times New Roman"/>
          <w:bCs/>
          <w:iCs/>
          <w:lang w:val="en-ID"/>
        </w:rPr>
        <w:t>eologi panggilan yang muncul dari pembebasan bukan sekadar pembebasan dari penindasan, melainkan panggilan untuk menjadi umat setia yang hidup dalam kasih perjanjian.</w:t>
      </w:r>
    </w:p>
    <w:p w14:paraId="67E7C6ED" w14:textId="77777777" w:rsidR="0010267E" w:rsidRPr="00CB5740" w:rsidRDefault="0010267E" w:rsidP="0010267E">
      <w:pPr>
        <w:ind w:firstLine="720"/>
        <w:jc w:val="both"/>
        <w:outlineLvl w:val="3"/>
        <w:rPr>
          <w:rFonts w:eastAsia="Times New Roman"/>
          <w:bCs/>
          <w:iCs/>
          <w:lang w:val="en-ID"/>
        </w:rPr>
      </w:pPr>
      <w:r w:rsidRPr="00CB5740">
        <w:rPr>
          <w:rFonts w:eastAsia="Times New Roman"/>
          <w:bCs/>
          <w:iCs/>
          <w:lang w:val="en-ID"/>
        </w:rPr>
        <w:t>Ayat 17 dalam Kidung Musa berbunyi bahwa Allah membawa umat-Nya dan “menanam mereka di gunung milik</w:t>
      </w:r>
      <w:r w:rsidRPr="00CB5740">
        <w:rPr>
          <w:rFonts w:eastAsia="Times New Roman"/>
          <w:bCs/>
          <w:iCs/>
          <w:lang w:val="en-ID"/>
        </w:rPr>
        <w:noBreakHyphen/>
        <w:t>Mu.” Ungkapan ini menunjukkan dimensi teleologis (tujuan) dari eksodus: Allah membebaskan umat agar mereka ditanam dalam relasi perjanjian yang lebih dalam. Kebebasan yang diberikan bukan tujuan akhir, melainkan sarana menuju identitas umat Allah yang dipanggil untuk menyembah dan tinggal di kehadiran ilahi.</w:t>
      </w:r>
      <w:r>
        <w:rPr>
          <w:rFonts w:eastAsia="Times New Roman"/>
          <w:bCs/>
          <w:iCs/>
          <w:lang w:val="en-ID"/>
        </w:rPr>
        <w:t xml:space="preserve"> </w:t>
      </w:r>
      <w:r w:rsidRPr="00CB5740">
        <w:rPr>
          <w:rFonts w:eastAsia="Times New Roman"/>
          <w:bCs/>
          <w:iCs/>
          <w:lang w:val="en-ID"/>
        </w:rPr>
        <w:t xml:space="preserve">John H. Walton, dalam pemikiran teologi Perjanjian Lama modern, menyebut konsep ini sebagai </w:t>
      </w:r>
      <w:r w:rsidRPr="00CB5740">
        <w:rPr>
          <w:rFonts w:eastAsia="Times New Roman"/>
          <w:bCs/>
          <w:i/>
          <w:iCs/>
          <w:lang w:val="en-ID"/>
        </w:rPr>
        <w:t>“teleologi eksodus”</w:t>
      </w:r>
      <w:r w:rsidRPr="00CB5740">
        <w:rPr>
          <w:rFonts w:eastAsia="Times New Roman"/>
          <w:bCs/>
          <w:iCs/>
          <w:lang w:val="en-ID"/>
        </w:rPr>
        <w:t>. Meski dia lebih banyak menulis tentang konteks kuno dan kosmologi, pemikirannya menggemakan ide bahwa pembebasan bukan hanya tindakan historis tetapi bagian dari panggilan perjanjian yang membentuk umat sebagai “rumah Allah” dan komunitas penyembahan.</w:t>
      </w:r>
      <w:r w:rsidRPr="000C6E79">
        <w:rPr>
          <w:rStyle w:val="FootnoteReference"/>
        </w:rPr>
        <w:footnoteReference w:id="29"/>
      </w:r>
      <w:r>
        <w:rPr>
          <w:rFonts w:eastAsia="Times New Roman"/>
          <w:bCs/>
          <w:iCs/>
          <w:lang w:val="en-ID"/>
        </w:rPr>
        <w:t xml:space="preserve"> E</w:t>
      </w:r>
      <w:r w:rsidRPr="00CB5740">
        <w:rPr>
          <w:rFonts w:eastAsia="Times New Roman"/>
          <w:bCs/>
          <w:iCs/>
          <w:lang w:val="en-ID"/>
        </w:rPr>
        <w:t xml:space="preserve">ksodus tidak hanya menyelamatkan, tetapi menetapkan umat sebagai mereka yang dipanggil </w:t>
      </w:r>
      <w:r>
        <w:rPr>
          <w:rFonts w:eastAsia="Times New Roman"/>
          <w:bCs/>
          <w:iCs/>
          <w:lang w:val="en-ID"/>
        </w:rPr>
        <w:t xml:space="preserve"> </w:t>
      </w:r>
      <w:r w:rsidRPr="00CB5740">
        <w:rPr>
          <w:rFonts w:eastAsia="Times New Roman"/>
          <w:bCs/>
          <w:iCs/>
          <w:lang w:val="en-ID"/>
        </w:rPr>
        <w:t>untuk hidup dalam relasi dengan Allah, dalam persekutuan dan penyembahan.</w:t>
      </w:r>
    </w:p>
    <w:p w14:paraId="41C74E7C" w14:textId="77777777" w:rsidR="0010267E" w:rsidRPr="00CB5740" w:rsidRDefault="0010267E" w:rsidP="0010267E">
      <w:pPr>
        <w:ind w:firstLine="720"/>
        <w:jc w:val="both"/>
        <w:outlineLvl w:val="3"/>
        <w:rPr>
          <w:rFonts w:eastAsia="Times New Roman"/>
          <w:bCs/>
          <w:iCs/>
          <w:lang w:val="en-ID"/>
        </w:rPr>
      </w:pPr>
      <w:r w:rsidRPr="00CB5740">
        <w:rPr>
          <w:rFonts w:eastAsia="Times New Roman"/>
          <w:bCs/>
          <w:iCs/>
          <w:lang w:val="en-ID"/>
        </w:rPr>
        <w:t xml:space="preserve">Teologi panggilan dalam Kidung Musa bersifat visioner dan proaktif: umat bukan sekadar objek pembebasan, tetapi subjek yang menanggapi panggilan Allah. Mereka dipanggil untuk berjalan bersama Tuhan, hidup dalam ketaatan, dan menyembah sebagai </w:t>
      </w:r>
      <w:r w:rsidRPr="00CB5740">
        <w:rPr>
          <w:rFonts w:eastAsia="Times New Roman"/>
          <w:bCs/>
          <w:i/>
          <w:iCs/>
          <w:lang w:val="en-ID"/>
        </w:rPr>
        <w:t>komunitas perjanjian</w:t>
      </w:r>
      <w:r w:rsidRPr="00CB5740">
        <w:rPr>
          <w:rFonts w:eastAsia="Times New Roman"/>
          <w:bCs/>
          <w:iCs/>
          <w:lang w:val="en-ID"/>
        </w:rPr>
        <w:t>. Partisipasi ini terutama tampak melalui pujian kolektif dan peran Miryam (ay</w:t>
      </w:r>
      <w:r>
        <w:rPr>
          <w:rFonts w:eastAsia="Times New Roman"/>
          <w:bCs/>
          <w:iCs/>
          <w:lang w:val="en-ID"/>
        </w:rPr>
        <w:t>. 20-</w:t>
      </w:r>
      <w:r w:rsidRPr="00CB5740">
        <w:rPr>
          <w:rFonts w:eastAsia="Times New Roman"/>
          <w:bCs/>
          <w:iCs/>
          <w:lang w:val="en-ID"/>
        </w:rPr>
        <w:t>21), di mana komunitas perempuan memimpin nyanyian, mencerminkan bahwa panggilan untuk menyembah adalah inklusif dan kolektif.</w:t>
      </w:r>
      <w:r w:rsidRPr="000C6E79">
        <w:rPr>
          <w:rStyle w:val="FootnoteReference"/>
        </w:rPr>
        <w:footnoteReference w:id="30"/>
      </w:r>
      <w:r>
        <w:rPr>
          <w:rFonts w:eastAsia="Times New Roman"/>
          <w:bCs/>
          <w:iCs/>
          <w:lang w:val="en-ID"/>
        </w:rPr>
        <w:t xml:space="preserve"> </w:t>
      </w:r>
      <w:r w:rsidRPr="00CB5740">
        <w:rPr>
          <w:rFonts w:eastAsia="Times New Roman"/>
          <w:bCs/>
          <w:iCs/>
          <w:lang w:val="en-ID"/>
        </w:rPr>
        <w:t>Pandangan ini selaras dengan interpretasi teologi pembebasan kontemporer, yang menyoroti bahwa eksodus adalah tindakan Allah yang “memihak kepada yang tertindas” dan membentuk identitas etis serta spiritual umat. Dalam artikel teranyar, RHI Tambun menyoroti bagaimana Kidung Musa (Exodus 15) menegaskan bahwa Tuhan "melawan penindasan" dan memanggil umat-Nya menjadi saksi kasih perjanjian melalui nyanyian pujian.</w:t>
      </w:r>
      <w:r w:rsidRPr="000C6E79">
        <w:rPr>
          <w:rStyle w:val="FootnoteReference"/>
        </w:rPr>
        <w:footnoteReference w:id="31"/>
      </w:r>
    </w:p>
    <w:p w14:paraId="161AC377" w14:textId="77777777" w:rsidR="0010267E" w:rsidRPr="00230649" w:rsidRDefault="0010267E" w:rsidP="0010267E">
      <w:pPr>
        <w:jc w:val="both"/>
        <w:outlineLvl w:val="3"/>
        <w:rPr>
          <w:rFonts w:eastAsia="Times New Roman"/>
          <w:bCs/>
          <w:iCs/>
          <w:lang w:val="en-ID"/>
        </w:rPr>
      </w:pPr>
    </w:p>
    <w:p w14:paraId="1BC96C99" w14:textId="77777777" w:rsidR="0010267E" w:rsidRDefault="0010267E" w:rsidP="0010267E">
      <w:pPr>
        <w:jc w:val="center"/>
        <w:outlineLvl w:val="3"/>
        <w:rPr>
          <w:rFonts w:eastAsia="Times New Roman"/>
          <w:iCs/>
          <w:lang w:val="en-ID"/>
        </w:rPr>
      </w:pPr>
      <w:r w:rsidRPr="00230649">
        <w:rPr>
          <w:rFonts w:eastAsia="Times New Roman"/>
          <w:iCs/>
          <w:lang w:val="en-ID"/>
        </w:rPr>
        <w:t>Nada yang Membebaskan: Dimensi Liturgis dan Spiritual</w:t>
      </w:r>
    </w:p>
    <w:p w14:paraId="1957DE2F" w14:textId="77777777" w:rsidR="0010267E" w:rsidRPr="00230649" w:rsidRDefault="0010267E" w:rsidP="0010267E">
      <w:pPr>
        <w:jc w:val="center"/>
        <w:outlineLvl w:val="3"/>
        <w:rPr>
          <w:rFonts w:eastAsia="Times New Roman"/>
          <w:iCs/>
          <w:lang w:val="en-ID"/>
        </w:rPr>
      </w:pPr>
    </w:p>
    <w:p w14:paraId="5AF3782E" w14:textId="2AFC7826" w:rsidR="0010267E" w:rsidRPr="00307628" w:rsidRDefault="0010267E" w:rsidP="0010267E">
      <w:pPr>
        <w:ind w:firstLine="720"/>
        <w:jc w:val="both"/>
        <w:outlineLvl w:val="3"/>
        <w:rPr>
          <w:rFonts w:eastAsia="Times New Roman"/>
          <w:bCs/>
          <w:iCs/>
          <w:lang w:val="en-ID"/>
        </w:rPr>
      </w:pPr>
      <w:r w:rsidRPr="00307628">
        <w:rPr>
          <w:rFonts w:eastAsia="Times New Roman"/>
          <w:bCs/>
          <w:iCs/>
          <w:lang w:val="en-ID"/>
        </w:rPr>
        <w:t>Kidu</w:t>
      </w:r>
      <w:r>
        <w:rPr>
          <w:rFonts w:eastAsia="Times New Roman"/>
          <w:bCs/>
          <w:iCs/>
          <w:lang w:val="en-ID"/>
        </w:rPr>
        <w:t>ng Musa (Exodus / Keluaran 15:1-</w:t>
      </w:r>
      <w:r w:rsidRPr="00307628">
        <w:rPr>
          <w:rFonts w:eastAsia="Times New Roman"/>
          <w:bCs/>
          <w:iCs/>
          <w:lang w:val="en-ID"/>
        </w:rPr>
        <w:t xml:space="preserve">21), yang sering disebut </w:t>
      </w:r>
      <w:r w:rsidRPr="00307628">
        <w:rPr>
          <w:rFonts w:eastAsia="Times New Roman"/>
          <w:bCs/>
          <w:i/>
          <w:iCs/>
          <w:lang w:val="en-ID"/>
        </w:rPr>
        <w:t>Song of the Sea</w:t>
      </w:r>
      <w:r w:rsidRPr="00307628">
        <w:rPr>
          <w:rFonts w:eastAsia="Times New Roman"/>
          <w:bCs/>
          <w:iCs/>
          <w:lang w:val="en-ID"/>
        </w:rPr>
        <w:t xml:space="preserve"> atau </w:t>
      </w:r>
      <w:r w:rsidRPr="00307628">
        <w:rPr>
          <w:rFonts w:eastAsia="Times New Roman"/>
          <w:bCs/>
          <w:i/>
          <w:iCs/>
          <w:lang w:val="en-ID"/>
        </w:rPr>
        <w:t>Shirat ha-Yam</w:t>
      </w:r>
      <w:r w:rsidRPr="00307628">
        <w:rPr>
          <w:rFonts w:eastAsia="Times New Roman"/>
          <w:bCs/>
          <w:iCs/>
          <w:lang w:val="en-ID"/>
        </w:rPr>
        <w:t>, menonjol sebagai teks liturgis yang sangat kaya secara teologis dan spiritual. Nyanyian ini bukan hanya perayaan atas pembebasan historis, tetapi juga alat liturgis yang membentuk memori kolektif, identitas iman, dan misi umat Israel.</w:t>
      </w:r>
      <w:r w:rsidR="00EC45E8">
        <w:rPr>
          <w:rStyle w:val="FootnoteReference"/>
          <w:rFonts w:eastAsia="Times New Roman"/>
          <w:bCs/>
          <w:iCs/>
          <w:lang w:val="en-ID"/>
        </w:rPr>
        <w:footnoteReference w:id="32"/>
      </w:r>
      <w:r w:rsidRPr="00307628">
        <w:rPr>
          <w:rFonts w:eastAsia="Times New Roman"/>
          <w:bCs/>
          <w:iCs/>
          <w:lang w:val="en-ID"/>
        </w:rPr>
        <w:t xml:space="preserve"> Dalam perspektif teologi liturgi, Kidung Musa merepresentasikan harmoni antara pengalaman historis (“pembebasan”), formasi spiritual (“memori”), dan panggilan misi (“misi”), menjadikannya “nada yang membebaskan” yang terus bergema dalam kehidupan iman.</w:t>
      </w:r>
    </w:p>
    <w:p w14:paraId="49566503" w14:textId="38F16FD2" w:rsidR="0010267E" w:rsidRPr="00307628" w:rsidRDefault="0010267E" w:rsidP="0010267E">
      <w:pPr>
        <w:ind w:firstLine="720"/>
        <w:jc w:val="both"/>
        <w:outlineLvl w:val="3"/>
        <w:rPr>
          <w:rFonts w:eastAsia="Times New Roman"/>
          <w:bCs/>
          <w:iCs/>
          <w:lang w:val="en-ID"/>
        </w:rPr>
      </w:pPr>
      <w:r w:rsidRPr="00307628">
        <w:rPr>
          <w:rFonts w:eastAsia="Times New Roman"/>
          <w:bCs/>
          <w:iCs/>
          <w:lang w:val="en-ID"/>
        </w:rPr>
        <w:t>Sebagai sebuah lagu kemenangan, Kidung Musa berfungsi sebagai liturgi memori (liturgical memory). Memori kolektif ini tidak hanya mengingatkan umat Israel akan peristiwa eksodus, tetapi menanamkan narasi pembebasan dalam struktur liturgi mereka agar menjadi bagian dari identitas iman bersama. MS Gillingham menyatakan bahwa tradisi eksodus secara ritual tercermin kembali dalam Mazmur dan ibadat Israel selanjutnya, menunjukkan bagaimana pengalaman eksodus “diolah kembali” dalam liturgi umat melalui nyanyian dan pujian.</w:t>
      </w:r>
      <w:r w:rsidRPr="000C6E79">
        <w:rPr>
          <w:rStyle w:val="FootnoteReference"/>
        </w:rPr>
        <w:footnoteReference w:id="33"/>
      </w:r>
      <w:r>
        <w:rPr>
          <w:rFonts w:eastAsia="Times New Roman"/>
          <w:bCs/>
          <w:iCs/>
          <w:lang w:val="en-ID"/>
        </w:rPr>
        <w:t xml:space="preserve"> </w:t>
      </w:r>
      <w:r w:rsidRPr="00307628">
        <w:rPr>
          <w:rFonts w:eastAsia="Times New Roman"/>
          <w:bCs/>
          <w:iCs/>
          <w:lang w:val="en-ID"/>
        </w:rPr>
        <w:t>Musik sebagai sarana liturgis dalam Kidung Musa memungkinkan generasi berikutnya menyanyikan dan mengenang karya penyel</w:t>
      </w:r>
      <w:r>
        <w:rPr>
          <w:rFonts w:eastAsia="Times New Roman"/>
          <w:bCs/>
          <w:iCs/>
          <w:lang w:val="en-ID"/>
        </w:rPr>
        <w:t xml:space="preserve">amatan Allah. Struktur pujian </w:t>
      </w:r>
      <w:r w:rsidRPr="00307628">
        <w:rPr>
          <w:rFonts w:eastAsia="Times New Roman"/>
          <w:bCs/>
          <w:iCs/>
          <w:lang w:val="en-ID"/>
        </w:rPr>
        <w:t>dari Musa dan seluruh umat, hingga respons Miryam da</w:t>
      </w:r>
      <w:r>
        <w:rPr>
          <w:rFonts w:eastAsia="Times New Roman"/>
          <w:bCs/>
          <w:iCs/>
          <w:lang w:val="en-ID"/>
        </w:rPr>
        <w:t xml:space="preserve">n perempuan Israel (15:20-21) </w:t>
      </w:r>
      <w:r w:rsidRPr="00307628">
        <w:rPr>
          <w:rFonts w:eastAsia="Times New Roman"/>
          <w:bCs/>
          <w:iCs/>
          <w:lang w:val="en-ID"/>
        </w:rPr>
        <w:t>menciptakan siklus partisipatif yang menginternalisasi peristiwa sebagai pengalaman iman bersama</w:t>
      </w:r>
      <w:r w:rsidR="003A2E9E">
        <w:rPr>
          <w:rFonts w:eastAsia="Times New Roman"/>
          <w:bCs/>
          <w:iCs/>
          <w:lang w:val="en-ID"/>
        </w:rPr>
        <w:t xml:space="preserve">. </w:t>
      </w:r>
      <w:r w:rsidRPr="00307628">
        <w:rPr>
          <w:rFonts w:eastAsia="Times New Roman"/>
          <w:bCs/>
          <w:iCs/>
          <w:lang w:val="en-ID"/>
        </w:rPr>
        <w:t>Dua bagian lagu ini (Musa dan nyanyian Miryam) memperlihatkan dimensi inklusif dalam liturgi: bukan hanya pemimpin, tetapi seluruh komunitas terlibat.</w:t>
      </w:r>
      <w:r w:rsidR="00EC45E8">
        <w:rPr>
          <w:rStyle w:val="FootnoteReference"/>
          <w:rFonts w:eastAsia="Times New Roman"/>
          <w:bCs/>
          <w:iCs/>
          <w:lang w:val="en-ID"/>
        </w:rPr>
        <w:footnoteReference w:id="34"/>
      </w:r>
    </w:p>
    <w:p w14:paraId="126DF7F0" w14:textId="77777777" w:rsidR="0010267E" w:rsidRPr="00307628" w:rsidRDefault="0010267E" w:rsidP="0010267E">
      <w:pPr>
        <w:ind w:firstLine="720"/>
        <w:jc w:val="both"/>
        <w:outlineLvl w:val="3"/>
        <w:rPr>
          <w:rFonts w:eastAsia="Times New Roman"/>
          <w:bCs/>
          <w:iCs/>
          <w:lang w:val="en-ID"/>
        </w:rPr>
      </w:pPr>
      <w:r w:rsidRPr="00307628">
        <w:rPr>
          <w:rFonts w:eastAsia="Times New Roman"/>
          <w:bCs/>
          <w:iCs/>
          <w:lang w:val="en-ID"/>
        </w:rPr>
        <w:t>Teolog liturgi modern menekankan bahwa musik liturgis tidak sekadar ekspresi emosi, tetapi sarana formasi spiritual yang mendalam. Dalam konteks Kidung Musa, musik menjadi medium teologis: melalui nyanyian, umat memproklamasikan kuasa Allah, mengalami keterlibatan-Nya dalam sejarah, dan mengokohkan iman mereka dalam pertalian perjanjian. Penelitian praktek teologi kontemporer menunjukan bahwa ungkapan emosional dan liturgis dalam pujian kolektif sangat berpengaruh dalam membangun kohesi komunitas iman dan kedalaman spiritual individu.</w:t>
      </w:r>
      <w:r w:rsidRPr="000C6E79">
        <w:rPr>
          <w:rStyle w:val="FootnoteReference"/>
        </w:rPr>
        <w:footnoteReference w:id="35"/>
      </w:r>
    </w:p>
    <w:p w14:paraId="1FCD6F7B" w14:textId="0314C861" w:rsidR="0010267E" w:rsidRPr="00307628" w:rsidRDefault="0010267E" w:rsidP="0010267E">
      <w:pPr>
        <w:ind w:firstLine="720"/>
        <w:jc w:val="both"/>
        <w:outlineLvl w:val="3"/>
        <w:rPr>
          <w:rFonts w:eastAsia="Times New Roman"/>
          <w:bCs/>
          <w:iCs/>
          <w:lang w:val="en-ID"/>
        </w:rPr>
      </w:pPr>
      <w:r w:rsidRPr="00307628">
        <w:rPr>
          <w:rFonts w:eastAsia="Times New Roman"/>
          <w:bCs/>
          <w:iCs/>
          <w:lang w:val="en-ID"/>
        </w:rPr>
        <w:t>Karya penelitian teologi praktis ju</w:t>
      </w:r>
      <w:r>
        <w:rPr>
          <w:rFonts w:eastAsia="Times New Roman"/>
          <w:bCs/>
          <w:iCs/>
          <w:lang w:val="en-ID"/>
        </w:rPr>
        <w:t xml:space="preserve">ga mencatat bahwa musik liturgi </w:t>
      </w:r>
      <w:r w:rsidRPr="00307628">
        <w:rPr>
          <w:rFonts w:eastAsia="Times New Roman"/>
          <w:bCs/>
          <w:iCs/>
          <w:lang w:val="en-ID"/>
        </w:rPr>
        <w:t>seperti nyanyian Musa</w:t>
      </w:r>
      <w:r>
        <w:rPr>
          <w:rFonts w:eastAsia="Times New Roman"/>
          <w:bCs/>
          <w:iCs/>
          <w:lang w:val="en-ID"/>
        </w:rPr>
        <w:t xml:space="preserve"> </w:t>
      </w:r>
      <w:r w:rsidRPr="00307628">
        <w:rPr>
          <w:rFonts w:eastAsia="Times New Roman"/>
          <w:bCs/>
          <w:iCs/>
          <w:lang w:val="en-ID"/>
        </w:rPr>
        <w:t>mengge</w:t>
      </w:r>
      <w:r>
        <w:rPr>
          <w:rFonts w:eastAsia="Times New Roman"/>
          <w:bCs/>
          <w:iCs/>
          <w:lang w:val="en-ID"/>
        </w:rPr>
        <w:t>rakkan respons afektif dan etis dimana</w:t>
      </w:r>
      <w:r w:rsidRPr="00307628">
        <w:rPr>
          <w:rFonts w:eastAsia="Times New Roman"/>
          <w:bCs/>
          <w:iCs/>
          <w:lang w:val="en-ID"/>
        </w:rPr>
        <w:t xml:space="preserve"> pujian bukan hanya kata, tetapi tindakan iman yang mengundang ketaatan, kesetiaan, dan komitmen lebih jauh terhadap panggilan ilahi. Dalam hal ini, Kidung Musa bukan hanya mengenang masa lalu, tetapi mentransformasikan umat secara spiritual agar hidup dalam kesetiaan kepada Allah yang membebaskan.</w:t>
      </w:r>
    </w:p>
    <w:p w14:paraId="273A8B7D" w14:textId="77777777" w:rsidR="0010267E" w:rsidRPr="00307628" w:rsidRDefault="0010267E" w:rsidP="0010267E">
      <w:pPr>
        <w:ind w:firstLine="720"/>
        <w:jc w:val="both"/>
        <w:outlineLvl w:val="3"/>
        <w:rPr>
          <w:rFonts w:eastAsia="Times New Roman"/>
          <w:bCs/>
          <w:iCs/>
          <w:lang w:val="en-ID"/>
        </w:rPr>
      </w:pPr>
      <w:r w:rsidRPr="00307628">
        <w:rPr>
          <w:rFonts w:eastAsia="Times New Roman"/>
          <w:bCs/>
          <w:iCs/>
          <w:lang w:val="en-ID"/>
        </w:rPr>
        <w:t>Nada pembebasan dalam Kidung Musa juga memiliki dimensi misi: nyanyian ini tidak hanya melihat ke belakang (pembebasan dari Mesir), tetapi juga melangkah maju sebagai deklarasi identitas dan panggilan. James M. Hamilton Jr. menunjukkan dalam studinya bahwa struktur chi</w:t>
      </w:r>
      <w:r>
        <w:rPr>
          <w:rFonts w:eastAsia="Times New Roman"/>
          <w:bCs/>
          <w:iCs/>
          <w:lang w:val="en-ID"/>
        </w:rPr>
        <w:t>astik dari Kidung Musa (Ex 15:1-</w:t>
      </w:r>
      <w:r w:rsidRPr="00307628">
        <w:rPr>
          <w:rFonts w:eastAsia="Times New Roman"/>
          <w:bCs/>
          <w:iCs/>
          <w:lang w:val="en-ID"/>
        </w:rPr>
        <w:t>21) dimaksudkan oleh Musa sebagai tipologi: apa yang Allah lakukan di eksodus diposisikan sebagai pola (type) bagi kemenangan dan panggilan masa depan umat Israel (misalnya penaklukan tanah perjanjian).</w:t>
      </w:r>
      <w:r w:rsidRPr="000C6E79">
        <w:rPr>
          <w:rStyle w:val="FootnoteReference"/>
        </w:rPr>
        <w:footnoteReference w:id="36"/>
      </w:r>
      <w:r>
        <w:rPr>
          <w:rFonts w:eastAsia="Times New Roman"/>
          <w:bCs/>
          <w:iCs/>
          <w:lang w:val="en-ID"/>
        </w:rPr>
        <w:t xml:space="preserve"> </w:t>
      </w:r>
      <w:r w:rsidRPr="00307628">
        <w:rPr>
          <w:rFonts w:eastAsia="Times New Roman"/>
          <w:bCs/>
          <w:iCs/>
          <w:lang w:val="en-ID"/>
        </w:rPr>
        <w:t>Kidung Musa menyematkan dalam liturgi umat Israel sebuah visi eskatologis dan teologis: pembebasan masa lalu menjadi paradigma misi masa depan. Melalui nyanyian, bangsa Israel diundang untuk menyadari bahwa kuasa Allah yang membebaskan di Laut Teberau adalah prakarsa ilahi yang terus berlaku dan umat dipanggil untuk mewartakan karya-Nya melalui penyembahan, ketaatan, dan kesaksian.</w:t>
      </w:r>
    </w:p>
    <w:p w14:paraId="4898F1BF" w14:textId="4F8EE047" w:rsidR="0010267E" w:rsidRDefault="0010267E" w:rsidP="00CC68EC">
      <w:pPr>
        <w:ind w:firstLine="720"/>
        <w:jc w:val="both"/>
        <w:outlineLvl w:val="3"/>
        <w:rPr>
          <w:rFonts w:eastAsia="Times New Roman"/>
          <w:bCs/>
          <w:iCs/>
          <w:lang w:val="en-ID"/>
        </w:rPr>
      </w:pPr>
      <w:r w:rsidRPr="00307628">
        <w:rPr>
          <w:rFonts w:eastAsia="Times New Roman"/>
          <w:bCs/>
          <w:iCs/>
          <w:lang w:val="en-ID"/>
        </w:rPr>
        <w:t>Secara teologis, “nada yang membebaskan” dari Kidung Musa mengandung ajakan aktif: pembebasan Allah menuntut respons iman berupa pujian, ketaatan, dan kesetiaan. Melalui nyanyian, umat menyatakan bahwa pembebasan bukan sekadar masa lalu yang diingat, tetapi realitas hidup yang terus dijalani. Pujian Musa dan seluruh umat adalah bentuk komitmen spiritual: menyembah Allah, mengakui kuasa-Nya, dan meneguhkan identitas sebagai komunitas yang dipanggil.</w:t>
      </w:r>
      <w:r>
        <w:rPr>
          <w:rFonts w:eastAsia="Times New Roman"/>
          <w:bCs/>
          <w:iCs/>
          <w:lang w:val="en-ID"/>
        </w:rPr>
        <w:t xml:space="preserve"> </w:t>
      </w:r>
      <w:r w:rsidRPr="00307628">
        <w:rPr>
          <w:rFonts w:eastAsia="Times New Roman"/>
          <w:bCs/>
          <w:iCs/>
          <w:lang w:val="en-ID"/>
        </w:rPr>
        <w:t>Selain itu, dimensi spiritual ini memperkuat hubungan perjanjian antara Allah dan umat. Melalui liturgi musik, umat menghayati bahwa pembebasan adalah landasan perjanjian baru mereka tidak hanya dibebaskan untuk bebas semata, tetapi untuk hidup dalam relasi yang kudus dengan Allah, sebagai saksi kuasa-Nya di dalam dunia.</w:t>
      </w:r>
    </w:p>
    <w:p w14:paraId="2E7EFD16" w14:textId="77777777" w:rsidR="0010267E" w:rsidRDefault="0010267E" w:rsidP="0010267E">
      <w:pPr>
        <w:jc w:val="both"/>
        <w:outlineLvl w:val="3"/>
        <w:rPr>
          <w:rFonts w:eastAsia="Times New Roman"/>
          <w:bCs/>
          <w:iCs/>
          <w:lang w:val="en-ID"/>
        </w:rPr>
      </w:pPr>
    </w:p>
    <w:p w14:paraId="1515E0DA" w14:textId="77777777" w:rsidR="0010267E" w:rsidRDefault="0010267E" w:rsidP="0010267E">
      <w:pPr>
        <w:jc w:val="both"/>
        <w:outlineLvl w:val="3"/>
        <w:rPr>
          <w:rFonts w:eastAsia="Times New Roman"/>
          <w:bCs/>
          <w:iCs/>
          <w:lang w:val="en-ID"/>
        </w:rPr>
      </w:pPr>
    </w:p>
    <w:p w14:paraId="1979E9D4" w14:textId="77777777" w:rsidR="0010267E" w:rsidRDefault="0010267E" w:rsidP="0010267E">
      <w:pPr>
        <w:jc w:val="center"/>
        <w:outlineLvl w:val="3"/>
        <w:rPr>
          <w:rFonts w:eastAsia="Times New Roman"/>
          <w:b/>
          <w:bCs/>
          <w:iCs/>
          <w:lang w:val="en-ID"/>
        </w:rPr>
      </w:pPr>
      <w:commentRangeStart w:id="8"/>
      <w:r>
        <w:rPr>
          <w:rFonts w:eastAsia="Times New Roman"/>
          <w:b/>
          <w:bCs/>
          <w:iCs/>
          <w:lang w:val="en-ID"/>
        </w:rPr>
        <w:t>Implikasi Masa Kini</w:t>
      </w:r>
      <w:commentRangeEnd w:id="8"/>
      <w:r w:rsidR="00DF1573">
        <w:rPr>
          <w:rStyle w:val="CommentReference"/>
          <w:rFonts w:eastAsia="Times New Roman"/>
          <w:b/>
          <w:bCs/>
          <w:iCs/>
          <w:sz w:val="24"/>
          <w:szCs w:val="24"/>
          <w:lang w:val="en-ID"/>
        </w:rPr>
        <w:commentReference w:id="8"/>
      </w:r>
    </w:p>
    <w:p w14:paraId="750C2821" w14:textId="77777777" w:rsidR="0010267E" w:rsidRDefault="0010267E" w:rsidP="0010267E">
      <w:pPr>
        <w:jc w:val="center"/>
        <w:outlineLvl w:val="3"/>
        <w:rPr>
          <w:rFonts w:eastAsia="Times New Roman"/>
          <w:b/>
          <w:bCs/>
          <w:iCs/>
          <w:lang w:val="en-ID"/>
        </w:rPr>
      </w:pPr>
    </w:p>
    <w:p w14:paraId="6E6C6A14" w14:textId="77777777" w:rsidR="0010267E" w:rsidRPr="00775266" w:rsidRDefault="0010267E" w:rsidP="0010267E">
      <w:pPr>
        <w:ind w:firstLine="720"/>
        <w:jc w:val="both"/>
        <w:rPr>
          <w:rFonts w:eastAsia="Times New Roman"/>
        </w:rPr>
      </w:pPr>
      <w:r w:rsidRPr="00775266">
        <w:rPr>
          <w:rFonts w:eastAsia="Times New Roman"/>
        </w:rPr>
        <w:t>Kidu</w:t>
      </w:r>
      <w:r>
        <w:rPr>
          <w:rFonts w:eastAsia="Times New Roman"/>
        </w:rPr>
        <w:t>ng Musa dalam Keluaran 15:1-</w:t>
      </w:r>
      <w:r w:rsidRPr="00775266">
        <w:rPr>
          <w:rFonts w:eastAsia="Times New Roman"/>
        </w:rPr>
        <w:t xml:space="preserve">21 menghadirkan sebuah paradigma teologis yang tetap relevan bagi gereja masa kini, karena nyanyian ini menegaskan bahwa identitas umat tidak dibangun di atas kekuatan manusia, melainkan pada tindakan pembebasan Allah. Respons liturgis Israel terhadap karya Allah menunjukkan bahwa pembebasan merupakan fondasi identitas umat. Dalam konteks modern, gereja pun dipanggil untuk memahami dirinya bukan sebagai komunitas yang berdiri atas keunggulan sosial, kuasa politik, atau prestasi rohani, tetapi sebagai komunitas yang telah mengalami pembebasan Kristus. Kesadaran ini menuntun gereja untuk menempatkan narasi penyelamatan Allah sebagai pusat teologi dan praksis hidup. </w:t>
      </w:r>
      <w:r>
        <w:rPr>
          <w:rFonts w:eastAsia="Times New Roman"/>
        </w:rPr>
        <w:t>Sehingga</w:t>
      </w:r>
      <w:r w:rsidRPr="00775266">
        <w:rPr>
          <w:rFonts w:eastAsia="Times New Roman"/>
        </w:rPr>
        <w:t>, seluruh pelayanan, ibadah, dan orientasi kehidupan Kristen harus berakar pada keyakinan bahwa Allah adalah Pribadi yang memulai dan memelihara relasi perjanjian melalui karya penyelamatan-Nya.</w:t>
      </w:r>
    </w:p>
    <w:p w14:paraId="502E7747" w14:textId="77777777" w:rsidR="0010267E" w:rsidRDefault="0010267E" w:rsidP="0010267E">
      <w:pPr>
        <w:ind w:firstLine="720"/>
        <w:jc w:val="both"/>
        <w:rPr>
          <w:rFonts w:eastAsia="Times New Roman"/>
        </w:rPr>
      </w:pPr>
      <w:r w:rsidRPr="00775266">
        <w:rPr>
          <w:rFonts w:eastAsia="Times New Roman"/>
        </w:rPr>
        <w:t>Dimensi liturgis Kidung Musa juga menekankan bahwa ibadah bukan sekadar luapan emosi spontan, tetapi respons sadar terhadap tindakan Allah di dalam sejarah. Hal ini menjadi kritik penting bagi model ibadah modern yang sering bergeser menjadi pengalaman subjektif dan berpusat pada suasana emosional. Kidung Musa memperlihatkan bahwa ibadah yang sejati menghidupkan kemba</w:t>
      </w:r>
      <w:r>
        <w:rPr>
          <w:rFonts w:eastAsia="Times New Roman"/>
        </w:rPr>
        <w:t xml:space="preserve">li memori teologis umat </w:t>
      </w:r>
      <w:r w:rsidRPr="00775266">
        <w:rPr>
          <w:rFonts w:eastAsia="Times New Roman"/>
        </w:rPr>
        <w:t xml:space="preserve">bukan </w:t>
      </w:r>
      <w:r>
        <w:rPr>
          <w:rFonts w:eastAsia="Times New Roman"/>
        </w:rPr>
        <w:t>kepada</w:t>
      </w:r>
      <w:r w:rsidRPr="00775266">
        <w:rPr>
          <w:rFonts w:eastAsia="Times New Roman"/>
        </w:rPr>
        <w:t xml:space="preserve"> apa yang mereka rasakan, tetapi apa yang Allah telah lakukan. Karena itu, gereja masa kini perlu menata ibadah yang berfokus pada narasi besar keselamatan dan bukan pada sensasi emosional yang sesaat. Liturgi harus memampukan jemaat untuk mengalami kembali karya agung Allah, sehingga pujian lahir dari pengenalan teologis yang mendalam, bukan dari stimulasi emosional belaka.</w:t>
      </w:r>
    </w:p>
    <w:p w14:paraId="21A2BBEE" w14:textId="77777777" w:rsidR="0010267E" w:rsidRDefault="0010267E" w:rsidP="0010267E">
      <w:pPr>
        <w:ind w:firstLine="720"/>
        <w:jc w:val="both"/>
        <w:rPr>
          <w:rFonts w:eastAsia="Times New Roman"/>
        </w:rPr>
      </w:pPr>
      <w:r w:rsidRPr="00775266">
        <w:rPr>
          <w:rFonts w:eastAsia="Times New Roman"/>
        </w:rPr>
        <w:t>Musik dalam Kidung Musa berfungsi sebagai sarana pembentukan rohani, bukan sekadar instrumen estetis. Dalam Keluaran 15, musik menjadi alat pedagogi ilahi yang menghubungkan pengalaman pembebasan dengan memori kolektif umat. Namun dalam praktik gereja masa kini, fungsi musik sering direduksi menjadi pencipta suasana atau penguat emosi. Padahal, nyanyian dalam Kidung Musa menunjukkan bahwa musik adalah medium teologis yang membentuk karakter dan menanamkan kebenaran Allah ke dalam kehidupan komunitas. Karena itu, gereja harus memberikan perhatian serius terhadap kedalaman teologis lagu-lagu ibadahnya. Nyanyian gereja seharusnya membentuk pemahaman iman, bukan sekadar menggugah perasaan. Melalui musik yang berteologi kuat, umat dipupuk menjadi komunitas yang mengingat karya Allah dan diarahkan hidup setia kepada-Nya.</w:t>
      </w:r>
    </w:p>
    <w:p w14:paraId="7B106AD4" w14:textId="77777777" w:rsidR="0010267E" w:rsidRDefault="0010267E" w:rsidP="0010267E">
      <w:pPr>
        <w:ind w:firstLine="720"/>
        <w:jc w:val="both"/>
        <w:rPr>
          <w:rFonts w:eastAsia="Times New Roman"/>
        </w:rPr>
      </w:pPr>
      <w:r w:rsidRPr="00775266">
        <w:rPr>
          <w:rFonts w:eastAsia="Times New Roman"/>
        </w:rPr>
        <w:t>Selain itu, Kidung Musa memperlihatkan hubungan erat antara memori dan pengharapan. Israel mengingat karya penyelamatan Allah di masa lalu sebagai dasar keyakinan bahwa Allah akan terus memimpin mereka pada masa mendatang. Dalam dunia modern yang sarat ketidakpastian, gereja dipanggil untuk memelihara spiritualitas yang berakar pada memori keselamatan dan berbuah dalam pengharapan kepada Allah. Ibadah yang menghidupkan kembali tindakan Allah tidak hanya memperkuat iman jemaat, tetapi juga meneguhkan mereka dalam menghadapi penderitaan dan tantangan hidup.</w:t>
      </w:r>
    </w:p>
    <w:p w14:paraId="3FDF5142" w14:textId="77777777" w:rsidR="0010267E" w:rsidRPr="00EC4639" w:rsidRDefault="0010267E" w:rsidP="0010267E">
      <w:pPr>
        <w:ind w:firstLine="720"/>
        <w:jc w:val="both"/>
        <w:rPr>
          <w:rFonts w:eastAsia="Times New Roman"/>
        </w:rPr>
      </w:pPr>
      <w:r w:rsidRPr="00775266">
        <w:rPr>
          <w:rFonts w:eastAsia="Times New Roman"/>
        </w:rPr>
        <w:t xml:space="preserve">Akhirnya, Kidung Musa menunjukkan bahwa Israel tidak hanya dipanggil untuk “keluar dari” penindasan, tetapi juga untuk “masuk ke” relasi yang lebih dalam dengan Allah. Teologi ini memiliki </w:t>
      </w:r>
      <w:r>
        <w:rPr>
          <w:rFonts w:eastAsia="Times New Roman"/>
        </w:rPr>
        <w:t xml:space="preserve">implikasi besar bagi masa kini yakni </w:t>
      </w:r>
      <w:r w:rsidRPr="00775266">
        <w:rPr>
          <w:rFonts w:eastAsia="Times New Roman"/>
        </w:rPr>
        <w:t>iman Kristen tidak boleh berhenti pada pengalaman pembebasan atau mujizat, tetapi harus bertumbuh menuju kehidupan yang berakar dalam penyembahan, kekudusan, dan kesetiaan perjanjian. Gereja perl</w:t>
      </w:r>
      <w:r>
        <w:rPr>
          <w:rFonts w:eastAsia="Times New Roman"/>
        </w:rPr>
        <w:t>u membimbing jemaat untuk hidup dalam</w:t>
      </w:r>
      <w:r w:rsidRPr="00775266">
        <w:rPr>
          <w:rFonts w:eastAsia="Times New Roman"/>
        </w:rPr>
        <w:t xml:space="preserve"> hadirat Allah, bukan sebagai komunitas yang digerakkan oleh emosi sesaat, tetapi sebagai umat yang ditanam dalam kasih setia Tuhan dan membangun hidupnya di atas relasi perjanjian yang kokoh.</w:t>
      </w:r>
    </w:p>
    <w:p w14:paraId="135ABFC8" w14:textId="77777777" w:rsidR="00C30472" w:rsidRDefault="00C30472">
      <w:pPr>
        <w:jc w:val="both"/>
      </w:pPr>
    </w:p>
    <w:p w14:paraId="1B7C2636" w14:textId="3F3C63A0" w:rsidR="00C30472" w:rsidRDefault="00A615EA">
      <w:pPr>
        <w:tabs>
          <w:tab w:val="left" w:pos="284"/>
        </w:tabs>
        <w:jc w:val="both"/>
        <w:rPr>
          <w:b/>
        </w:rPr>
      </w:pPr>
      <w:r>
        <w:rPr>
          <w:b/>
        </w:rPr>
        <w:t>KESIMPULAN</w:t>
      </w:r>
      <w:r w:rsidR="0010267E">
        <w:rPr>
          <w:b/>
        </w:rPr>
        <w:br/>
      </w:r>
    </w:p>
    <w:p w14:paraId="7ECF2D8B" w14:textId="09989FF0" w:rsidR="0010267E" w:rsidRPr="00E43878" w:rsidRDefault="0010267E" w:rsidP="0010267E">
      <w:pPr>
        <w:ind w:firstLine="720"/>
        <w:jc w:val="both"/>
        <w:rPr>
          <w:bCs/>
          <w:lang w:val="en-ID"/>
        </w:rPr>
      </w:pPr>
      <w:r w:rsidRPr="00E43878">
        <w:rPr>
          <w:bCs/>
          <w:lang w:val="en-ID"/>
        </w:rPr>
        <w:t>K</w:t>
      </w:r>
      <w:r>
        <w:rPr>
          <w:bCs/>
          <w:lang w:val="en-ID"/>
        </w:rPr>
        <w:t>idung Agung Musa (Keluaran 15:1-</w:t>
      </w:r>
      <w:r w:rsidRPr="00E43878">
        <w:rPr>
          <w:bCs/>
          <w:lang w:val="en-ID"/>
        </w:rPr>
        <w:t>21) menegaskan bahwa tindakan pembebasan Allah atas umat Israel bukan hanya peristiwa sejarah, melainkan juga pengalaman liturgis dan teologis yang membentuk identitas serta panggilan umat. Kajian terhadap struktur liturgis menunjukkan bahwa nyanyian ini tersusun dengan teratur: proklamasi karya Allah, pujian bersama, dan respons umat melalui partisipasi aktif, termasuk keterlibatan Miryam dan perempuan Israel, yang menekankan dimensi inklusif dan komunal dari liturgi.</w:t>
      </w:r>
    </w:p>
    <w:p w14:paraId="6D131B90" w14:textId="77777777" w:rsidR="0010267E" w:rsidRPr="00E43878" w:rsidRDefault="0010267E" w:rsidP="0010267E">
      <w:pPr>
        <w:ind w:firstLine="720"/>
        <w:jc w:val="both"/>
        <w:rPr>
          <w:bCs/>
          <w:lang w:val="en-ID"/>
        </w:rPr>
      </w:pPr>
      <w:r w:rsidRPr="00E43878">
        <w:rPr>
          <w:bCs/>
          <w:lang w:val="en-ID"/>
        </w:rPr>
        <w:t>Dari perspektif teologis, Kidung Musa menyoroti Allah sebagai pejuang ilahi (</w:t>
      </w:r>
      <w:r w:rsidRPr="00E43878">
        <w:rPr>
          <w:bCs/>
          <w:i/>
          <w:iCs/>
          <w:lang w:val="en-ID"/>
        </w:rPr>
        <w:t>YHWH ’îš milḥāmāh</w:t>
      </w:r>
      <w:r w:rsidRPr="00E43878">
        <w:rPr>
          <w:bCs/>
          <w:lang w:val="en-ID"/>
        </w:rPr>
        <w:t>), di mana kemenangan-Nya tidak hanya merupakan dominasi kosmik atau pertarungan antar-ilah, tetapi merupakan pembebasan moral dan historis bagi umat yang tertindas. Pembebasan ini menegaskan teologi panggilan, di mana umat dipanggil untuk menyembah, hidup dalam kekudusan, dan menjalin relasi perjanjian secara aktif. Kasih setia Allah (</w:t>
      </w:r>
      <w:r w:rsidRPr="00E43878">
        <w:rPr>
          <w:bCs/>
          <w:i/>
          <w:iCs/>
          <w:lang w:val="en-ID"/>
        </w:rPr>
        <w:t>ḥesed</w:t>
      </w:r>
      <w:r w:rsidRPr="00E43878">
        <w:rPr>
          <w:bCs/>
          <w:lang w:val="en-ID"/>
        </w:rPr>
        <w:t>) menjadi dasar pembentukan identitas baru umat, mengaitkan pembebasan dengan tanggung jawab etis, spiritual, dan misi kolektif.</w:t>
      </w:r>
    </w:p>
    <w:p w14:paraId="11155D13" w14:textId="77777777" w:rsidR="0010267E" w:rsidRDefault="0010267E" w:rsidP="0010267E">
      <w:pPr>
        <w:ind w:firstLine="720"/>
        <w:jc w:val="both"/>
        <w:rPr>
          <w:bCs/>
          <w:lang w:val="en-ID"/>
        </w:rPr>
      </w:pPr>
      <w:r w:rsidRPr="00E43878">
        <w:rPr>
          <w:bCs/>
          <w:lang w:val="en-ID"/>
        </w:rPr>
        <w:t>Kidung Musa berperan sebagai “nada yang membebaskan,” di mana musik, memori, dan misi bersatu untuk membentuk komunitas iman yang sadar akan panggilan ilahi. Pembebasan Allah bukan tujuan akhir, melainkan awal dari relasi perjanjian yang menuntut pujian, ketaatan, dan kesetiaan. Dengan demikian, Kidung ini tetap relevan sebagai model liturgi teologis yang menginternalisasi pengalaman keselamatan, membentuk identitas umat, dan menyiapkan panggilan misi sepanjang sejarah.</w:t>
      </w:r>
    </w:p>
    <w:p w14:paraId="7BA05BD2" w14:textId="77777777" w:rsidR="0010267E" w:rsidRDefault="0010267E" w:rsidP="0010267E">
      <w:pPr>
        <w:rPr>
          <w:b/>
          <w:lang w:val="en-ID"/>
        </w:rPr>
      </w:pPr>
    </w:p>
    <w:p w14:paraId="04D2B532" w14:textId="37883111" w:rsidR="00C30472" w:rsidRPr="0010267E" w:rsidRDefault="00C30472">
      <w:pPr>
        <w:tabs>
          <w:tab w:val="left" w:pos="284"/>
        </w:tabs>
        <w:jc w:val="both"/>
        <w:rPr>
          <w:lang w:val="en-ID"/>
        </w:rPr>
        <w:sectPr w:rsidR="00C30472" w:rsidRPr="0010267E">
          <w:type w:val="continuous"/>
          <w:pgSz w:w="11906" w:h="16838"/>
          <w:pgMar w:top="1418" w:right="1418" w:bottom="1418" w:left="1701" w:header="708" w:footer="708" w:gutter="0"/>
          <w:cols w:space="720"/>
        </w:sectPr>
      </w:pPr>
    </w:p>
    <w:p w14:paraId="227DEEE5" w14:textId="77777777" w:rsidR="00C30472" w:rsidRDefault="00C30472">
      <w:pPr>
        <w:rPr>
          <w:b/>
        </w:rPr>
      </w:pPr>
    </w:p>
    <w:p w14:paraId="544295B7" w14:textId="77777777" w:rsidR="00C30472" w:rsidRDefault="00A615EA">
      <w:pPr>
        <w:rPr>
          <w:b/>
        </w:rPr>
      </w:pPr>
      <w:r>
        <w:rPr>
          <w:b/>
        </w:rPr>
        <w:t xml:space="preserve">DAFTAR PUSTAKA </w:t>
      </w:r>
    </w:p>
    <w:p w14:paraId="558D9CEE" w14:textId="77777777" w:rsidR="0010267E" w:rsidRPr="0010267E" w:rsidRDefault="0010267E" w:rsidP="0010267E">
      <w:pPr>
        <w:ind w:left="360" w:hanging="360"/>
        <w:jc w:val="both"/>
        <w:rPr>
          <w:b/>
        </w:rPr>
      </w:pPr>
    </w:p>
    <w:p w14:paraId="18915542" w14:textId="77777777" w:rsidR="006A238E" w:rsidRPr="006A238E" w:rsidRDefault="00D87771" w:rsidP="006A238E">
      <w:pPr>
        <w:pStyle w:val="Bibliography"/>
        <w:jc w:val="both"/>
      </w:pPr>
      <w:r>
        <w:fldChar w:fldCharType="begin"/>
      </w:r>
      <w:r w:rsidR="006A238E">
        <w:instrText xml:space="preserve"> ADDIN ZOTERO_BIBL {"uncited":[],"omitted":[],"custom":[]} CSL_BIBLIOGRAPHY </w:instrText>
      </w:r>
      <w:r>
        <w:fldChar w:fldCharType="separate"/>
      </w:r>
      <w:r w:rsidR="006A238E" w:rsidRPr="006A238E">
        <w:t xml:space="preserve">Aa, Sitompul. </w:t>
      </w:r>
      <w:r w:rsidR="006A238E" w:rsidRPr="006A238E">
        <w:rPr>
          <w:i/>
          <w:iCs/>
        </w:rPr>
        <w:t>Metode Penafsiran Alkitab</w:t>
      </w:r>
      <w:r w:rsidR="006A238E" w:rsidRPr="006A238E">
        <w:t>. BPK Gunung Mulia, 2008.</w:t>
      </w:r>
    </w:p>
    <w:p w14:paraId="1A808771" w14:textId="77777777" w:rsidR="006A238E" w:rsidRPr="006A238E" w:rsidRDefault="006A238E" w:rsidP="006A238E">
      <w:pPr>
        <w:pStyle w:val="Bibliography"/>
        <w:jc w:val="both"/>
      </w:pPr>
      <w:r w:rsidRPr="006A238E">
        <w:t xml:space="preserve">Banda, Collium. “Whatever Happened to God’s Holiness? The Holiness of God and the Theological Authenticity of the South African Neo-Pentecostal Prophetic Activities.” </w:t>
      </w:r>
      <w:r w:rsidRPr="006A238E">
        <w:rPr>
          <w:i/>
          <w:iCs/>
        </w:rPr>
        <w:t>Verbum et Ecclesia</w:t>
      </w:r>
      <w:r w:rsidRPr="006A238E">
        <w:t xml:space="preserve"> 42, no. 1 (2021): 1–10.</w:t>
      </w:r>
    </w:p>
    <w:p w14:paraId="4FD8B1F2" w14:textId="77777777" w:rsidR="006A238E" w:rsidRPr="006A238E" w:rsidRDefault="006A238E" w:rsidP="006A238E">
      <w:pPr>
        <w:pStyle w:val="Bibliography"/>
        <w:jc w:val="both"/>
      </w:pPr>
      <w:r w:rsidRPr="006A238E">
        <w:t xml:space="preserve">Brueggemann, Walter. “Theology of the Old Testament: Testimony, Dispute, Advocacy Revisited.” </w:t>
      </w:r>
      <w:r w:rsidRPr="006A238E">
        <w:rPr>
          <w:i/>
          <w:iCs/>
        </w:rPr>
        <w:t>The Catholic Biblical Quarterly</w:t>
      </w:r>
      <w:r w:rsidRPr="006A238E">
        <w:t xml:space="preserve"> 74, no. 1 (2012): 28–38.</w:t>
      </w:r>
    </w:p>
    <w:p w14:paraId="472F7E16" w14:textId="77777777" w:rsidR="006A238E" w:rsidRPr="006A238E" w:rsidRDefault="006A238E" w:rsidP="006A238E">
      <w:pPr>
        <w:pStyle w:val="Bibliography"/>
        <w:jc w:val="both"/>
      </w:pPr>
      <w:r w:rsidRPr="006A238E">
        <w:t xml:space="preserve">Brueggemann, Walter. “Theology of the Old Testament: Testimony, Dispute, Advocacy Revisited.” </w:t>
      </w:r>
      <w:r w:rsidRPr="006A238E">
        <w:rPr>
          <w:i/>
          <w:iCs/>
        </w:rPr>
        <w:t>The Catholic Biblical Quarterly</w:t>
      </w:r>
      <w:r w:rsidRPr="006A238E">
        <w:t xml:space="preserve"> 74, no. 1 (2012): 28–38.</w:t>
      </w:r>
    </w:p>
    <w:p w14:paraId="0404DE6C" w14:textId="77777777" w:rsidR="006A238E" w:rsidRPr="006A238E" w:rsidRDefault="006A238E" w:rsidP="006A238E">
      <w:pPr>
        <w:pStyle w:val="Bibliography"/>
        <w:jc w:val="both"/>
      </w:pPr>
      <w:r w:rsidRPr="006A238E">
        <w:t xml:space="preserve">Chia, Philip Suciadi, and Juanda Juanda. “How Does Song of Moses in the Exodus 15: 8-14, Teach Education?(LXX-Rahlfs).” </w:t>
      </w:r>
      <w:r w:rsidRPr="006A238E">
        <w:rPr>
          <w:i/>
          <w:iCs/>
        </w:rPr>
        <w:t>Journal Didaskalia</w:t>
      </w:r>
      <w:r w:rsidRPr="006A238E">
        <w:t xml:space="preserve"> 5, no. 2 (2022): 67–73.</w:t>
      </w:r>
    </w:p>
    <w:p w14:paraId="49D59333" w14:textId="77777777" w:rsidR="006A238E" w:rsidRPr="006A238E" w:rsidRDefault="006A238E" w:rsidP="006A238E">
      <w:pPr>
        <w:pStyle w:val="Bibliography"/>
        <w:jc w:val="both"/>
      </w:pPr>
      <w:r w:rsidRPr="006A238E">
        <w:t xml:space="preserve">Davis, Ruth F. “From Wax Cylinder to Metal Disc: Transplanting Robert Lachmann’s ‘Oriental Music’ Project from Berlin to Jerusalem on the Eve of World War II.” </w:t>
      </w:r>
      <w:r w:rsidRPr="006A238E">
        <w:rPr>
          <w:i/>
          <w:iCs/>
        </w:rPr>
        <w:t>The World of Music (New Series)</w:t>
      </w:r>
      <w:r w:rsidRPr="006A238E">
        <w:t xml:space="preserve"> 12, no. 2 (2023).</w:t>
      </w:r>
    </w:p>
    <w:p w14:paraId="217CEDB0" w14:textId="77777777" w:rsidR="006A238E" w:rsidRPr="006A238E" w:rsidRDefault="006A238E" w:rsidP="006A238E">
      <w:pPr>
        <w:pStyle w:val="Bibliography"/>
        <w:jc w:val="both"/>
      </w:pPr>
      <w:r w:rsidRPr="006A238E">
        <w:t xml:space="preserve">Evans, Craig A. “Celebrating Victory from the Sea of Reeds to the Eschatological Battle Field: Miriam’s Timbrels and Dances in Exodus 15 and Beyond.” </w:t>
      </w:r>
      <w:r w:rsidRPr="006A238E">
        <w:rPr>
          <w:i/>
          <w:iCs/>
        </w:rPr>
        <w:t>Biblical Theology Bulletin</w:t>
      </w:r>
      <w:r w:rsidRPr="006A238E">
        <w:t xml:space="preserve"> 51, no. 4 (2021): 206–14.</w:t>
      </w:r>
    </w:p>
    <w:p w14:paraId="50B72A77" w14:textId="77777777" w:rsidR="006A238E" w:rsidRPr="006A238E" w:rsidRDefault="006A238E" w:rsidP="006A238E">
      <w:pPr>
        <w:pStyle w:val="Bibliography"/>
        <w:jc w:val="both"/>
      </w:pPr>
      <w:r w:rsidRPr="006A238E">
        <w:t xml:space="preserve">Firnando, Krisna, Yanto Hermanto, and Ferry Purnama. “Pemilihan Jenis Musik Dalam Peribadatan Kristen.” </w:t>
      </w:r>
      <w:r w:rsidRPr="006A238E">
        <w:rPr>
          <w:i/>
          <w:iCs/>
        </w:rPr>
        <w:t>Clef: Jurnal Musik Dan Pendidikan Musik</w:t>
      </w:r>
      <w:r w:rsidRPr="006A238E">
        <w:t xml:space="preserve"> 1, no. 2 (2020): 56–66.</w:t>
      </w:r>
    </w:p>
    <w:p w14:paraId="1DE4F38B" w14:textId="77777777" w:rsidR="006A238E" w:rsidRPr="006A238E" w:rsidRDefault="006A238E" w:rsidP="006A238E">
      <w:pPr>
        <w:pStyle w:val="Bibliography"/>
        <w:jc w:val="both"/>
      </w:pPr>
      <w:r w:rsidRPr="006A238E">
        <w:t xml:space="preserve">Fretheim, Terence E. “Exodus: Interpretation, A Bible Commentary for Teaching and Preaching.” </w:t>
      </w:r>
      <w:r w:rsidRPr="006A238E">
        <w:rPr>
          <w:i/>
          <w:iCs/>
        </w:rPr>
        <w:t>Louisville, Ky.: Knox, Publication</w:t>
      </w:r>
      <w:r w:rsidRPr="006A238E">
        <w:t>, 1991.</w:t>
      </w:r>
    </w:p>
    <w:p w14:paraId="735FECF1" w14:textId="77777777" w:rsidR="006A238E" w:rsidRPr="006A238E" w:rsidRDefault="006A238E" w:rsidP="006A238E">
      <w:pPr>
        <w:pStyle w:val="Bibliography"/>
        <w:jc w:val="both"/>
      </w:pPr>
      <w:r w:rsidRPr="006A238E">
        <w:t xml:space="preserve">Gillingham, Susan E. “The Reception of the Exodus Tradition in the Psalter.” </w:t>
      </w:r>
      <w:r w:rsidRPr="006A238E">
        <w:rPr>
          <w:i/>
          <w:iCs/>
        </w:rPr>
        <w:t>The Reception of Exodus Motifs in Jewish and Christian Literature</w:t>
      </w:r>
      <w:r w:rsidRPr="006A238E">
        <w:t>, 2022, 36.</w:t>
      </w:r>
    </w:p>
    <w:p w14:paraId="4211C466" w14:textId="77777777" w:rsidR="006A238E" w:rsidRPr="006A238E" w:rsidRDefault="006A238E" w:rsidP="006A238E">
      <w:pPr>
        <w:pStyle w:val="Bibliography"/>
        <w:jc w:val="both"/>
      </w:pPr>
      <w:r w:rsidRPr="006A238E">
        <w:t xml:space="preserve">Haglund, Kevin Lloyd. </w:t>
      </w:r>
      <w:r w:rsidRPr="006A238E">
        <w:rPr>
          <w:i/>
          <w:iCs/>
        </w:rPr>
        <w:t>A Practical Theology of the Role of Emotion in Corporate Musical Worship: A Case Study</w:t>
      </w:r>
      <w:r w:rsidRPr="006A238E">
        <w:t>. Columbia International University, 2024.</w:t>
      </w:r>
    </w:p>
    <w:p w14:paraId="3EA857A5" w14:textId="02391F1D" w:rsidR="006A238E" w:rsidRPr="006A238E" w:rsidRDefault="006A238E" w:rsidP="006A238E">
      <w:pPr>
        <w:pStyle w:val="Bibliography"/>
        <w:jc w:val="both"/>
      </w:pPr>
      <w:r w:rsidRPr="006A238E">
        <w:t xml:space="preserve">Hamilton Jr, James M. “Author-Intended Typology In The Chiastic Structure Of The Song Of The Sea (Exodus 15: 1–21).” </w:t>
      </w:r>
      <w:r w:rsidRPr="006A238E">
        <w:rPr>
          <w:i/>
          <w:iCs/>
        </w:rPr>
        <w:t>Journal of the Evangelical Theological Society</w:t>
      </w:r>
      <w:r w:rsidRPr="006A238E">
        <w:t xml:space="preserve"> 67, no. 3 (2024): 463–74.</w:t>
      </w:r>
    </w:p>
    <w:p w14:paraId="0F13F81B" w14:textId="77777777" w:rsidR="006A238E" w:rsidRPr="006A238E" w:rsidRDefault="006A238E" w:rsidP="006A238E">
      <w:pPr>
        <w:pStyle w:val="Bibliography"/>
        <w:jc w:val="both"/>
      </w:pPr>
      <w:r w:rsidRPr="006A238E">
        <w:t xml:space="preserve">Hamilton, Victor P. </w:t>
      </w:r>
      <w:r w:rsidRPr="006A238E">
        <w:rPr>
          <w:i/>
          <w:iCs/>
        </w:rPr>
        <w:t>Exodus: An Exegetical Commentary</w:t>
      </w:r>
      <w:r w:rsidRPr="006A238E">
        <w:t>. Baker Academic, 2011.</w:t>
      </w:r>
    </w:p>
    <w:p w14:paraId="0C21CC59" w14:textId="77777777" w:rsidR="006A238E" w:rsidRPr="006A238E" w:rsidRDefault="006A238E" w:rsidP="006A238E">
      <w:pPr>
        <w:pStyle w:val="Bibliography"/>
        <w:jc w:val="both"/>
      </w:pPr>
      <w:r w:rsidRPr="006A238E">
        <w:t xml:space="preserve">Hermanus, Kenezia. “Signifikansi Nyanyian Rohani Berdasarkan Narasi Injil.” </w:t>
      </w:r>
      <w:r w:rsidRPr="006A238E">
        <w:rPr>
          <w:i/>
          <w:iCs/>
        </w:rPr>
        <w:t>Logon Zoes: Jurnal Teologi, Sosial, Dan Budaya</w:t>
      </w:r>
      <w:r w:rsidRPr="006A238E">
        <w:t xml:space="preserve"> 8, no. 1 (2025): 1–17.</w:t>
      </w:r>
    </w:p>
    <w:p w14:paraId="07A93014" w14:textId="77777777" w:rsidR="006A238E" w:rsidRPr="006A238E" w:rsidRDefault="006A238E" w:rsidP="006A238E">
      <w:pPr>
        <w:pStyle w:val="Bibliography"/>
        <w:jc w:val="both"/>
      </w:pPr>
      <w:r w:rsidRPr="006A238E">
        <w:t xml:space="preserve">Juma, Dorcas Chebet. “The Theology of Music in African Spiritualities: A Post-COVID-19 Lens to Psalm 121 through Jerusalema.” </w:t>
      </w:r>
      <w:r w:rsidRPr="006A238E">
        <w:rPr>
          <w:i/>
          <w:iCs/>
        </w:rPr>
        <w:t>African Theological Journal for Church and Society, Vol. 6, No. 1 Pp. 264-284</w:t>
      </w:r>
      <w:r w:rsidRPr="006A238E">
        <w:t>, 2025.</w:t>
      </w:r>
    </w:p>
    <w:p w14:paraId="00A61628" w14:textId="77777777" w:rsidR="006A238E" w:rsidRPr="006A238E" w:rsidRDefault="006A238E" w:rsidP="006A238E">
      <w:pPr>
        <w:pStyle w:val="Bibliography"/>
        <w:jc w:val="both"/>
      </w:pPr>
      <w:r w:rsidRPr="006A238E">
        <w:t xml:space="preserve">Levin, Christoph. </w:t>
      </w:r>
      <w:r w:rsidRPr="006A238E">
        <w:rPr>
          <w:i/>
          <w:iCs/>
        </w:rPr>
        <w:t>The Old Testament: A Brief Introduction</w:t>
      </w:r>
      <w:r w:rsidRPr="006A238E">
        <w:t>. Princeton University Press, 2005.</w:t>
      </w:r>
    </w:p>
    <w:p w14:paraId="7EACBA6B" w14:textId="77777777" w:rsidR="006A238E" w:rsidRPr="006A238E" w:rsidRDefault="006A238E" w:rsidP="006A238E">
      <w:pPr>
        <w:pStyle w:val="Bibliography"/>
        <w:jc w:val="both"/>
      </w:pPr>
      <w:r w:rsidRPr="006A238E">
        <w:t xml:space="preserve">Martasudjita, Emanuel. </w:t>
      </w:r>
      <w:r w:rsidRPr="006A238E">
        <w:rPr>
          <w:i/>
          <w:iCs/>
        </w:rPr>
        <w:t>Liturgi: Pengantar Untuk Studi Dan Praksis Liturgi</w:t>
      </w:r>
      <w:r w:rsidRPr="006A238E">
        <w:t>. PT Kanisius, 2011.</w:t>
      </w:r>
    </w:p>
    <w:p w14:paraId="43789C6C" w14:textId="77777777" w:rsidR="006A238E" w:rsidRPr="006A238E" w:rsidRDefault="006A238E" w:rsidP="006A238E">
      <w:pPr>
        <w:pStyle w:val="Bibliography"/>
        <w:jc w:val="both"/>
      </w:pPr>
      <w:r w:rsidRPr="006A238E">
        <w:t xml:space="preserve">Neril, Rabbi Yonatan, and Rabbi Leo Dee. “Eco Bible, Vol. 1: An Ecological Commentary on Genesis and Exodus.” </w:t>
      </w:r>
      <w:r w:rsidRPr="006A238E">
        <w:rPr>
          <w:i/>
          <w:iCs/>
        </w:rPr>
        <w:t>Norderstedt: The Interfaith Center for Sustainable Development</w:t>
      </w:r>
      <w:r w:rsidRPr="006A238E">
        <w:t>, 2020.</w:t>
      </w:r>
    </w:p>
    <w:p w14:paraId="0515C2B7" w14:textId="77777777" w:rsidR="006A238E" w:rsidRPr="006A238E" w:rsidRDefault="006A238E" w:rsidP="006A238E">
      <w:pPr>
        <w:pStyle w:val="Bibliography"/>
        <w:jc w:val="both"/>
      </w:pPr>
      <w:r w:rsidRPr="006A238E">
        <w:t xml:space="preserve">Schnittjer, G.E. </w:t>
      </w:r>
      <w:r w:rsidRPr="006A238E">
        <w:rPr>
          <w:i/>
          <w:iCs/>
        </w:rPr>
        <w:t>The Torah Story: An Apprenticeship on the Pentateuch</w:t>
      </w:r>
      <w:r w:rsidRPr="006A238E">
        <w:t>. Zondervan Academic, 2010. https://books.google.co.id/books?id=oDUaY1M5UcQC.</w:t>
      </w:r>
    </w:p>
    <w:p w14:paraId="2EDB940A" w14:textId="77777777" w:rsidR="006A238E" w:rsidRPr="006A238E" w:rsidRDefault="006A238E" w:rsidP="006A238E">
      <w:pPr>
        <w:pStyle w:val="Bibliography"/>
        <w:jc w:val="both"/>
      </w:pPr>
      <w:r w:rsidRPr="006A238E">
        <w:t xml:space="preserve">Sinaga, Janes, Raden Deddy Kurniawan, and Juita Lusiana Sinambela. “Bukti Penyertaan Tuhan Melalui Perjalanan Bangsa Israel Menyeberangi Laut Teberau Berdasarkan Keluaran 13: 17–14: 1-31.” </w:t>
      </w:r>
      <w:r w:rsidRPr="006A238E">
        <w:rPr>
          <w:i/>
          <w:iCs/>
        </w:rPr>
        <w:t>Logos</w:t>
      </w:r>
      <w:r w:rsidRPr="006A238E">
        <w:t>, 2022, 143–52.</w:t>
      </w:r>
    </w:p>
    <w:p w14:paraId="38CB07E5" w14:textId="77777777" w:rsidR="006A238E" w:rsidRPr="006A238E" w:rsidRDefault="006A238E" w:rsidP="006A238E">
      <w:pPr>
        <w:pStyle w:val="Bibliography"/>
        <w:jc w:val="both"/>
      </w:pPr>
      <w:r w:rsidRPr="006A238E">
        <w:t xml:space="preserve">Smith, Mark S. </w:t>
      </w:r>
      <w:r w:rsidRPr="006A238E">
        <w:rPr>
          <w:i/>
          <w:iCs/>
        </w:rPr>
        <w:t>The Early History of God: Yahweh and the Other Deities in Ancient Israel</w:t>
      </w:r>
      <w:r w:rsidRPr="006A238E">
        <w:t>. Wm. B. Eerdmans Publishing, 2002.</w:t>
      </w:r>
    </w:p>
    <w:p w14:paraId="5FFAA1E0" w14:textId="77777777" w:rsidR="006A238E" w:rsidRPr="006A238E" w:rsidRDefault="006A238E" w:rsidP="006A238E">
      <w:pPr>
        <w:pStyle w:val="Bibliography"/>
        <w:jc w:val="both"/>
      </w:pPr>
      <w:r w:rsidRPr="006A238E">
        <w:t xml:space="preserve">Tambun, Roy Haries Ifraldo. “God Fights to Save the Nation of Israel: A Historical-Critical Review of Exodus 15: 1-21.” </w:t>
      </w:r>
      <w:r w:rsidRPr="006A238E">
        <w:rPr>
          <w:i/>
          <w:iCs/>
        </w:rPr>
        <w:t>Theological Journal Kerugma</w:t>
      </w:r>
      <w:r w:rsidRPr="006A238E">
        <w:t xml:space="preserve"> 7, no. 2 (2024): 73–83.</w:t>
      </w:r>
    </w:p>
    <w:p w14:paraId="2D20E55E" w14:textId="77777777" w:rsidR="006A238E" w:rsidRPr="006A238E" w:rsidRDefault="006A238E" w:rsidP="006A238E">
      <w:pPr>
        <w:pStyle w:val="Bibliography"/>
        <w:jc w:val="both"/>
      </w:pPr>
      <w:r w:rsidRPr="006A238E">
        <w:t xml:space="preserve">Walker, M Justin. “Historical Narrativity in the Song of the Sea (Exodus 15: 1-18) and the Throneroom Reliefs of Ashurnasirpal II.” </w:t>
      </w:r>
      <w:r w:rsidRPr="006A238E">
        <w:rPr>
          <w:i/>
          <w:iCs/>
        </w:rPr>
        <w:t>Hebrew Bible and Ancient Israel</w:t>
      </w:r>
      <w:r w:rsidRPr="006A238E">
        <w:t xml:space="preserve"> 13, no. 1 (2024): 1–29.</w:t>
      </w:r>
    </w:p>
    <w:p w14:paraId="620C1C91" w14:textId="77777777" w:rsidR="006A238E" w:rsidRPr="006A238E" w:rsidRDefault="006A238E" w:rsidP="006A238E">
      <w:pPr>
        <w:pStyle w:val="Bibliography"/>
        <w:jc w:val="both"/>
      </w:pPr>
      <w:r w:rsidRPr="006A238E">
        <w:t xml:space="preserve">Walton, John. </w:t>
      </w:r>
      <w:r w:rsidRPr="006A238E">
        <w:rPr>
          <w:i/>
          <w:iCs/>
        </w:rPr>
        <w:t>Ancient Near Eastern Thought and the Old Testament</w:t>
      </w:r>
      <w:r w:rsidRPr="006A238E">
        <w:t>. Baker, 2019.</w:t>
      </w:r>
    </w:p>
    <w:p w14:paraId="05B0C337" w14:textId="77777777" w:rsidR="006A238E" w:rsidRPr="006A238E" w:rsidRDefault="006A238E" w:rsidP="006A238E">
      <w:pPr>
        <w:pStyle w:val="Bibliography"/>
        <w:jc w:val="both"/>
      </w:pPr>
      <w:r w:rsidRPr="006A238E">
        <w:t xml:space="preserve">Wright, Christopher JH. </w:t>
      </w:r>
      <w:r w:rsidRPr="006A238E">
        <w:rPr>
          <w:i/>
          <w:iCs/>
        </w:rPr>
        <w:t>Exodus</w:t>
      </w:r>
      <w:r w:rsidRPr="006A238E">
        <w:t>. Zondervan Academic, 2021.</w:t>
      </w:r>
    </w:p>
    <w:p w14:paraId="693DD4F8" w14:textId="3601D245" w:rsidR="006A238E" w:rsidRPr="006A238E" w:rsidRDefault="006A238E" w:rsidP="006A238E">
      <w:pPr>
        <w:pStyle w:val="Bibliography"/>
        <w:jc w:val="both"/>
      </w:pPr>
      <w:r w:rsidRPr="006A238E">
        <w:t xml:space="preserve">Zai, Vinus, Daniel Zalukhu, and Yohanes Dewanto. “Misi Allah Berdasarkan Kitab Keluaran.” </w:t>
      </w:r>
      <w:r w:rsidRPr="006A238E">
        <w:rPr>
          <w:i/>
          <w:iCs/>
        </w:rPr>
        <w:t>Theologia Insani: Jurnal Theologia, Pendidikan, Dan Misiologia Integratif</w:t>
      </w:r>
      <w:r w:rsidRPr="006A238E">
        <w:t xml:space="preserve"> 4, no. 2 (2025): 93–106.</w:t>
      </w:r>
    </w:p>
    <w:p w14:paraId="6B71F03F" w14:textId="321D3DDE" w:rsidR="00C30472" w:rsidRDefault="00D87771" w:rsidP="006A238E">
      <w:pPr>
        <w:ind w:left="360" w:hanging="360"/>
        <w:jc w:val="both"/>
      </w:pPr>
      <w:r>
        <w:fldChar w:fldCharType="end"/>
      </w:r>
    </w:p>
    <w:sectPr w:rsidR="00C30472">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enovo" w:date="2026-06-02T11:46:00Z" w:initials="D">
    <w:p w14:paraId="583F3DD1" w14:textId="77777777" w:rsidR="00B50B7B" w:rsidRDefault="00B50B7B" w:rsidP="00B50B7B">
      <w:pPr>
        <w:pStyle w:val="CommentText"/>
      </w:pPr>
      <w:r>
        <w:rPr>
          <w:rStyle w:val="CommentReference"/>
        </w:rPr>
        <w:annotationRef/>
      </w:r>
      <w:r>
        <w:t>Abstrak : belum ada Metodologi Penelitian</w:t>
      </w:r>
    </w:p>
  </w:comment>
  <w:comment w:id="1" w:author="Lenovo" w:date="2026-06-02T11:51:00Z" w:initials="D">
    <w:p w14:paraId="320E1C7D" w14:textId="77777777" w:rsidR="00B50B7B" w:rsidRDefault="00B50B7B" w:rsidP="00B50B7B">
      <w:pPr>
        <w:pStyle w:val="CommentText"/>
      </w:pPr>
      <w:r>
        <w:rPr>
          <w:rStyle w:val="CommentReference"/>
        </w:rPr>
        <w:annotationRef/>
      </w:r>
      <w:r>
        <w:t>Apa Novelty artikel ini di banding dengan penelitian-penelitian terdahulu. Rumuskan secara spesifik sesuai dengan judul, karena masih bias.</w:t>
      </w:r>
    </w:p>
  </w:comment>
  <w:comment w:id="2" w:author="Lenovo" w:date="2026-06-02T11:53:00Z" w:initials="D">
    <w:p w14:paraId="202BBF78" w14:textId="77777777" w:rsidR="00F93EF8" w:rsidRDefault="00B50B7B" w:rsidP="00F93EF8">
      <w:pPr>
        <w:pStyle w:val="CommentText"/>
      </w:pPr>
      <w:r>
        <w:rPr>
          <w:rStyle w:val="CommentReference"/>
        </w:rPr>
        <w:annotationRef/>
      </w:r>
      <w:r w:rsidR="00F93EF8">
        <w:t xml:space="preserve">Sebaiknya struktur ini menggunakan </w:t>
      </w:r>
      <w:r w:rsidR="00F93EF8">
        <w:rPr>
          <w:highlight w:val="yellow"/>
        </w:rPr>
        <w:t>struktur kiastik</w:t>
      </w:r>
      <w:r w:rsidR="00F93EF8">
        <w:t xml:space="preserve"> seperti yang sdr tuliskan di halaman 2, dan pokok pokok bahasan nya mengikuti struktur tersebut.</w:t>
      </w:r>
    </w:p>
  </w:comment>
  <w:comment w:id="3" w:author="Lenovo" w:date="2026-06-02T11:54:00Z" w:initials="D">
    <w:p w14:paraId="02729F51" w14:textId="61100E1F" w:rsidR="00B50B7B" w:rsidRDefault="00B50B7B" w:rsidP="00B50B7B">
      <w:pPr>
        <w:pStyle w:val="CommentText"/>
      </w:pPr>
      <w:r>
        <w:rPr>
          <w:rStyle w:val="CommentReference"/>
        </w:rPr>
        <w:annotationRef/>
      </w:r>
      <w:r>
        <w:t>Harusnya sebelum masuk dalam pembahasan, ada penjelasan mengenai genre liturgi  dan puisi yang digunakan dalam teks ini.</w:t>
      </w:r>
    </w:p>
  </w:comment>
  <w:comment w:id="4" w:author="Lenovo" w:date="2026-06-02T11:56:00Z" w:initials="D">
    <w:p w14:paraId="0FEBB6A1" w14:textId="77777777" w:rsidR="00DF1573" w:rsidRDefault="00DF1573" w:rsidP="00DF1573">
      <w:pPr>
        <w:pStyle w:val="CommentText"/>
      </w:pPr>
      <w:r>
        <w:rPr>
          <w:rStyle w:val="CommentReference"/>
        </w:rPr>
        <w:annotationRef/>
      </w:r>
      <w:r>
        <w:t xml:space="preserve">Yang di eksegese adalah kalimat dan kata kerja yang menunjukkan Allah sebagai agen langsung pembebasan. </w:t>
      </w:r>
    </w:p>
  </w:comment>
  <w:comment w:id="5" w:author="Lenovo" w:date="2026-06-02T11:58:00Z" w:initials="D">
    <w:p w14:paraId="472EB737" w14:textId="77777777" w:rsidR="00DF1573" w:rsidRDefault="00DF1573" w:rsidP="00DF1573">
      <w:pPr>
        <w:pStyle w:val="CommentText"/>
      </w:pPr>
      <w:r>
        <w:rPr>
          <w:rStyle w:val="CommentReference"/>
        </w:rPr>
        <w:annotationRef/>
      </w:r>
      <w:r>
        <w:t>Sebaiknya kata kata kerja penting sebagai predikat dalam teks ini di bahas lebih detail bukan obyek.</w:t>
      </w:r>
    </w:p>
  </w:comment>
  <w:comment w:id="6" w:author="Lenovo" w:date="2026-06-02T11:59:00Z" w:initials="D">
    <w:p w14:paraId="4BA0A025" w14:textId="77777777" w:rsidR="00DF1573" w:rsidRDefault="00DF1573" w:rsidP="00DF1573">
      <w:pPr>
        <w:pStyle w:val="CommentText"/>
      </w:pPr>
      <w:r>
        <w:rPr>
          <w:rStyle w:val="CommentReference"/>
        </w:rPr>
        <w:annotationRef/>
      </w:r>
      <w:r>
        <w:t>Yang di bahas dan ditonjolkan dalam bagian ini adalah kalimat atau kata-kata penting, kata kerja yang menunjuk kepada pengertian Pemerintahan Allah, Allah sebagai Raja, Allah memimpin, dst.</w:t>
      </w:r>
    </w:p>
  </w:comment>
  <w:comment w:id="7" w:author="Lenovo" w:date="2026-06-02T12:02:00Z" w:initials="D">
    <w:p w14:paraId="5A053FF7" w14:textId="77777777" w:rsidR="00DF1573" w:rsidRDefault="00DF1573" w:rsidP="00DF1573">
      <w:pPr>
        <w:pStyle w:val="CommentText"/>
      </w:pPr>
      <w:r>
        <w:rPr>
          <w:rStyle w:val="CommentReference"/>
        </w:rPr>
        <w:annotationRef/>
      </w:r>
      <w:r>
        <w:t>Yang di bahas teologi Pembebasan atau teologi panggilan? Apakah ada hubungan antara keduanya? Jika ada silahkan membahasnya supaya tidak terjadi bias tujuan tulisan ini !</w:t>
      </w:r>
    </w:p>
  </w:comment>
  <w:comment w:id="8" w:author="Lenovo" w:date="2026-06-02T12:03:00Z" w:initials="D">
    <w:p w14:paraId="1EFE1504" w14:textId="77777777" w:rsidR="00DF1573" w:rsidRDefault="00DF1573" w:rsidP="00DF1573">
      <w:pPr>
        <w:pStyle w:val="CommentText"/>
      </w:pPr>
      <w:r>
        <w:rPr>
          <w:rStyle w:val="CommentReference"/>
        </w:rPr>
        <w:annotationRef/>
      </w:r>
      <w:r>
        <w:t>Di bagian ini harusnya ditambahkan implikasi etis, implikasi misiologis seperti yang sudah sdr tulis dalam pendahuluan sebagai novelty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83F3DD1" w15:done="0"/>
  <w15:commentEx w15:paraId="320E1C7D" w15:done="0"/>
  <w15:commentEx w15:paraId="202BBF78" w15:done="0"/>
  <w15:commentEx w15:paraId="02729F51" w15:done="0"/>
  <w15:commentEx w15:paraId="0FEBB6A1" w15:done="0"/>
  <w15:commentEx w15:paraId="472EB737" w15:done="0"/>
  <w15:commentEx w15:paraId="4BA0A025" w15:done="0"/>
  <w15:commentEx w15:paraId="5A053FF7" w15:done="0"/>
  <w15:commentEx w15:paraId="1EFE150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E574F70" w16cex:dateUtc="2026-06-02T04:46:00Z"/>
  <w16cex:commentExtensible w16cex:durableId="47065274" w16cex:dateUtc="2026-06-02T04:51:00Z"/>
  <w16cex:commentExtensible w16cex:durableId="54E61F11" w16cex:dateUtc="2026-06-02T04:53:00Z"/>
  <w16cex:commentExtensible w16cex:durableId="440E56C1" w16cex:dateUtc="2026-06-02T04:54:00Z"/>
  <w16cex:commentExtensible w16cex:durableId="628EBF5B" w16cex:dateUtc="2026-06-02T04:56:00Z"/>
  <w16cex:commentExtensible w16cex:durableId="091C7579" w16cex:dateUtc="2026-06-02T04:58:00Z"/>
  <w16cex:commentExtensible w16cex:durableId="6C49A31F" w16cex:dateUtc="2026-06-02T04:59:00Z"/>
  <w16cex:commentExtensible w16cex:durableId="65D78487" w16cex:dateUtc="2026-06-02T05:02:00Z"/>
  <w16cex:commentExtensible w16cex:durableId="7CC09E45" w16cex:dateUtc="2026-06-02T05: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83F3DD1" w16cid:durableId="3E574F70"/>
  <w16cid:commentId w16cid:paraId="320E1C7D" w16cid:durableId="47065274"/>
  <w16cid:commentId w16cid:paraId="202BBF78" w16cid:durableId="54E61F11"/>
  <w16cid:commentId w16cid:paraId="02729F51" w16cid:durableId="440E56C1"/>
  <w16cid:commentId w16cid:paraId="0FEBB6A1" w16cid:durableId="628EBF5B"/>
  <w16cid:commentId w16cid:paraId="472EB737" w16cid:durableId="091C7579"/>
  <w16cid:commentId w16cid:paraId="4BA0A025" w16cid:durableId="6C49A31F"/>
  <w16cid:commentId w16cid:paraId="5A053FF7" w16cid:durableId="65D78487"/>
  <w16cid:commentId w16cid:paraId="1EFE1504" w16cid:durableId="7CC09E4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3BDE6" w14:textId="77777777" w:rsidR="00557CCA" w:rsidRDefault="00557CCA">
      <w:r>
        <w:separator/>
      </w:r>
    </w:p>
  </w:endnote>
  <w:endnote w:type="continuationSeparator" w:id="0">
    <w:p w14:paraId="143AA102" w14:textId="77777777" w:rsidR="00557CCA" w:rsidRDefault="00557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95524010-D800-4E2C-A700-0267FBF84717}"/>
    <w:embedBold r:id="rId2" w:fontKey="{BD86E181-75DE-4EA5-BE52-13B2D8948CFE}"/>
  </w:font>
  <w:font w:name="Calibri">
    <w:panose1 w:val="020F0502020204030204"/>
    <w:charset w:val="00"/>
    <w:family w:val="swiss"/>
    <w:pitch w:val="variable"/>
    <w:sig w:usb0="E4002EFF" w:usb1="C200247B" w:usb2="00000009" w:usb3="00000000" w:csb0="000001FF" w:csb1="00000000"/>
    <w:embedRegular r:id="rId3" w:fontKey="{590DEEE6-AC13-487E-AD4A-CA226DB49E3F}"/>
    <w:embedBold r:id="rId4" w:fontKey="{8F90F136-7E1C-493A-9D62-447C1C26415D}"/>
    <w:embedItalic r:id="rId5" w:fontKey="{5ACACE47-D0B2-4E4D-8DDA-3BAA38F45777}"/>
  </w:font>
  <w:font w:name="Calisto MT">
    <w:panose1 w:val="02040603050505030304"/>
    <w:charset w:val="00"/>
    <w:family w:val="roman"/>
    <w:pitch w:val="variable"/>
    <w:sig w:usb0="00000003" w:usb1="00000000" w:usb2="00000000" w:usb3="00000000" w:csb0="00000001" w:csb1="00000000"/>
    <w:embedRegular r:id="rId6" w:fontKey="{4DC973EF-598A-48CD-8D47-33E479AB1F95}"/>
    <w:embedBold r:id="rId7" w:fontKey="{E5F743A7-B9B0-40F1-B9E1-8598F7D553FD}"/>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568614CB-6746-4A2D-9596-56AFD02E8EDD}"/>
    <w:embedItalic r:id="rId9" w:fontKey="{80B8B370-7B95-45E3-B2E2-97ADDD0BF474}"/>
  </w:font>
  <w:font w:name="Lustria">
    <w:altName w:val="Cambria"/>
    <w:charset w:val="00"/>
    <w:family w:val="auto"/>
    <w:pitch w:val="default"/>
    <w:embedRegular r:id="rId10" w:fontKey="{E68548F2-1C7B-4A07-8494-06279FE764BA}"/>
    <w:embedBold r:id="rId11" w:fontKey="{78FC5CC0-0BE3-4CD8-AA99-0DAF0FB58CA5}"/>
    <w:embedItalic r:id="rId12" w:fontKey="{3087B8A2-FFFC-4BAC-B399-60C0F97554E1}"/>
  </w:font>
  <w:font w:name="EB Garamond">
    <w:altName w:val="Calibri"/>
    <w:charset w:val="00"/>
    <w:family w:val="auto"/>
    <w:pitch w:val="variable"/>
    <w:sig w:usb0="E00002FF" w:usb1="02000413" w:usb2="00000000" w:usb3="00000000" w:csb0="0000019F" w:csb1="00000000"/>
    <w:embedRegular r:id="rId13" w:fontKey="{4F49E859-6ECC-4A39-BDE9-C13881E63A15}"/>
  </w:font>
  <w:font w:name="Cambria">
    <w:panose1 w:val="02040503050406030204"/>
    <w:charset w:val="00"/>
    <w:family w:val="roman"/>
    <w:pitch w:val="variable"/>
    <w:sig w:usb0="E00006FF" w:usb1="420024FF" w:usb2="02000000" w:usb3="00000000" w:csb0="0000019F" w:csb1="00000000"/>
    <w:embedRegular r:id="rId14" w:fontKey="{AA30B0AB-7543-4C6E-B9A7-2F176A2211E0}"/>
    <w:embedBoldItalic r:id="rId15" w:fontKey="{103CF126-2ADA-4DDD-88DB-80AAF15D82EF}"/>
  </w:font>
  <w:font w:name="Garamond">
    <w:panose1 w:val="02020404030301010803"/>
    <w:charset w:val="00"/>
    <w:family w:val="roman"/>
    <w:pitch w:val="variable"/>
    <w:sig w:usb0="00000287" w:usb1="00000000" w:usb2="00000000" w:usb3="00000000" w:csb0="0000009F" w:csb1="00000000"/>
    <w:embedRegular r:id="rId16" w:fontKey="{715F8F9C-433B-4329-BB74-F337D92574F7}"/>
  </w:font>
  <w:font w:name="Corben">
    <w:charset w:val="00"/>
    <w:family w:val="auto"/>
    <w:pitch w:val="default"/>
    <w:embedRegular r:id="rId17" w:fontKey="{478F95D2-164F-4F35-A798-0ECAF57589A5}"/>
  </w:font>
  <w:font w:name="Verdana">
    <w:panose1 w:val="020B0604030504040204"/>
    <w:charset w:val="00"/>
    <w:family w:val="swiss"/>
    <w:pitch w:val="variable"/>
    <w:sig w:usb0="A00006FF" w:usb1="4000205B" w:usb2="00000010" w:usb3="00000000" w:csb0="0000019F" w:csb1="00000000"/>
    <w:embedRegular r:id="rId18" w:fontKey="{D3A090CE-5CA6-40BD-A37D-380B3628E267}"/>
    <w:embedBold r:id="rId19" w:fontKey="{2A934A51-AD80-4BF6-AAC2-7499BC5F2053}"/>
  </w:font>
  <w:font w:name="Ezra SIL">
    <w:panose1 w:val="02000400000000000000"/>
    <w:charset w:val="00"/>
    <w:family w:val="auto"/>
    <w:pitch w:val="variable"/>
    <w:sig w:usb0="00000803" w:usb1="40000000" w:usb2="00000000" w:usb3="00000000" w:csb0="00000021" w:csb1="00000000"/>
    <w:embedRegular r:id="rId20" w:fontKey="{809E29F3-903C-41E7-A70F-893A92D8F904}"/>
    <w:embedBold r:id="rId21" w:fontKey="{E70829D6-83EF-40D0-9AC3-929A6FB079AF}"/>
    <w:embedBoldItalic r:id="rId22" w:fontKey="{A074A0F8-0A6D-43D0-9206-9453C7D1BA4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A615EA">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6A238E">
      <w:rPr>
        <w:rFonts w:eastAsia="Times New Roman"/>
        <w:noProof/>
        <w:color w:val="000000"/>
        <w:sz w:val="22"/>
        <w:szCs w:val="22"/>
      </w:rPr>
      <w:t>4</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A615EA">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6A238E">
      <w:rPr>
        <w:rFonts w:eastAsia="Times New Roman"/>
        <w:noProof/>
        <w:color w:val="000000"/>
        <w:sz w:val="22"/>
        <w:szCs w:val="22"/>
      </w:rPr>
      <w:t>3</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A615EA">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1C8EE" w14:textId="77777777" w:rsidR="00557CCA" w:rsidRDefault="00557CCA">
      <w:r>
        <w:separator/>
      </w:r>
    </w:p>
  </w:footnote>
  <w:footnote w:type="continuationSeparator" w:id="0">
    <w:p w14:paraId="2B068548" w14:textId="77777777" w:rsidR="00557CCA" w:rsidRDefault="00557CCA">
      <w:r>
        <w:continuationSeparator/>
      </w:r>
    </w:p>
  </w:footnote>
  <w:footnote w:id="1">
    <w:p w14:paraId="4408BC71" w14:textId="327DD298" w:rsidR="00CC68EC" w:rsidRPr="00B64241" w:rsidRDefault="00CC68EC" w:rsidP="00CC68EC">
      <w:pPr>
        <w:pStyle w:val="FootnoteText"/>
        <w:rPr>
          <w:rFonts w:ascii="Times New Roman" w:hAnsi="Times New Roman" w:cs="Times New Roman"/>
        </w:rPr>
      </w:pPr>
      <w:r w:rsidRPr="000C6E79">
        <w:rPr>
          <w:rStyle w:val="FootnoteReference"/>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{"citationID":"74RlNmPM","properties":{"formattedCitation":"JAMES M HAMILTON JR, \\uc0\\u8220{}AUTHOR-INTENDED TYPOLOGY IN THE CHIASTIC STRUCTURE OF THE SONG OF THE SEA (EXODUS 15: 1\\uc0\\u8211{}21),\\uc0\\u8221{} {\\i{}Journal of the Evangelical Theological Society} 67, no. 3 (2024): 463\\uc0\\u8211{}74.","plainCitation":"JAMES M HAMILTON JR, “AUTHOR-INTENDED TYPOLOGY IN THE CHIASTIC STRUCTURE OF THE SONG OF THE SEA (EXODUS 15: 1–21),” Journal of the Evangelical Theological Society 67, no. 3 (2024): 463–74.","dontUpdate":true,"noteIndex":1},"citationItems":[{"id":110,"uris":["http://zotero.org/users/local/kfAXQwMK/items/JCDYBEKV"],"itemData":{"id":110,"type":"article-journal","container-title":"Journal of the Evangelical Theological Society","ISSN":"0360-8808","issue":"3","journalAbbreviation":"Journal of the Evangelical Theological Society","page":"463-474","title":"AUTHOR-INTENDED TYPOLOGY IN THE CHIASTIC STRUCTURE OF THE SONG OF THE SEA (EXODUS 15: 1–21)","volume":"67","author":[{"family":"HAMILTON JR","given":"JAMES M"}],"issued":{"date-parts":[["2024"]]}}}],"schema":"https://github.com/citation-style-language/schema/raw/master/csl-citation.json"} </w:instrText>
      </w:r>
      <w:r w:rsidRPr="00B64241">
        <w:rPr>
          <w:rFonts w:ascii="Times New Roman" w:hAnsi="Times New Roman" w:cs="Times New Roman"/>
        </w:rPr>
        <w:fldChar w:fldCharType="separate"/>
      </w:r>
      <w:r w:rsidR="006A238E" w:rsidRPr="005C72EE">
        <w:rPr>
          <w:rFonts w:ascii="Times New Roman" w:hAnsi="Times New Roman" w:cs="Times New Roman"/>
          <w:szCs w:val="24"/>
        </w:rPr>
        <w:t xml:space="preserve">James M Hamilton Jr, “Author-Intended Typology In The Chiastic Structure Of The Song Of The Sea (Exodus 15: 1–21),” </w:t>
      </w:r>
      <w:r w:rsidR="006A238E" w:rsidRPr="005C72EE">
        <w:rPr>
          <w:rFonts w:ascii="Times New Roman" w:hAnsi="Times New Roman" w:cs="Times New Roman"/>
          <w:i/>
          <w:iCs/>
          <w:szCs w:val="24"/>
        </w:rPr>
        <w:t>Journal Of The Evangelical Theological Society</w:t>
      </w:r>
      <w:r w:rsidR="006A238E" w:rsidRPr="005C72EE">
        <w:rPr>
          <w:rFonts w:ascii="Times New Roman" w:hAnsi="Times New Roman" w:cs="Times New Roman"/>
          <w:szCs w:val="24"/>
        </w:rPr>
        <w:t xml:space="preserve"> 67, No. 3 (2024): 463–74.</w:t>
      </w:r>
      <w:r w:rsidRPr="00B64241">
        <w:rPr>
          <w:rFonts w:ascii="Times New Roman" w:hAnsi="Times New Roman" w:cs="Times New Roman"/>
        </w:rPr>
        <w:fldChar w:fldCharType="end"/>
      </w:r>
    </w:p>
  </w:footnote>
  <w:footnote w:id="2">
    <w:p w14:paraId="1F75887A" w14:textId="30D677D0" w:rsidR="00883E68" w:rsidRDefault="00883E68" w:rsidP="00883E68">
      <w:pPr>
        <w:pStyle w:val="FootnoteText"/>
      </w:pPr>
      <w:r w:rsidRPr="000C6E79">
        <w:rPr>
          <w:rStyle w:val="FootnoteReference"/>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005C72EE">
        <w:rPr>
          <w:rFonts w:ascii="Times New Roman" w:hAnsi="Times New Roman" w:cs="Times New Roman"/>
        </w:rPr>
        <w:instrText xml:space="preserve"> ADDIN ZOTERO_ITEM CSL_CITATION {"citationID":"nNfKbTjO","properties":{"formattedCitation":"Craig A Evans, \\uc0\\u8220{}Celebrating Victory from the Sea of Reeds to the Eschatological Battle Field: Miriam\\uc0\\u8217{}s Timbrels and Dances in Exodus 15 and Beyond,\\uc0\\u8221{} {\\i{}Biblical Theology Bulletin} 51, no. 4 (2021): 206\\uc0\\u8211{}14.","plainCitation":"Craig A Evans, “Celebrating Victory from the Sea of Reeds to the Eschatological Battle Field: Miriam’s Timbrels and Dances in Exodus 15 and Beyond,” Biblical Theology Bulletin 51, no. 4 (2021): 206–14.","noteIndex":2},"citationItems":[{"id":111,"uris":["http://zotero.org/users/local/kfAXQwMK/items/Z9AAPRJS"],"itemData":{"id":111,"type":"article-journal","container-title":"Biblical theology bulletin","ISSN":"0146-1079","issue":"4","journalAbbreviation":"Biblical theology bulletin","note":"publisher: Sage Publications Sage UK: London, England","page":"206-214","title":"Celebrating Victory from the Sea of Reeds to the Eschatological Battle Field: Miriam’s Timbrels and Dances in Exodus 15 and Beyond","volume":"51","author":[{"family":"Evans","given":"Craig A"}],"issued":{"date-parts":[["2021"]]}}}],"schema":"https://github.com/citation-style-language/schema/raw/master/csl-citation.json"} </w:instrText>
      </w:r>
      <w:r w:rsidRPr="00B64241">
        <w:rPr>
          <w:rFonts w:ascii="Times New Roman" w:hAnsi="Times New Roman" w:cs="Times New Roman"/>
        </w:rPr>
        <w:fldChar w:fldCharType="separate"/>
      </w:r>
      <w:r w:rsidRPr="00B64241">
        <w:rPr>
          <w:rFonts w:ascii="Times New Roman" w:hAnsi="Times New Roman" w:cs="Times New Roman"/>
          <w:szCs w:val="24"/>
        </w:rPr>
        <w:t xml:space="preserve">Craig A Evans, “Celebrating Victory from the Sea of Reeds to the Eschatological Battle Field: Miriam’s Timbrels and Dances in Exodus 15 and Beyond,” </w:t>
      </w:r>
      <w:r w:rsidRPr="00B64241">
        <w:rPr>
          <w:rFonts w:ascii="Times New Roman" w:hAnsi="Times New Roman" w:cs="Times New Roman"/>
          <w:i/>
          <w:iCs/>
          <w:szCs w:val="24"/>
        </w:rPr>
        <w:t>Biblical Theology Bulletin</w:t>
      </w:r>
      <w:r w:rsidRPr="00B64241">
        <w:rPr>
          <w:rFonts w:ascii="Times New Roman" w:hAnsi="Times New Roman" w:cs="Times New Roman"/>
          <w:szCs w:val="24"/>
        </w:rPr>
        <w:t xml:space="preserve"> 51, no. 4 (2021): 206–14.</w:t>
      </w:r>
      <w:r w:rsidRPr="00B64241">
        <w:rPr>
          <w:rFonts w:ascii="Times New Roman" w:hAnsi="Times New Roman" w:cs="Times New Roman"/>
        </w:rPr>
        <w:fldChar w:fldCharType="end"/>
      </w:r>
    </w:p>
  </w:footnote>
  <w:footnote w:id="3">
    <w:p w14:paraId="7B017540" w14:textId="64147CFF" w:rsidR="00883E68" w:rsidRPr="00B64241" w:rsidRDefault="00883E68" w:rsidP="00883E68">
      <w:pPr>
        <w:pStyle w:val="FootnoteText"/>
        <w:rPr>
          <w:rFonts w:ascii="Times New Roman" w:hAnsi="Times New Roman" w:cs="Times New Roman"/>
        </w:rPr>
      </w:pPr>
      <w:r w:rsidRPr="000C6E79">
        <w:rPr>
          <w:rStyle w:val="FootnoteReference"/>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005C72EE">
        <w:rPr>
          <w:rFonts w:ascii="Times New Roman" w:hAnsi="Times New Roman" w:cs="Times New Roman"/>
        </w:rPr>
        <w:instrText xml:space="preserve"> ADDIN ZOTERO_ITEM CSL_CITATION {"citationID":"IQr0kpIe","properties":{"formattedCitation":"Dorcas Chebet Juma, \\uc0\\u8220{}The Theology of Music in African Spiritualities: A Post-COVID-19 Lens to Psalm 121 through Jerusalema,\\uc0\\u8221{} {\\i{}African Theological Journal for Church and Society, Vol. 6, No. 1 Pp. 264-284}, 2025.","plainCitation":"Dorcas Chebet Juma, “The Theology of Music in African Spiritualities: A Post-COVID-19 Lens to Psalm 121 through Jerusalema,” African Theological Journal for Church and Society, Vol. 6, No. 1 Pp. 264-284, 2025.","noteIndex":3},"citationItems":[{"id":113,"uris":["http://zotero.org/users/local/kfAXQwMK/items/MCH4J97W"],"itemData":{"id":113,"type":"article-journal","container-title":"African Theological Journal for Church and Society, vol. 6, no. 1 pp. 264-284","journalAbbreviation":"African Theological Journal for Church and Society, vol. 6, no. 1 pp. 264-284","title":"The Theology of Music in African Spiritualities: a Post-COVID-19 Lens to Psalm 121 through Jerusalema","author":[{"family":"Juma","given":"Dorcas Chebet"}],"issued":{"date-parts":[["2025"]]}}}],"schema":"https://github.com/citation-style-language/schema/raw/master/csl-citation.json"} </w:instrText>
      </w:r>
      <w:r w:rsidRPr="00B64241">
        <w:rPr>
          <w:rFonts w:ascii="Times New Roman" w:hAnsi="Times New Roman" w:cs="Times New Roman"/>
        </w:rPr>
        <w:fldChar w:fldCharType="separate"/>
      </w:r>
      <w:r w:rsidRPr="00B64241">
        <w:rPr>
          <w:rFonts w:ascii="Times New Roman" w:hAnsi="Times New Roman" w:cs="Times New Roman"/>
          <w:szCs w:val="24"/>
        </w:rPr>
        <w:t xml:space="preserve">Dorcas Chebet Juma, “The Theology of Music in African Spiritualities: A Post-COVID-19 Lens to Psalm 121 through Jerusalema,” </w:t>
      </w:r>
      <w:r w:rsidRPr="00B64241">
        <w:rPr>
          <w:rFonts w:ascii="Times New Roman" w:hAnsi="Times New Roman" w:cs="Times New Roman"/>
          <w:i/>
          <w:iCs/>
          <w:szCs w:val="24"/>
        </w:rPr>
        <w:t>African Theological Journal for Church and Society, Vol. 6, No. 1 Pp. 264-284</w:t>
      </w:r>
      <w:r w:rsidRPr="00B64241">
        <w:rPr>
          <w:rFonts w:ascii="Times New Roman" w:hAnsi="Times New Roman" w:cs="Times New Roman"/>
          <w:szCs w:val="24"/>
        </w:rPr>
        <w:t>, 2025.</w:t>
      </w:r>
      <w:r w:rsidRPr="00B64241">
        <w:rPr>
          <w:rFonts w:ascii="Times New Roman" w:hAnsi="Times New Roman" w:cs="Times New Roman"/>
        </w:rPr>
        <w:fldChar w:fldCharType="end"/>
      </w:r>
    </w:p>
  </w:footnote>
  <w:footnote w:id="4">
    <w:p w14:paraId="01FC1CA7" w14:textId="70289FFF" w:rsidR="00883E68" w:rsidRPr="00B64241" w:rsidRDefault="00883E68" w:rsidP="00883E68">
      <w:pPr>
        <w:pStyle w:val="FootnoteText"/>
        <w:rPr>
          <w:rFonts w:ascii="Times New Roman" w:hAnsi="Times New Roman" w:cs="Times New Roman"/>
        </w:rPr>
      </w:pPr>
      <w:r w:rsidRPr="000C6E79">
        <w:rPr>
          <w:rStyle w:val="FootnoteReference"/>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005C72EE">
        <w:rPr>
          <w:rFonts w:ascii="Times New Roman" w:hAnsi="Times New Roman" w:cs="Times New Roman"/>
        </w:rPr>
        <w:instrText xml:space="preserve"> ADDIN ZOTERO_ITEM CSL_CITATION {"citationID":"2xCVvpeQ","properties":{"formattedCitation":"M Justin Walker, \\uc0\\u8220{}Historical Narrativity in the Song of the Sea (Exodus 15: 1-18) and the Throneroom Reliefs of Ashurnasirpal II,\\uc0\\u8221{} {\\i{}Hebrew Bible and Ancient Israel} 13, no. 1 (2024): 1\\uc0\\u8211{}29.","plainCitation":"M Justin Walker, “Historical Narrativity in the Song of the Sea (Exodus 15: 1-18) and the Throneroom Reliefs of Ashurnasirpal II,” Hebrew Bible and Ancient Israel 13, no. 1 (2024): 1–29.","noteIndex":4},"citationItems":[{"id":114,"uris":["http://zotero.org/users/local/kfAXQwMK/items/E5F79TVR"],"itemData":{"id":114,"type":"article-journal","container-title":"Hebrew Bible and Ancient Israel","ISSN":"2192-2284","issue":"1","journalAbbreviation":"Hebrew Bible and Ancient Israel","note":"publisher: Mohr Siebeck GmbH &amp; Co. KG","page":"1-29","title":"Historical Narrativity in the Song of the Sea (Exodus 15: 1-18) and the Throneroom Reliefs of Ashurnasirpal II","volume":"13","author":[{"family":"Walker","given":"M Justin"}],"issued":{"date-parts":[["2024"]]}}}],"schema":"https://github.com/citation-style-language/schema/raw/master/csl-citation.json"} </w:instrText>
      </w:r>
      <w:r w:rsidRPr="00B64241">
        <w:rPr>
          <w:rFonts w:ascii="Times New Roman" w:hAnsi="Times New Roman" w:cs="Times New Roman"/>
        </w:rPr>
        <w:fldChar w:fldCharType="separate"/>
      </w:r>
      <w:r w:rsidRPr="00B64241">
        <w:rPr>
          <w:rFonts w:ascii="Times New Roman" w:hAnsi="Times New Roman" w:cs="Times New Roman"/>
          <w:szCs w:val="24"/>
        </w:rPr>
        <w:t xml:space="preserve">M Justin Walker, “Historical Narrativity in the Song of the Sea (Exodus 15: 1-18) and the Throneroom Reliefs of Ashurnasirpal II,” </w:t>
      </w:r>
      <w:r w:rsidRPr="00B64241">
        <w:rPr>
          <w:rFonts w:ascii="Times New Roman" w:hAnsi="Times New Roman" w:cs="Times New Roman"/>
          <w:i/>
          <w:iCs/>
          <w:szCs w:val="24"/>
        </w:rPr>
        <w:t>Hebrew Bible and Ancient Israel</w:t>
      </w:r>
      <w:r w:rsidRPr="00B64241">
        <w:rPr>
          <w:rFonts w:ascii="Times New Roman" w:hAnsi="Times New Roman" w:cs="Times New Roman"/>
          <w:szCs w:val="24"/>
        </w:rPr>
        <w:t xml:space="preserve"> 13, no. 1 (2024): 1–29.</w:t>
      </w:r>
      <w:r w:rsidRPr="00B64241">
        <w:rPr>
          <w:rFonts w:ascii="Times New Roman" w:hAnsi="Times New Roman" w:cs="Times New Roman"/>
        </w:rPr>
        <w:fldChar w:fldCharType="end"/>
      </w:r>
    </w:p>
  </w:footnote>
  <w:footnote w:id="5">
    <w:p w14:paraId="3FE3E4A5" w14:textId="3694171F" w:rsidR="00883E68" w:rsidRPr="00B64241" w:rsidRDefault="00883E68" w:rsidP="00883E68">
      <w:pPr>
        <w:pStyle w:val="FootnoteText"/>
        <w:rPr>
          <w:rFonts w:ascii="Times New Roman" w:hAnsi="Times New Roman" w:cs="Times New Roman"/>
        </w:rPr>
      </w:pPr>
      <w:r w:rsidRPr="000C6E79">
        <w:rPr>
          <w:rStyle w:val="FootnoteReference"/>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005C72EE">
        <w:rPr>
          <w:rFonts w:ascii="Times New Roman" w:hAnsi="Times New Roman" w:cs="Times New Roman"/>
        </w:rPr>
        <w:instrText xml:space="preserve"> ADDIN ZOTERO_ITEM CSL_CITATION {"citationID":"d5yTYHsG","properties":{"formattedCitation":"Philip Suciadi Chia and Juanda Juanda, \\uc0\\u8220{}How Does Song of Moses in the Exodus 15: 8-14, Teach Education?(LXX-Rahlfs),\\uc0\\u8221{} {\\i{}Journal Didaskalia} 5, no. 2 (2022): 67\\uc0\\u8211{}73.","plainCitation":"Philip Suciadi Chia and Juanda Juanda, “How Does Song of Moses in the Exodus 15: 8-14, Teach Education?(LXX-Rahlfs),” Journal Didaskalia 5, no. 2 (2022): 67–73.","noteIndex":5},"citationItems":[{"id":115,"uris":["http://zotero.org/users/local/kfAXQwMK/items/BK92J5EG"],"itemData":{"id":115,"type":"article-journal","container-title":"Journal Didaskalia","ISSN":"2621-8054","issue":"2","journalAbbreviation":"Journal Didaskalia","page":"67-73","title":"How Does Song of Moses in the Exodus 15: 8-14, Teach Education?(LXX-Rahlfs)","volume":"5","author":[{"family":"Chia","given":"Philip Suciadi"},{"family":"Juanda","given":"Juanda"}],"issued":{"date-parts":[["2022"]]}}}],"schema":"https://github.com/citation-style-language/schema/raw/master/csl-citation.json"} </w:instrText>
      </w:r>
      <w:r w:rsidRPr="00B64241">
        <w:rPr>
          <w:rFonts w:ascii="Times New Roman" w:hAnsi="Times New Roman" w:cs="Times New Roman"/>
        </w:rPr>
        <w:fldChar w:fldCharType="separate"/>
      </w:r>
      <w:r w:rsidRPr="00B64241">
        <w:rPr>
          <w:rFonts w:ascii="Times New Roman" w:hAnsi="Times New Roman" w:cs="Times New Roman"/>
          <w:szCs w:val="24"/>
        </w:rPr>
        <w:t xml:space="preserve">Philip Suciadi Chia and Juanda Juanda, “How Does Song of Moses in the Exodus 15: 8-14, Teach Education?(LXX-Rahlfs),” </w:t>
      </w:r>
      <w:r w:rsidRPr="00B64241">
        <w:rPr>
          <w:rFonts w:ascii="Times New Roman" w:hAnsi="Times New Roman" w:cs="Times New Roman"/>
          <w:i/>
          <w:iCs/>
          <w:szCs w:val="24"/>
        </w:rPr>
        <w:t>Journal Didaskalia</w:t>
      </w:r>
      <w:r w:rsidRPr="00B64241">
        <w:rPr>
          <w:rFonts w:ascii="Times New Roman" w:hAnsi="Times New Roman" w:cs="Times New Roman"/>
          <w:szCs w:val="24"/>
        </w:rPr>
        <w:t xml:space="preserve"> 5, no. 2 (2022): 67–73.</w:t>
      </w:r>
      <w:r w:rsidRPr="00B64241">
        <w:rPr>
          <w:rFonts w:ascii="Times New Roman" w:hAnsi="Times New Roman" w:cs="Times New Roman"/>
        </w:rPr>
        <w:fldChar w:fldCharType="end"/>
      </w:r>
    </w:p>
  </w:footnote>
  <w:footnote w:id="6">
    <w:p w14:paraId="24C76DB4" w14:textId="06BECB0F" w:rsidR="00883E68" w:rsidRDefault="00883E68" w:rsidP="00883E68">
      <w:pPr>
        <w:pStyle w:val="FootnoteText"/>
      </w:pPr>
      <w:r w:rsidRPr="000C6E79">
        <w:rPr>
          <w:rStyle w:val="FootnoteReference"/>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005C72EE">
        <w:rPr>
          <w:rFonts w:ascii="Times New Roman" w:hAnsi="Times New Roman" w:cs="Times New Roman"/>
        </w:rPr>
        <w:instrText xml:space="preserve"> ADDIN ZOTERO_ITEM CSL_CITATION {"citationID":"86JvAoaE","properties":{"formattedCitation":"Ruth F Davis, \\uc0\\u8220{}From Wax Cylinder to Metal Disc: Transplanting Robert Lachmann\\uc0\\u8217{}s \\uc0\\u8216{}Oriental Music\\uc0\\u8217{} Project from Berlin to Jerusalem on the Eve of World War II,\\uc0\\u8221{} {\\i{}The World of Music (New Series)} 12, no. 2 (2023).","plainCitation":"Ruth F Davis, “From Wax Cylinder to Metal Disc: Transplanting Robert Lachmann’s ‘Oriental Music’ Project from Berlin to Jerusalem on the Eve of World War II,” The World of Music (New Series) 12, no. 2 (2023).","dontUpdate":true,"noteIndex":6},"citationItems":[{"id":116,"uris":["http://zotero.org/users/local/kfAXQwMK/items/U9UEBWGJ"],"itemData":{"id":116,"type":"article-journal","container-title":"the world of music (new series)","ISSN":"2941-3680","issue":"2","journalAbbreviation":"the world of music (new series)","title":"From Wax Cylinder to Metal Disc: Transplanting Robert Lachmann’s “Oriental Music” Project from Berlin to Jerusalem on the Eve of World War II","volume":"12","author":[{"family":"Davis","given":"Ruth F"}],"issued":{"date-parts":[["2023"]]}}}],"schema":"https://github.com/citation-style-language/schema/raw/master/csl-citation.json"} </w:instrText>
      </w:r>
      <w:r w:rsidRPr="00B64241">
        <w:rPr>
          <w:rFonts w:ascii="Times New Roman" w:hAnsi="Times New Roman" w:cs="Times New Roman"/>
        </w:rPr>
        <w:fldChar w:fldCharType="separate"/>
      </w:r>
      <w:r w:rsidRPr="00B64241">
        <w:rPr>
          <w:rFonts w:ascii="Times New Roman" w:hAnsi="Times New Roman" w:cs="Times New Roman"/>
          <w:szCs w:val="24"/>
        </w:rPr>
        <w:t xml:space="preserve">Ruth F Davis, “From Wax Cylinder to Metal Disc: Transplanting Robert Lachmann’s ‘Oriental Music’ Project from Berlin to Jerusalem on the Eve of World War II,” </w:t>
      </w:r>
      <w:r w:rsidRPr="00B64241">
        <w:rPr>
          <w:rFonts w:ascii="Times New Roman" w:hAnsi="Times New Roman" w:cs="Times New Roman"/>
          <w:i/>
          <w:iCs/>
          <w:szCs w:val="24"/>
        </w:rPr>
        <w:t>The World of Music (New Series)</w:t>
      </w:r>
      <w:r w:rsidRPr="00B64241">
        <w:rPr>
          <w:rFonts w:ascii="Times New Roman" w:hAnsi="Times New Roman" w:cs="Times New Roman"/>
          <w:szCs w:val="24"/>
        </w:rPr>
        <w:t xml:space="preserve"> 12, no. 2 (2023)</w:t>
      </w:r>
      <w:r w:rsidR="006C5D82">
        <w:rPr>
          <w:rFonts w:ascii="Times New Roman" w:hAnsi="Times New Roman" w:cs="Times New Roman"/>
          <w:szCs w:val="24"/>
        </w:rPr>
        <w:t xml:space="preserve"> 22</w:t>
      </w:r>
      <w:r w:rsidRPr="00B64241">
        <w:rPr>
          <w:rFonts w:ascii="Times New Roman" w:hAnsi="Times New Roman" w:cs="Times New Roman"/>
          <w:szCs w:val="24"/>
        </w:rPr>
        <w:t>.</w:t>
      </w:r>
      <w:r w:rsidRPr="00B64241">
        <w:rPr>
          <w:rFonts w:ascii="Times New Roman" w:hAnsi="Times New Roman" w:cs="Times New Roman"/>
        </w:rPr>
        <w:fldChar w:fldCharType="end"/>
      </w:r>
      <w:r w:rsidR="002A52B9">
        <w:rPr>
          <w:rFonts w:ascii="Times New Roman" w:hAnsi="Times New Roman" w:cs="Times New Roman"/>
        </w:rPr>
        <w:t xml:space="preserve"> </w:t>
      </w:r>
    </w:p>
  </w:footnote>
  <w:footnote w:id="7">
    <w:p w14:paraId="1B78D9B9" w14:textId="2975FAD3" w:rsidR="005C72EE" w:rsidRPr="00D2239B" w:rsidRDefault="005C72EE">
      <w:pPr>
        <w:pStyle w:val="FootnoteText"/>
        <w:rPr>
          <w:rFonts w:ascii="Times New Roman" w:hAnsi="Times New Roman" w:cs="Times New Roman"/>
        </w:rPr>
      </w:pPr>
      <w:r w:rsidRPr="00D2239B">
        <w:rPr>
          <w:rStyle w:val="FootnoteReference"/>
          <w:rFonts w:ascii="Times New Roman" w:hAnsi="Times New Roman" w:cs="Times New Roman"/>
        </w:rPr>
        <w:footnoteRef/>
      </w:r>
      <w:r w:rsidRPr="00D2239B">
        <w:rPr>
          <w:rFonts w:ascii="Times New Roman" w:hAnsi="Times New Roman" w:cs="Times New Roman"/>
        </w:rPr>
        <w:t xml:space="preserve"> </w:t>
      </w:r>
      <w:r w:rsidRPr="00D2239B">
        <w:rPr>
          <w:rFonts w:ascii="Times New Roman" w:hAnsi="Times New Roman" w:cs="Times New Roman"/>
        </w:rPr>
        <w:fldChar w:fldCharType="begin"/>
      </w:r>
      <w:r w:rsidR="003A2E9E">
        <w:rPr>
          <w:rFonts w:ascii="Times New Roman" w:hAnsi="Times New Roman" w:cs="Times New Roman"/>
        </w:rPr>
        <w:instrText xml:space="preserve"> ADDIN ZOTERO_ITEM CSL_CITATION {"citationID":"umh9C2Tu","properties":{"formattedCitation":"Sitompul Aa, {\\i{}Metode Penafsiran Alkitab} (BPK Gunung Mulia, 2008).","plainCitation":"Sitompul Aa, Metode Penafsiran Alkitab (BPK Gunung Mulia, 2008).","dontUpdate":true,"noteIndex":7},"citationItems":[{"id":143,"uris":["http://zotero.org/users/local/kfAXQwMK/items/Z6XAMFV6"],"itemData":{"id":143,"type":"book","ISBN":"979-415-556-X","publisher":"BPK Gunung Mulia","title":"Metode Penafsiran Alkitab","author":[{"family":"Aa","given":"Sitompul"}],"issued":{"date-parts":[["2008"]]}}}],"schema":"https://github.com/citation-style-language/schema/raw/master/csl-citation.json"} </w:instrText>
      </w:r>
      <w:r w:rsidRPr="00D2239B">
        <w:rPr>
          <w:rFonts w:ascii="Times New Roman" w:hAnsi="Times New Roman" w:cs="Times New Roman"/>
        </w:rPr>
        <w:fldChar w:fldCharType="separate"/>
      </w:r>
      <w:r w:rsidRPr="00D2239B">
        <w:rPr>
          <w:rFonts w:ascii="Times New Roman" w:hAnsi="Times New Roman" w:cs="Times New Roman"/>
          <w:szCs w:val="24"/>
        </w:rPr>
        <w:t xml:space="preserve">Sitompul Aa, </w:t>
      </w:r>
      <w:r w:rsidRPr="00D2239B">
        <w:rPr>
          <w:rFonts w:ascii="Times New Roman" w:hAnsi="Times New Roman" w:cs="Times New Roman"/>
          <w:i/>
          <w:iCs/>
          <w:szCs w:val="24"/>
        </w:rPr>
        <w:t>Metode Penafsiran Alkitab</w:t>
      </w:r>
      <w:r w:rsidRPr="00D2239B">
        <w:rPr>
          <w:rFonts w:ascii="Times New Roman" w:hAnsi="Times New Roman" w:cs="Times New Roman"/>
          <w:szCs w:val="24"/>
        </w:rPr>
        <w:t xml:space="preserve"> (BPK Gunung Mulia, 2008), 27.</w:t>
      </w:r>
      <w:r w:rsidRPr="00D2239B">
        <w:rPr>
          <w:rFonts w:ascii="Times New Roman" w:hAnsi="Times New Roman" w:cs="Times New Roman"/>
        </w:rPr>
        <w:fldChar w:fldCharType="end"/>
      </w:r>
    </w:p>
  </w:footnote>
  <w:footnote w:id="8">
    <w:p w14:paraId="67724EAD" w14:textId="3FCEDAE0" w:rsidR="005C72EE" w:rsidRDefault="005C72EE">
      <w:pPr>
        <w:pStyle w:val="FootnoteText"/>
      </w:pPr>
      <w:r w:rsidRPr="00D2239B">
        <w:rPr>
          <w:rStyle w:val="FootnoteReference"/>
          <w:rFonts w:ascii="Times New Roman" w:hAnsi="Times New Roman" w:cs="Times New Roman"/>
        </w:rPr>
        <w:footnoteRef/>
      </w:r>
      <w:r w:rsidRPr="00D2239B">
        <w:rPr>
          <w:rFonts w:ascii="Times New Roman" w:hAnsi="Times New Roman" w:cs="Times New Roman"/>
        </w:rPr>
        <w:t xml:space="preserve"> </w:t>
      </w:r>
      <w:r w:rsidRPr="00D2239B">
        <w:rPr>
          <w:rFonts w:ascii="Times New Roman" w:hAnsi="Times New Roman" w:cs="Times New Roman"/>
        </w:rPr>
        <w:fldChar w:fldCharType="begin"/>
      </w:r>
      <w:r w:rsidRPr="00D2239B">
        <w:rPr>
          <w:rFonts w:ascii="Times New Roman" w:hAnsi="Times New Roman" w:cs="Times New Roman"/>
        </w:rPr>
        <w:instrText xml:space="preserve"> ADDIN ZOTERO_ITEM CSL_CITATION {"citationID":"7Ax5iZ7V","properties":{"formattedCitation":"Emanuel Martasudjita, {\\i{}Liturgi: Pengantar Untuk Studi Dan Praksis Liturgi} (PT Kanisius, 2011).","plainCitation":"Emanuel Martasudjita, Liturgi: Pengantar Untuk Studi Dan Praksis Liturgi (PT Kanisius, 2011).","noteIndex":8},"citationItems":[{"id":144,"uris":["http://zotero.org/users/local/kfAXQwMK/items/7J4BU7VF"],"itemData":{"id":144,"type":"book","ISBN":"979-21-4523-0","publisher":"PT Kanisius","title":"Liturgi: Pengantar untuk Studi dan Praksis Liturgi","author":[{"family":"Martasudjita","given":"Emanuel"}],"issued":{"date-parts":[["2011"]]}}}],"schema":"https://github.com/citation-style-language/schema/raw/master/csl-citation.json"} </w:instrText>
      </w:r>
      <w:r w:rsidRPr="00D2239B">
        <w:rPr>
          <w:rFonts w:ascii="Times New Roman" w:hAnsi="Times New Roman" w:cs="Times New Roman"/>
        </w:rPr>
        <w:fldChar w:fldCharType="separate"/>
      </w:r>
      <w:r w:rsidRPr="00D2239B">
        <w:rPr>
          <w:rFonts w:ascii="Times New Roman" w:hAnsi="Times New Roman" w:cs="Times New Roman"/>
          <w:szCs w:val="24"/>
        </w:rPr>
        <w:t xml:space="preserve">Emanuel Martasudjita, </w:t>
      </w:r>
      <w:r w:rsidRPr="00D2239B">
        <w:rPr>
          <w:rFonts w:ascii="Times New Roman" w:hAnsi="Times New Roman" w:cs="Times New Roman"/>
          <w:i/>
          <w:iCs/>
          <w:szCs w:val="24"/>
        </w:rPr>
        <w:t>Liturgi: Pengantar Untuk Studi Dan Praksis Liturgi</w:t>
      </w:r>
      <w:r w:rsidRPr="00D2239B">
        <w:rPr>
          <w:rFonts w:ascii="Times New Roman" w:hAnsi="Times New Roman" w:cs="Times New Roman"/>
          <w:szCs w:val="24"/>
        </w:rPr>
        <w:t xml:space="preserve"> (PT Kanisius, 2011).</w:t>
      </w:r>
      <w:r w:rsidRPr="00D2239B">
        <w:rPr>
          <w:rFonts w:ascii="Times New Roman" w:hAnsi="Times New Roman" w:cs="Times New Roman"/>
        </w:rPr>
        <w:fldChar w:fldCharType="end"/>
      </w:r>
    </w:p>
  </w:footnote>
  <w:footnote w:id="9">
    <w:p w14:paraId="753D2FC2" w14:textId="05B93E69"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3A2E9E">
        <w:rPr>
          <w:rFonts w:ascii="Times New Roman" w:hAnsi="Times New Roman" w:cs="Times New Roman"/>
        </w:rPr>
        <w:instrText xml:space="preserve"> ADDIN ZOTERO_ITEM CSL_CITATION {"citationID":"oXC4xc89","properties":{"formattedCitation":"Walter Brueggemann, \\uc0\\u8220{}Theology of the Old Testament: Testimony, Dispute, Advocacy Revisited,\\uc0\\u8221{} {\\i{}The Catholic Biblical Quarterly} 74, no. 1 (2012): 28\\uc0\\u8211{}38.","plainCitation":"Walter Brueggemann, “Theology of the Old Testament: Testimony, Dispute, Advocacy Revisited,” The Catholic Biblical Quarterly 74, no. 1 (2012): 28–38.","noteIndex":9},"citationItems":[{"id":117,"uris":["http://zotero.org/users/local/kfAXQwMK/items/L4M3279P"],"itemData":{"id":117,"type":"article-journal","container-title":"The catholic biblical quarterly","ISSN":"0008-7912","issue":"1","journalAbbreviation":"The catholic biblical quarterly","note":"publisher: JSTOR","page":"28-38","title":"Theology of the Old Testament: Testimony, dispute, advocacy revisited","volume":"74","author":[{"family":"Brueggemann","given":"Walter"}],"issued":{"date-parts":[["2012"]]}}}],"schema":"https://github.com/citation-style-language/schema/raw/master/csl-citation.json"}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szCs w:val="24"/>
        </w:rPr>
        <w:t xml:space="preserve">Walter Brueggemann, “Theology of the Old Testament: Testimony, Dispute, Advocacy Revisited,” </w:t>
      </w:r>
      <w:r w:rsidRPr="00307628">
        <w:rPr>
          <w:rFonts w:ascii="Times New Roman" w:hAnsi="Times New Roman" w:cs="Times New Roman"/>
          <w:i/>
          <w:iCs/>
          <w:szCs w:val="24"/>
        </w:rPr>
        <w:t>The Catholic Biblical Quarterly</w:t>
      </w:r>
      <w:r w:rsidRPr="00307628">
        <w:rPr>
          <w:rFonts w:ascii="Times New Roman" w:hAnsi="Times New Roman" w:cs="Times New Roman"/>
          <w:szCs w:val="24"/>
        </w:rPr>
        <w:t xml:space="preserve"> 74, no. 1 (2012): 28–38.</w:t>
      </w:r>
      <w:r w:rsidRPr="00307628">
        <w:rPr>
          <w:rFonts w:ascii="Times New Roman" w:hAnsi="Times New Roman" w:cs="Times New Roman"/>
        </w:rPr>
        <w:fldChar w:fldCharType="end"/>
      </w:r>
    </w:p>
  </w:footnote>
  <w:footnote w:id="10">
    <w:p w14:paraId="4F4841AA" w14:textId="08F6978C" w:rsidR="003A2E9E" w:rsidRPr="00617C10" w:rsidRDefault="003A2E9E">
      <w:pPr>
        <w:pStyle w:val="FootnoteText"/>
        <w:rPr>
          <w:rFonts w:ascii="Times New Roman" w:hAnsi="Times New Roman" w:cs="Times New Roman"/>
        </w:rPr>
      </w:pPr>
      <w:r>
        <w:rPr>
          <w:rStyle w:val="FootnoteReference"/>
        </w:rPr>
        <w:footnoteRef/>
      </w:r>
      <w:r w:rsidR="00617C10">
        <w:t xml:space="preserve"> </w:t>
      </w:r>
      <w:r w:rsidRPr="00617C10">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{"citationID":"TzJyVOCF","properties":{"formattedCitation":"Vinus Zai et al., \\uc0\\u8220{}MISI ALLAH BERDASARKAN KITAB KELUARAN,\\uc0\\u8221{} {\\i{}THEOLOGIA INSANI: Jurnal Theologia, Pendidikan, Dan Misiologia Integratif} 4, no. 2 (2025): 93\\uc0\\u8211{}106.","plainCitation":"Vinus Zai et al., “MISI ALLAH BERDASARKAN KITAB KELUARAN,” THEOLOGIA INSANI: Jurnal Theologia, Pendidikan, Dan Misiologia Integratif 4, no. 2 (2025): 93–106.","dontUpdate":true,"noteIndex":10},"citationItems":[{"id":145,"uris":["http://zotero.org/users/local/kfAXQwMK/items/ZW9HRPTZ"],"itemData":{"id":145,"type":"article-journal","container-title":"THEOLOGIA INSANI: Jurnal Theologia, Pendidikan, dan Misiologia Integratif","ISSN":"2810-0778","issue":"2","journalAbbreviation":"THEOLOGIA INSANI: Jurnal Theologia, Pendidikan, dan Misiologia Integratif","page":"93-106","title":"MISI ALLAH BERDASARKAN KITAB KELUARAN","volume":"4","author":[{"family":"Zai","given":"Vinus"},{"family":"Zalukhu","given":"Daniel"},{"family":"Dewanto","given":"Yohanes"}],"issued":{"date-parts":[["2025"]]}}}],"schema":"https://github.com/citation-style-language/schema/raw/master/csl-citation.json"} </w:instrText>
      </w:r>
      <w:r w:rsidRPr="00617C10">
        <w:rPr>
          <w:rFonts w:ascii="Times New Roman" w:hAnsi="Times New Roman" w:cs="Times New Roman"/>
        </w:rPr>
        <w:fldChar w:fldCharType="separate"/>
      </w:r>
      <w:r w:rsidR="00617C10" w:rsidRPr="00617C10">
        <w:rPr>
          <w:rFonts w:ascii="Times New Roman" w:hAnsi="Times New Roman" w:cs="Times New Roman"/>
          <w:szCs w:val="24"/>
        </w:rPr>
        <w:t xml:space="preserve">Vinus Zai Et Al., “Misi Allah Berdasarkan Kitab Keluaran,” </w:t>
      </w:r>
      <w:r w:rsidR="00617C10" w:rsidRPr="00617C10">
        <w:rPr>
          <w:rFonts w:ascii="Times New Roman" w:hAnsi="Times New Roman" w:cs="Times New Roman"/>
          <w:i/>
          <w:iCs/>
          <w:szCs w:val="24"/>
        </w:rPr>
        <w:t>Theologia Insani: Jurnal Theologia, Pendidikan, Dan Misiologia Integratif</w:t>
      </w:r>
      <w:r w:rsidR="00617C10" w:rsidRPr="00617C10">
        <w:rPr>
          <w:rFonts w:ascii="Times New Roman" w:hAnsi="Times New Roman" w:cs="Times New Roman"/>
          <w:szCs w:val="24"/>
        </w:rPr>
        <w:t xml:space="preserve"> 4, No. 2 (2025): 93–106.</w:t>
      </w:r>
      <w:r w:rsidRPr="00617C10">
        <w:rPr>
          <w:rFonts w:ascii="Times New Roman" w:hAnsi="Times New Roman" w:cs="Times New Roman"/>
        </w:rPr>
        <w:fldChar w:fldCharType="end"/>
      </w:r>
    </w:p>
  </w:footnote>
  <w:footnote w:id="11">
    <w:p w14:paraId="6DFD0471" w14:textId="44A2B26E" w:rsidR="00EC45E8" w:rsidRPr="00463070" w:rsidRDefault="00EC45E8">
      <w:pPr>
        <w:pStyle w:val="FootnoteText"/>
        <w:rPr>
          <w:rFonts w:ascii="Times New Roman" w:hAnsi="Times New Roman" w:cs="Times New Roman"/>
        </w:rPr>
      </w:pPr>
      <w:r w:rsidRPr="00463070">
        <w:rPr>
          <w:rStyle w:val="FootnoteReference"/>
          <w:rFonts w:ascii="Times New Roman" w:hAnsi="Times New Roman" w:cs="Times New Roman"/>
        </w:rPr>
        <w:footnoteRef/>
      </w:r>
      <w:r w:rsidRPr="00463070">
        <w:rPr>
          <w:rFonts w:ascii="Times New Roman" w:hAnsi="Times New Roman" w:cs="Times New Roman"/>
        </w:rPr>
        <w:t xml:space="preserve"> </w:t>
      </w:r>
      <w:r w:rsidRPr="00463070">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{"citationID":"auniulfp3f","properties":{"formattedCitation":"Janes Sinaga et al., \\uc0\\u8220{}Bukti Penyertaan Tuhan Melalui Perjalanan Bangsa Israel Menyeberangi Laut Teberau Berdasarkan Keluaran 13: 17\\uc0\\u8211{}14: 1-31,\\uc0\\u8221{} {\\i{}Logos}, 2022, 143\\uc0\\u8211{}52.","plainCitation":"Janes Sinaga et al., “Bukti Penyertaan Tuhan Melalui Perjalanan Bangsa Israel Menyeberangi Laut Teberau Berdasarkan Keluaran 13: 17–14: 1-31,” Logos, 2022, 143–52.","noteIndex":11},"citationItems":[{"id":148,"uris":["http://zotero.org/users/local/kfAXQwMK/items/JRIU2RJS"],"itemData":{"id":148,"type":"article-journal","container-title":"Logos","ISSN":"2776-7485","journalAbbreviation":"Logos","page":"143-152","title":"Bukti Penyertaan Tuhan Melalui Perjalanan Bangsa Israel Menyeberangi Laut Teberau Berdasarkan Keluaran 13: 17–14: 1-31","author":[{"family":"Sinaga","given":"Janes"},{"family":"Kurniawan","given":"Raden Deddy"},{"family":"Sinambela","given":"Juita Lusiana"}],"issued":{"date-parts":[["2022"]]}}}],"schema":"https://github.com/citation-style-language/schema/raw/master/csl-citation.json"} </w:instrText>
      </w:r>
      <w:r w:rsidRPr="00463070">
        <w:rPr>
          <w:rFonts w:ascii="Times New Roman" w:hAnsi="Times New Roman" w:cs="Times New Roman"/>
        </w:rPr>
        <w:fldChar w:fldCharType="separate"/>
      </w:r>
      <w:r w:rsidR="006A238E" w:rsidRPr="006A238E">
        <w:rPr>
          <w:rFonts w:ascii="Times New Roman" w:hAnsi="Times New Roman" w:cs="Times New Roman"/>
          <w:szCs w:val="24"/>
        </w:rPr>
        <w:t xml:space="preserve">Janes Sinaga et al., “Bukti Penyertaan Tuhan Melalui Perjalanan Bangsa Israel Menyeberangi Laut Teberau Berdasarkan Keluaran 13: 17–14: 1-31,” </w:t>
      </w:r>
      <w:r w:rsidR="006A238E" w:rsidRPr="006A238E">
        <w:rPr>
          <w:rFonts w:ascii="Times New Roman" w:hAnsi="Times New Roman" w:cs="Times New Roman"/>
          <w:i/>
          <w:iCs/>
          <w:szCs w:val="24"/>
        </w:rPr>
        <w:t>Logos</w:t>
      </w:r>
      <w:r w:rsidR="006A238E" w:rsidRPr="006A238E">
        <w:rPr>
          <w:rFonts w:ascii="Times New Roman" w:hAnsi="Times New Roman" w:cs="Times New Roman"/>
          <w:szCs w:val="24"/>
        </w:rPr>
        <w:t>, 2022, 143–52.</w:t>
      </w:r>
      <w:r w:rsidRPr="00463070">
        <w:rPr>
          <w:rFonts w:ascii="Times New Roman" w:hAnsi="Times New Roman" w:cs="Times New Roman"/>
        </w:rPr>
        <w:fldChar w:fldCharType="end"/>
      </w:r>
    </w:p>
  </w:footnote>
  <w:footnote w:id="12">
    <w:p w14:paraId="295857C7" w14:textId="0F66D864" w:rsidR="002F3114" w:rsidRPr="00463070" w:rsidRDefault="002F3114">
      <w:pPr>
        <w:pStyle w:val="FootnoteText"/>
        <w:rPr>
          <w:rFonts w:ascii="Times New Roman" w:hAnsi="Times New Roman" w:cs="Times New Roman"/>
        </w:rPr>
      </w:pPr>
      <w:r w:rsidRPr="00463070">
        <w:rPr>
          <w:rStyle w:val="FootnoteReference"/>
          <w:rFonts w:ascii="Times New Roman" w:hAnsi="Times New Roman" w:cs="Times New Roman"/>
        </w:rPr>
        <w:footnoteRef/>
      </w:r>
      <w:r w:rsidRPr="00463070">
        <w:rPr>
          <w:rFonts w:ascii="Times New Roman" w:hAnsi="Times New Roman" w:cs="Times New Roman"/>
        </w:rPr>
        <w:t xml:space="preserve"> </w:t>
      </w:r>
      <w:r w:rsidRPr="00463070">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{"citationID":"a1b5s9ta179","properties":{"formattedCitation":"\\uldash{JAMES M HAMILTON JR, \\uc0\\u8220{}AUTHOR-INTENDED TYPOLOGY IN THE CHIASTIC STRUCTURE OF THE SONG OF THE SEA (EXODUS 15: 1\\uc0\\u8211{}21),\\uc0\\u8221{} {\\i{}Journal of the Evangelical Theological Society} 67, no. 3 (2024): 463\\uc0\\u8211{}74.}","plainCitation":"JAMES M HAMILTON JR, “AUTHOR-INTENDED TYPOLOGY IN THE CHIASTIC STRUCTURE OF THE SONG OF THE SEA (EXODUS 15: 1–21),” Journal of the Evangelical Theological Society 67, no. 3 (2024): 463–74.","dontUpdate":true,"noteIndex":12},"citationItems":[{"id":149,"uris":["http://zotero.org/users/local/kfAXQwMK/items/9KWRNHND"],"itemData":{"id":149,"type":"article-journal","container-title":"Journal of the Evangelical Theological Society","ISSN":"0360-8808","issue":"3","journalAbbreviation":"Journal of the Evangelical Theological Society","page":"463-474","title":"AUTHOR-INTENDED TYPOLOGY IN THE CHIASTIC STRUCTURE OF THE SONG OF THE SEA (EXODUS 15: 1–21)","volume":"67","author":[{"family":"HAMILTON JR","given":"JAMES M"}],"issued":{"date-parts":[["2024"]]}}}],"schema":"https://github.com/citation-style-language/schema/raw/master/csl-citation.json"} </w:instrText>
      </w:r>
      <w:r w:rsidRPr="00463070">
        <w:rPr>
          <w:rFonts w:ascii="Times New Roman" w:hAnsi="Times New Roman" w:cs="Times New Roman"/>
        </w:rPr>
        <w:fldChar w:fldCharType="separate"/>
      </w:r>
      <w:r w:rsidR="00463070" w:rsidRPr="00463070">
        <w:rPr>
          <w:rFonts w:ascii="Times New Roman" w:hAnsi="Times New Roman" w:cs="Times New Roman"/>
          <w:szCs w:val="24"/>
        </w:rPr>
        <w:t xml:space="preserve">james M Hamilton Jr, “Author-Intended Typology In The Chiastic Structure Of The Song Of The Sea (Exodus 15: 1–21),” </w:t>
      </w:r>
      <w:r w:rsidR="00463070" w:rsidRPr="00463070">
        <w:rPr>
          <w:rFonts w:ascii="Times New Roman" w:hAnsi="Times New Roman" w:cs="Times New Roman"/>
          <w:i/>
          <w:iCs/>
          <w:szCs w:val="24"/>
        </w:rPr>
        <w:t>Journal Of The Evangelical Theological Society</w:t>
      </w:r>
      <w:r w:rsidR="00463070" w:rsidRPr="00463070">
        <w:rPr>
          <w:rFonts w:ascii="Times New Roman" w:hAnsi="Times New Roman" w:cs="Times New Roman"/>
          <w:szCs w:val="24"/>
        </w:rPr>
        <w:t xml:space="preserve"> 67, No. 3 (2024)</w:t>
      </w:r>
      <w:r w:rsidRPr="00463070">
        <w:rPr>
          <w:rFonts w:ascii="Times New Roman" w:hAnsi="Times New Roman" w:cs="Times New Roman"/>
          <w:szCs w:val="24"/>
        </w:rPr>
        <w:t>: 463–74.</w:t>
      </w:r>
      <w:r w:rsidRPr="00463070">
        <w:rPr>
          <w:rFonts w:ascii="Times New Roman" w:hAnsi="Times New Roman" w:cs="Times New Roman"/>
        </w:rPr>
        <w:fldChar w:fldCharType="end"/>
      </w:r>
    </w:p>
  </w:footnote>
  <w:footnote w:id="13">
    <w:p w14:paraId="0D61F2A6" w14:textId="5879CB82" w:rsidR="002F3114" w:rsidRPr="00463070" w:rsidRDefault="002F3114">
      <w:pPr>
        <w:pStyle w:val="FootnoteText"/>
        <w:rPr>
          <w:rFonts w:ascii="Times New Roman" w:hAnsi="Times New Roman" w:cs="Times New Roman"/>
        </w:rPr>
      </w:pPr>
      <w:r w:rsidRPr="00463070">
        <w:rPr>
          <w:rStyle w:val="FootnoteReference"/>
          <w:rFonts w:ascii="Times New Roman" w:hAnsi="Times New Roman" w:cs="Times New Roman"/>
        </w:rPr>
        <w:footnoteRef/>
      </w:r>
      <w:r w:rsidRPr="00463070">
        <w:rPr>
          <w:rFonts w:ascii="Times New Roman" w:hAnsi="Times New Roman" w:cs="Times New Roman"/>
        </w:rPr>
        <w:t xml:space="preserve"> </w:t>
      </w:r>
      <w:r w:rsidRPr="00463070">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{"citationID":"a1c36lbkfc8","properties":{"formattedCitation":"Chia and Juanda, \\uc0\\u8220{}How Does Song of Moses in the Exodus 15: 8-14, Teach Education?(LXX-Rahlfs).\\uc0\\u8221{}","plainCitation":"Chia and Juanda, “How Does Song of Moses in the Exodus 15: 8-14, Teach Education?(LXX-Rahlfs).”","noteIndex":13},"citationItems":[{"id":115,"uris":["http://zotero.org/users/local/kfAXQwMK/items/BK92J5EG"],"itemData":{"id":115,"type":"article-journal","container-title":"Journal Didaskalia","ISSN":"2621-8054","issue":"2","journalAbbreviation":"Journal Didaskalia","page":"67-73","title":"How Does Song of Moses in the Exodus 15: 8-14, Teach Education?(LXX-Rahlfs)","volume":"5","author":[{"family":"Chia","given":"Philip Suciadi"},{"family":"Juanda","given":"Juanda"}],"issued":{"date-parts":[["2022"]]}}}],"schema":"https://github.com/citation-style-language/schema/raw/master/csl-citation.json"} </w:instrText>
      </w:r>
      <w:r w:rsidRPr="00463070">
        <w:rPr>
          <w:rFonts w:ascii="Times New Roman" w:hAnsi="Times New Roman" w:cs="Times New Roman"/>
        </w:rPr>
        <w:fldChar w:fldCharType="separate"/>
      </w:r>
      <w:r w:rsidR="006A238E" w:rsidRPr="006A238E">
        <w:rPr>
          <w:rFonts w:ascii="Times New Roman" w:hAnsi="Times New Roman" w:cs="Times New Roman"/>
          <w:szCs w:val="24"/>
        </w:rPr>
        <w:t>Chia and Juanda, “How Does Song of Moses in the Exodus 15: 8-14, Teach Education?(LXX-Rahlfs).”</w:t>
      </w:r>
      <w:r w:rsidRPr="00463070">
        <w:rPr>
          <w:rFonts w:ascii="Times New Roman" w:hAnsi="Times New Roman" w:cs="Times New Roman"/>
        </w:rPr>
        <w:fldChar w:fldCharType="end"/>
      </w:r>
    </w:p>
  </w:footnote>
  <w:footnote w:id="14">
    <w:p w14:paraId="56B202BC" w14:textId="441E25EB" w:rsidR="00463070" w:rsidRDefault="00463070">
      <w:pPr>
        <w:pStyle w:val="FootnoteText"/>
      </w:pPr>
      <w:r w:rsidRPr="00463070">
        <w:rPr>
          <w:rStyle w:val="FootnoteReference"/>
          <w:rFonts w:ascii="Times New Roman" w:hAnsi="Times New Roman" w:cs="Times New Roman"/>
        </w:rPr>
        <w:footnoteRef/>
      </w:r>
      <w:r w:rsidRPr="00463070">
        <w:rPr>
          <w:rFonts w:ascii="Times New Roman" w:hAnsi="Times New Roman" w:cs="Times New Roman"/>
        </w:rPr>
        <w:t xml:space="preserve"> </w:t>
      </w:r>
      <w:r w:rsidRPr="00463070">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{"citationID":"a21mrs8sd4k","properties":{"formattedCitation":"Collium Banda, \\uc0\\u8220{}Whatever Happened to God\\uc0\\u8217{}s Holiness? The Holiness of God and the Theological Authenticity of the South African Neo-Pentecostal Prophetic Activities,\\uc0\\u8221{} {\\i{}Verbum et Ecclesia} 42, no. 1 (2021): 1\\uc0\\u8211{}10.","plainCitation":"Collium Banda, “Whatever Happened to God’s Holiness? The Holiness of God and the Theological Authenticity of the South African Neo-Pentecostal Prophetic Activities,” Verbum et Ecclesia 42, no. 1 (2021): 1–10.","noteIndex":14},"citationItems":[{"id":150,"uris":["http://zotero.org/users/local/kfAXQwMK/items/Y7XBFPCC"],"itemData":{"id":150,"type":"article-journal","container-title":"Verbum et Ecclesia","ISSN":"2074-7705","issue":"1","journalAbbreviation":"Verbum et Ecclesia","note":"publisher: AOSIS Publishing","page":"1-10","title":"Whatever happened to God's holiness? The holiness of God and the theological authenticity of the South African neo-Pentecostal prophetic activities","volume":"42","author":[{"family":"Banda","given":"Collium"}],"issued":{"date-parts":[["2021"]]}}}],"schema":"https://github.com/citation-style-language/schema/raw/master/csl-citation.json"} </w:instrText>
      </w:r>
      <w:r w:rsidRPr="00463070">
        <w:rPr>
          <w:rFonts w:ascii="Times New Roman" w:hAnsi="Times New Roman" w:cs="Times New Roman"/>
        </w:rPr>
        <w:fldChar w:fldCharType="separate"/>
      </w:r>
      <w:r w:rsidR="006A238E" w:rsidRPr="006A238E">
        <w:rPr>
          <w:rFonts w:ascii="Times New Roman" w:hAnsi="Times New Roman" w:cs="Times New Roman"/>
          <w:szCs w:val="24"/>
        </w:rPr>
        <w:t xml:space="preserve">Collium Banda, “Whatever Happened to God’s Holiness? The Holiness of God and the Theological Authenticity of the South African Neo-Pentecostal Prophetic Activities,” </w:t>
      </w:r>
      <w:r w:rsidR="006A238E" w:rsidRPr="006A238E">
        <w:rPr>
          <w:rFonts w:ascii="Times New Roman" w:hAnsi="Times New Roman" w:cs="Times New Roman"/>
          <w:i/>
          <w:iCs/>
          <w:szCs w:val="24"/>
        </w:rPr>
        <w:t>Verbum et Ecclesia</w:t>
      </w:r>
      <w:r w:rsidR="006A238E" w:rsidRPr="006A238E">
        <w:rPr>
          <w:rFonts w:ascii="Times New Roman" w:hAnsi="Times New Roman" w:cs="Times New Roman"/>
          <w:szCs w:val="24"/>
        </w:rPr>
        <w:t xml:space="preserve"> 42, no. 1 (2021): 1–10.</w:t>
      </w:r>
      <w:r w:rsidRPr="00463070">
        <w:rPr>
          <w:rFonts w:ascii="Times New Roman" w:hAnsi="Times New Roman" w:cs="Times New Roman"/>
        </w:rPr>
        <w:fldChar w:fldCharType="end"/>
      </w:r>
    </w:p>
  </w:footnote>
  <w:footnote w:id="15">
    <w:p w14:paraId="56705154" w14:textId="3FF827F8" w:rsidR="0041226C" w:rsidRPr="0041226C" w:rsidRDefault="0041226C">
      <w:pPr>
        <w:pStyle w:val="FootnoteText"/>
        <w:rPr>
          <w:rFonts w:ascii="Times New Roman" w:hAnsi="Times New Roman" w:cs="Times New Roman"/>
        </w:rPr>
      </w:pPr>
      <w:r>
        <w:rPr>
          <w:rStyle w:val="FootnoteReference"/>
        </w:rPr>
        <w:footnoteRef/>
      </w:r>
      <w:r>
        <w:t xml:space="preserve"> </w:t>
      </w:r>
      <w:r w:rsidRPr="0041226C">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{"citationID":"a1r58u6p2n4","properties":{"formattedCitation":"Rabbi Yonatan Neril and Rabbi Leo Dee, \\uc0\\u8220{}Eco Bible, Vol. 1: An Ecological Commentary on Genesis and Exodus,\\uc0\\u8221{} {\\i{}Norderstedt: The Interfaith Center for Sustainable Development}, 2020.","plainCitation":"Rabbi Yonatan Neril and Rabbi Leo Dee, “Eco Bible, Vol. 1: An Ecological Commentary on Genesis and Exodus,” Norderstedt: The Interfaith Center for Sustainable Development, 2020.","noteIndex":15},"citationItems":[{"id":152,"uris":["http://zotero.org/users/local/kfAXQwMK/items/JQ9FXHT5"],"itemData":{"id":152,"type":"article-journal","container-title":"Norderstedt: The Interfaith Center for Sustainable Development","journalAbbreviation":"Norderstedt: The Interfaith Center for Sustainable Development","title":"Eco Bible, Vol. 1: An Ecological Commentary on Genesis and Exodus","author":[{"family":"Neril","given":"Rabbi Yonatan"},{"family":"Dee","given":"Rabbi Leo"}],"issued":{"date-parts":[["2020"]]}}}],"schema":"https://github.com/citation-style-language/schema/raw/master/csl-citation.json"} </w:instrText>
      </w:r>
      <w:r w:rsidRPr="0041226C">
        <w:rPr>
          <w:rFonts w:ascii="Times New Roman" w:hAnsi="Times New Roman" w:cs="Times New Roman"/>
        </w:rPr>
        <w:fldChar w:fldCharType="separate"/>
      </w:r>
      <w:r w:rsidR="006A238E" w:rsidRPr="006A238E">
        <w:rPr>
          <w:rFonts w:ascii="Times New Roman" w:hAnsi="Times New Roman" w:cs="Times New Roman"/>
          <w:szCs w:val="24"/>
        </w:rPr>
        <w:t xml:space="preserve">Rabbi Yonatan Neril and Rabbi Leo Dee, “Eco Bible, Vol. 1: An Ecological Commentary on Genesis and Exodus,” </w:t>
      </w:r>
      <w:r w:rsidR="006A238E" w:rsidRPr="006A238E">
        <w:rPr>
          <w:rFonts w:ascii="Times New Roman" w:hAnsi="Times New Roman" w:cs="Times New Roman"/>
          <w:i/>
          <w:iCs/>
          <w:szCs w:val="24"/>
        </w:rPr>
        <w:t>Norderstedt: The Interfaith Center for Sustainable Development</w:t>
      </w:r>
      <w:r w:rsidR="006A238E" w:rsidRPr="006A238E">
        <w:rPr>
          <w:rFonts w:ascii="Times New Roman" w:hAnsi="Times New Roman" w:cs="Times New Roman"/>
          <w:szCs w:val="24"/>
        </w:rPr>
        <w:t>, 2020.</w:t>
      </w:r>
      <w:r w:rsidRPr="0041226C">
        <w:rPr>
          <w:rFonts w:ascii="Times New Roman" w:hAnsi="Times New Roman" w:cs="Times New Roman"/>
        </w:rPr>
        <w:fldChar w:fldCharType="end"/>
      </w:r>
    </w:p>
  </w:footnote>
  <w:footnote w:id="16">
    <w:p w14:paraId="7BCB0DBE" w14:textId="0E61D243" w:rsidR="0010267E" w:rsidRPr="00004F06" w:rsidRDefault="0010267E" w:rsidP="0010267E">
      <w:pPr>
        <w:pStyle w:val="FootnoteText"/>
        <w:rPr>
          <w:rFonts w:ascii="Times New Roman" w:hAnsi="Times New Roman" w:cs="Times New Roman"/>
        </w:rPr>
      </w:pPr>
      <w:r w:rsidRPr="000C6E79">
        <w:rPr>
          <w:rStyle w:val="FootnoteReference"/>
        </w:rPr>
        <w:footnoteRef/>
      </w:r>
      <w:r w:rsidRPr="00004F06">
        <w:rPr>
          <w:rFonts w:ascii="Times New Roman" w:hAnsi="Times New Roman" w:cs="Times New Roman"/>
        </w:rPr>
        <w:t xml:space="preserve"> </w:t>
      </w:r>
      <w:r w:rsidRPr="00004F06">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{"citationID":"UYWDbkil","properties":{"formattedCitation":"Terence E Fretheim, \\uc0\\u8220{}Exodus: Interpretation, A Bible Commentary for Teaching and Preaching,\\uc0\\u8221{} {\\i{}Louisville, Ky.: Knox, Publication}, 1991.","plainCitation":"Terence E Fretheim, “Exodus: Interpretation, A Bible Commentary for Teaching and Preaching,” Louisville, Ky.: Knox, Publication, 1991.","noteIndex":16},"citationItems":[{"id":119,"uris":["http://zotero.org/users/local/kfAXQwMK/items/7IWT3GS7"],"itemData":{"id":119,"type":"article-journal","container-title":"Louisville, Ky.: Knox, Publication","journalAbbreviation":"Louisville, Ky.: Knox, Publication","title":"Exodus: Interpretation, A Bible Commentary for Teaching and Preaching","author":[{"family":"Fretheim","given":"Terence E"}],"issued":{"date-parts":[["1991"]]}}}],"schema":"https://github.com/citation-style-language/schema/raw/master/csl-citation.json"} </w:instrText>
      </w:r>
      <w:r w:rsidRPr="00004F06">
        <w:rPr>
          <w:rFonts w:ascii="Times New Roman" w:hAnsi="Times New Roman" w:cs="Times New Roman"/>
        </w:rPr>
        <w:fldChar w:fldCharType="separate"/>
      </w:r>
      <w:r w:rsidR="006A238E" w:rsidRPr="006A238E">
        <w:rPr>
          <w:rFonts w:ascii="Times New Roman" w:hAnsi="Times New Roman" w:cs="Times New Roman"/>
          <w:szCs w:val="24"/>
        </w:rPr>
        <w:t xml:space="preserve">Terence E Fretheim, “Exodus: Interpretation, A Bible Commentary for Teaching and Preaching,” </w:t>
      </w:r>
      <w:r w:rsidR="006A238E" w:rsidRPr="006A238E">
        <w:rPr>
          <w:rFonts w:ascii="Times New Roman" w:hAnsi="Times New Roman" w:cs="Times New Roman"/>
          <w:i/>
          <w:iCs/>
          <w:szCs w:val="24"/>
        </w:rPr>
        <w:t>Louisville, Ky.: Knox, Publication</w:t>
      </w:r>
      <w:r w:rsidR="006A238E" w:rsidRPr="006A238E">
        <w:rPr>
          <w:rFonts w:ascii="Times New Roman" w:hAnsi="Times New Roman" w:cs="Times New Roman"/>
          <w:szCs w:val="24"/>
        </w:rPr>
        <w:t>, 1991.</w:t>
      </w:r>
      <w:r w:rsidRPr="00004F06">
        <w:rPr>
          <w:rFonts w:ascii="Times New Roman" w:hAnsi="Times New Roman" w:cs="Times New Roman"/>
        </w:rPr>
        <w:fldChar w:fldCharType="end"/>
      </w:r>
    </w:p>
  </w:footnote>
  <w:footnote w:id="17">
    <w:p w14:paraId="078A247E" w14:textId="49F956B4" w:rsidR="00DC1DDC" w:rsidRPr="00DC1DDC" w:rsidRDefault="00DC1DDC">
      <w:pPr>
        <w:pStyle w:val="FootnoteText"/>
        <w:rPr>
          <w:rFonts w:ascii="Times New Roman" w:hAnsi="Times New Roman" w:cs="Times New Roman"/>
        </w:rPr>
      </w:pPr>
      <w:r w:rsidRPr="00DC1DDC">
        <w:rPr>
          <w:rStyle w:val="FootnoteReference"/>
          <w:rFonts w:ascii="Times New Roman" w:hAnsi="Times New Roman" w:cs="Times New Roman"/>
        </w:rPr>
        <w:footnoteRef/>
      </w:r>
      <w:r w:rsidRPr="00DC1DDC">
        <w:rPr>
          <w:rFonts w:ascii="Times New Roman" w:hAnsi="Times New Roman" w:cs="Times New Roman"/>
        </w:rPr>
        <w:t xml:space="preserve"> </w:t>
      </w:r>
      <w:r w:rsidRPr="00DC1DDC">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{"citationID":"a32b5l56ag","properties":{"formattedCitation":"\\uldash{Victor P Hamilton, {\\i{}Exodus: An Exegetical Commentary} (Baker Academic, 2011).}","plainCitation":"Victor P Hamilton, Exodus: An Exegetical Commentary (Baker Academic, 2011).","dontUpdate":true,"noteIndex":17},"citationItems":[{"id":153,"uris":["http://zotero.org/users/local/kfAXQwMK/items/5MVFKC44"],"itemData":{"id":153,"type":"book","ISBN":"0-8010-3183-4","publisher":"Baker Academic","title":"Exodus: An exegetical commentary","author":[{"family":"Hamilton","given":"Victor P"}],"issued":{"date-parts":[["2011"]]}}}],"schema":"https://github.com/citation-style-language/schema/raw/master/csl-citation.json"} </w:instrText>
      </w:r>
      <w:r w:rsidRPr="00DC1DDC">
        <w:rPr>
          <w:rFonts w:ascii="Times New Roman" w:hAnsi="Times New Roman" w:cs="Times New Roman"/>
        </w:rPr>
        <w:fldChar w:fldCharType="separate"/>
      </w:r>
      <w:r w:rsidRPr="00DC1DDC">
        <w:rPr>
          <w:rFonts w:ascii="Times New Roman" w:hAnsi="Times New Roman" w:cs="Times New Roman"/>
          <w:szCs w:val="24"/>
        </w:rPr>
        <w:t xml:space="preserve">Victor P Hamilton, </w:t>
      </w:r>
      <w:r w:rsidRPr="00DC1DDC">
        <w:rPr>
          <w:rFonts w:ascii="Times New Roman" w:hAnsi="Times New Roman" w:cs="Times New Roman"/>
          <w:i/>
          <w:iCs/>
          <w:szCs w:val="24"/>
        </w:rPr>
        <w:t>Exodus: An Exegetical Commentary</w:t>
      </w:r>
      <w:r w:rsidRPr="00DC1DDC">
        <w:rPr>
          <w:rFonts w:ascii="Times New Roman" w:hAnsi="Times New Roman" w:cs="Times New Roman"/>
          <w:szCs w:val="24"/>
        </w:rPr>
        <w:t xml:space="preserve"> (Baker Academic, 2011)</w:t>
      </w:r>
      <w:r>
        <w:rPr>
          <w:rFonts w:ascii="Times New Roman" w:hAnsi="Times New Roman" w:cs="Times New Roman"/>
          <w:szCs w:val="24"/>
        </w:rPr>
        <w:t>, 252</w:t>
      </w:r>
      <w:r w:rsidRPr="00DC1DDC">
        <w:rPr>
          <w:rFonts w:ascii="Times New Roman" w:hAnsi="Times New Roman" w:cs="Times New Roman"/>
          <w:szCs w:val="24"/>
        </w:rPr>
        <w:t>.</w:t>
      </w:r>
      <w:r w:rsidRPr="00DC1DDC">
        <w:rPr>
          <w:rFonts w:ascii="Times New Roman" w:hAnsi="Times New Roman" w:cs="Times New Roman"/>
        </w:rPr>
        <w:fldChar w:fldCharType="end"/>
      </w:r>
    </w:p>
  </w:footnote>
  <w:footnote w:id="18">
    <w:p w14:paraId="53E3075B" w14:textId="7F48573D" w:rsidR="00E33216" w:rsidRPr="00E33216" w:rsidRDefault="00E33216">
      <w:pPr>
        <w:pStyle w:val="FootnoteText"/>
        <w:rPr>
          <w:rFonts w:ascii="Times New Roman" w:hAnsi="Times New Roman" w:cs="Times New Roman"/>
        </w:rPr>
      </w:pPr>
      <w:r w:rsidRPr="00E33216">
        <w:rPr>
          <w:rStyle w:val="FootnoteReference"/>
          <w:rFonts w:ascii="Times New Roman" w:hAnsi="Times New Roman" w:cs="Times New Roman"/>
        </w:rPr>
        <w:footnoteRef/>
      </w:r>
      <w:r w:rsidRPr="00E33216">
        <w:rPr>
          <w:rFonts w:ascii="Times New Roman" w:hAnsi="Times New Roman" w:cs="Times New Roman"/>
        </w:rPr>
        <w:t xml:space="preserve"> </w:t>
      </w:r>
      <w:r w:rsidRPr="00E33216">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{"citationID":"a1uq1u99a5","properties":{"formattedCitation":"\\uldash{Christopher JH Wright, {\\i{}Exodus} (Zondervan Academic, 2021).}","plainCitation":"Christopher JH Wright, Exodus (Zondervan Academic, 2021).","dontUpdate":true,"noteIndex":18},"citationItems":[{"id":155,"uris":["http://zotero.org/users/local/kfAXQwMK/items/XCFX63SV"],"itemData":{"id":155,"type":"book","ISBN":"0-310-49071-5","publisher":"Zondervan Academic","title":"Exodus","author":[{"family":"Wright","given":"Christopher JH"}],"issued":{"date-parts":[["2021"]]}}}],"schema":"https://github.com/citation-style-language/schema/raw/master/csl-citation.json"} </w:instrText>
      </w:r>
      <w:r w:rsidRPr="00E33216">
        <w:rPr>
          <w:rFonts w:ascii="Times New Roman" w:hAnsi="Times New Roman" w:cs="Times New Roman"/>
        </w:rPr>
        <w:fldChar w:fldCharType="separate"/>
      </w:r>
      <w:r w:rsidRPr="00E33216">
        <w:rPr>
          <w:rFonts w:ascii="Times New Roman" w:hAnsi="Times New Roman" w:cs="Times New Roman"/>
          <w:szCs w:val="24"/>
        </w:rPr>
        <w:t xml:space="preserve">Christopher JH Wright, </w:t>
      </w:r>
      <w:r w:rsidRPr="00E33216">
        <w:rPr>
          <w:rFonts w:ascii="Times New Roman" w:hAnsi="Times New Roman" w:cs="Times New Roman"/>
          <w:i/>
          <w:iCs/>
          <w:szCs w:val="24"/>
        </w:rPr>
        <w:t>Exodus</w:t>
      </w:r>
      <w:r w:rsidRPr="00E33216">
        <w:rPr>
          <w:rFonts w:ascii="Times New Roman" w:hAnsi="Times New Roman" w:cs="Times New Roman"/>
          <w:szCs w:val="24"/>
        </w:rPr>
        <w:t xml:space="preserve"> (Zondervan Academic, 2021)</w:t>
      </w:r>
      <w:r>
        <w:rPr>
          <w:rFonts w:ascii="Times New Roman" w:hAnsi="Times New Roman" w:cs="Times New Roman"/>
          <w:szCs w:val="24"/>
        </w:rPr>
        <w:t>, 296</w:t>
      </w:r>
      <w:r w:rsidRPr="00E33216">
        <w:rPr>
          <w:rFonts w:ascii="Times New Roman" w:hAnsi="Times New Roman" w:cs="Times New Roman"/>
          <w:szCs w:val="24"/>
        </w:rPr>
        <w:t>.</w:t>
      </w:r>
      <w:r w:rsidRPr="00E33216">
        <w:rPr>
          <w:rFonts w:ascii="Times New Roman" w:hAnsi="Times New Roman" w:cs="Times New Roman"/>
        </w:rPr>
        <w:fldChar w:fldCharType="end"/>
      </w:r>
    </w:p>
  </w:footnote>
  <w:footnote w:id="19">
    <w:p w14:paraId="66693A21" w14:textId="00F87832" w:rsidR="00E33216" w:rsidRDefault="00E33216">
      <w:pPr>
        <w:pStyle w:val="FootnoteText"/>
      </w:pPr>
      <w:r>
        <w:rPr>
          <w:rStyle w:val="FootnoteReference"/>
        </w:rPr>
        <w:footnoteRef/>
      </w:r>
      <w:r w:rsidRPr="00E33216">
        <w:rPr>
          <w:rFonts w:ascii="Times New Roman" w:hAnsi="Times New Roman" w:cs="Times New Roman"/>
        </w:rPr>
        <w:t xml:space="preserve"> </w:t>
      </w:r>
      <w:r w:rsidRPr="00E33216">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{"citationID":"a1d44t8k5hh","properties":{"formattedCitation":"\\uldash{Victor P Hamilton, {\\i{}Exodus: An Exegetical Commentary} (Baker Academic, 2011).}","plainCitation":"Victor P Hamilton, Exodus: An Exegetical Commentary (Baker Academic, 2011).","dontUpdate":true,"noteIndex":19},"citationItems":[{"id":153,"uris":["http://zotero.org/users/local/kfAXQwMK/items/5MVFKC44"],"itemData":{"id":153,"type":"book","ISBN":"0-8010-3183-4","publisher":"Baker Academic","title":"Exodus: An exegetical commentary","author":[{"family":"Hamilton","given":"Victor P"}],"issued":{"date-parts":[["2011"]]}}}],"schema":"https://github.com/citation-style-language/schema/raw/master/csl-citation.json"} </w:instrText>
      </w:r>
      <w:r w:rsidRPr="00E33216">
        <w:rPr>
          <w:rFonts w:ascii="Times New Roman" w:hAnsi="Times New Roman" w:cs="Times New Roman"/>
        </w:rPr>
        <w:fldChar w:fldCharType="separate"/>
      </w:r>
      <w:r w:rsidRPr="00E33216">
        <w:rPr>
          <w:rFonts w:ascii="Times New Roman" w:hAnsi="Times New Roman" w:cs="Times New Roman"/>
          <w:szCs w:val="24"/>
        </w:rPr>
        <w:t xml:space="preserve">Victor P Hamilton, </w:t>
      </w:r>
      <w:r w:rsidRPr="00E33216">
        <w:rPr>
          <w:rFonts w:ascii="Times New Roman" w:hAnsi="Times New Roman" w:cs="Times New Roman"/>
          <w:i/>
          <w:iCs/>
          <w:szCs w:val="24"/>
        </w:rPr>
        <w:t>Exodus: An Exegetical Commentary</w:t>
      </w:r>
      <w:r w:rsidRPr="00E33216">
        <w:rPr>
          <w:rFonts w:ascii="Times New Roman" w:hAnsi="Times New Roman" w:cs="Times New Roman"/>
          <w:szCs w:val="24"/>
        </w:rPr>
        <w:t xml:space="preserve"> (Baker Academic, 2011)</w:t>
      </w:r>
      <w:r w:rsidR="006A238E">
        <w:rPr>
          <w:rFonts w:ascii="Times New Roman" w:hAnsi="Times New Roman" w:cs="Times New Roman"/>
          <w:szCs w:val="24"/>
        </w:rPr>
        <w:t>, 264</w:t>
      </w:r>
      <w:r w:rsidRPr="00E33216">
        <w:rPr>
          <w:rFonts w:ascii="Times New Roman" w:hAnsi="Times New Roman" w:cs="Times New Roman"/>
          <w:szCs w:val="24"/>
        </w:rPr>
        <w:t>.</w:t>
      </w:r>
      <w:r w:rsidRPr="00E33216">
        <w:rPr>
          <w:rFonts w:ascii="Times New Roman" w:hAnsi="Times New Roman" w:cs="Times New Roman"/>
        </w:rPr>
        <w:fldChar w:fldCharType="end"/>
      </w:r>
    </w:p>
  </w:footnote>
  <w:footnote w:id="20">
    <w:p w14:paraId="00A182D0" w14:textId="19328160" w:rsidR="00E33216" w:rsidRDefault="00E33216">
      <w:pPr>
        <w:pStyle w:val="FootnoteText"/>
      </w:pPr>
      <w:r>
        <w:rPr>
          <w:rStyle w:val="FootnoteReference"/>
        </w:rPr>
        <w:footnoteRef/>
      </w:r>
      <w:r>
        <w:t xml:space="preserve"> </w:t>
      </w:r>
      <w:r w:rsidRPr="00E33216">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{"citationID":"a1ru7cd1npl","properties":{"formattedCitation":"Hamilton, {\\i{}Exodus: An Exegetical Commentary}.","plainCitation":"Hamilton, Exodus: An Exegetical Commentary.","noteIndex":20},"citationItems":[{"id":153,"uris":["http://zotero.org/users/local/kfAXQwMK/items/5MVFKC44"],"itemData":{"id":153,"type":"book","ISBN":"0-8010-3183-4","publisher":"Baker Academic","title":"Exodus: An exegetical commentary","author":[{"family":"Hamilton","given":"Victor P"}],"issued":{"date-parts":[["2011"]]}}}],"schema":"https://github.com/citation-style-language/schema/raw/master/csl-citation.json"} </w:instrText>
      </w:r>
      <w:r w:rsidRPr="00E33216">
        <w:rPr>
          <w:rFonts w:ascii="Times New Roman" w:hAnsi="Times New Roman" w:cs="Times New Roman"/>
        </w:rPr>
        <w:fldChar w:fldCharType="separate"/>
      </w:r>
      <w:r w:rsidR="006A238E" w:rsidRPr="006A238E">
        <w:rPr>
          <w:rFonts w:ascii="Times New Roman" w:hAnsi="Times New Roman" w:cs="Times New Roman"/>
          <w:szCs w:val="24"/>
        </w:rPr>
        <w:t xml:space="preserve">Hamilton, </w:t>
      </w:r>
      <w:r w:rsidR="006A238E" w:rsidRPr="006A238E">
        <w:rPr>
          <w:rFonts w:ascii="Times New Roman" w:hAnsi="Times New Roman" w:cs="Times New Roman"/>
          <w:i/>
          <w:iCs/>
          <w:szCs w:val="24"/>
        </w:rPr>
        <w:t>Exodus: An Exegetical Commentary</w:t>
      </w:r>
      <w:r w:rsidR="006A238E" w:rsidRPr="006A238E">
        <w:rPr>
          <w:rFonts w:ascii="Times New Roman" w:hAnsi="Times New Roman" w:cs="Times New Roman"/>
          <w:szCs w:val="24"/>
        </w:rPr>
        <w:t>.</w:t>
      </w:r>
      <w:r w:rsidRPr="00E33216">
        <w:rPr>
          <w:rFonts w:ascii="Times New Roman" w:hAnsi="Times New Roman" w:cs="Times New Roman"/>
        </w:rPr>
        <w:fldChar w:fldCharType="end"/>
      </w:r>
    </w:p>
  </w:footnote>
  <w:footnote w:id="21">
    <w:p w14:paraId="7DF49B0E" w14:textId="7D928956" w:rsidR="0010267E" w:rsidRPr="00004F06" w:rsidRDefault="0010267E" w:rsidP="0010267E">
      <w:pPr>
        <w:pStyle w:val="FootnoteText"/>
        <w:rPr>
          <w:rFonts w:ascii="Times New Roman" w:hAnsi="Times New Roman" w:cs="Times New Roman"/>
        </w:rPr>
      </w:pPr>
      <w:r w:rsidRPr="000C6E79">
        <w:rPr>
          <w:rStyle w:val="FootnoteReference"/>
        </w:rPr>
        <w:footnoteRef/>
      </w:r>
      <w:r w:rsidRPr="00004F06">
        <w:rPr>
          <w:rFonts w:ascii="Times New Roman" w:hAnsi="Times New Roman" w:cs="Times New Roman"/>
        </w:rPr>
        <w:t xml:space="preserve"> </w:t>
      </w:r>
      <w:r w:rsidRPr="00004F06">
        <w:rPr>
          <w:rFonts w:ascii="Times New Roman" w:hAnsi="Times New Roman" w:cs="Times New Roman"/>
        </w:rPr>
        <w:fldChar w:fldCharType="begin"/>
      </w:r>
      <w:r w:rsidR="003A2E9E">
        <w:rPr>
          <w:rFonts w:ascii="Times New Roman" w:hAnsi="Times New Roman" w:cs="Times New Roman"/>
        </w:rPr>
        <w:instrText xml:space="preserve"> ADDIN ZOTERO_ITEM CSL_CITATION {"citationID":"aN3q4NEM","properties":{"formattedCitation":"Fretheim, \\uc0\\u8220{}Exodus: Interpretation, A Bible Commentary for Teaching and Preaching.\\uc0\\u8221{}","plainCitation":"Fretheim, “Exodus: Interpretation, A Bible Commentary for Teaching and Preaching.”","noteIndex":21},"citationItems":[{"id":119,"uris":["http://zotero.org/users/local/kfAXQwMK/items/7IWT3GS7"],"itemData":{"id":119,"type":"article-journal","container-title":"Louisville, Ky.: Knox, Publication","journalAbbreviation":"Louisville, Ky.: Knox, Publication","title":"Exodus: Interpretation, A Bible Commentary for Teaching and Preaching","author":[{"family":"Fretheim","given":"Terence E"}],"issued":{"date-parts":[["1991"]]}}}],"schema":"https://github.com/citation-style-language/schema/raw/master/csl-citation.json"} </w:instrText>
      </w:r>
      <w:r w:rsidRPr="00004F06">
        <w:rPr>
          <w:rFonts w:ascii="Times New Roman" w:hAnsi="Times New Roman" w:cs="Times New Roman"/>
        </w:rPr>
        <w:fldChar w:fldCharType="separate"/>
      </w:r>
      <w:r w:rsidRPr="00004F06">
        <w:rPr>
          <w:rFonts w:ascii="Times New Roman" w:hAnsi="Times New Roman" w:cs="Times New Roman"/>
          <w:szCs w:val="24"/>
        </w:rPr>
        <w:t>Fretheim, “Exodus: Interpretation, A Bible Commentary for Teaching and Preaching.”</w:t>
      </w:r>
      <w:r w:rsidRPr="00004F06">
        <w:rPr>
          <w:rFonts w:ascii="Times New Roman" w:hAnsi="Times New Roman" w:cs="Times New Roman"/>
        </w:rPr>
        <w:fldChar w:fldCharType="end"/>
      </w:r>
    </w:p>
  </w:footnote>
  <w:footnote w:id="22">
    <w:p w14:paraId="61195276" w14:textId="67114284" w:rsidR="00690151" w:rsidRDefault="00690151">
      <w:pPr>
        <w:pStyle w:val="FootnoteText"/>
      </w:pPr>
      <w:r>
        <w:rPr>
          <w:rStyle w:val="FootnoteReference"/>
        </w:rPr>
        <w:footnoteRef/>
      </w:r>
      <w:r>
        <w:t xml:space="preserve"> </w:t>
      </w:r>
      <w:r w:rsidRPr="00C22594">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{"citationID":"a2e46c1qk8b","properties":{"formattedCitation":"Krisna Firnando et al., \\uc0\\u8220{}Pemilihan Jenis Musik Dalam Peribadatan Kristen,\\uc0\\u8221{} {\\i{}Clef: Jurnal Musik Dan Pendidikan Musik} 1, no. 2 (2020): 56\\uc0\\u8211{}66.","plainCitation":"Krisna Firnando et al., “Pemilihan Jenis Musik Dalam Peribadatan Kristen,” Clef: Jurnal Musik Dan Pendidikan Musik 1, no. 2 (2020): 56–66.","noteIndex":22},"citationItems":[{"id":146,"uris":["http://zotero.org/users/local/kfAXQwMK/items/MKYLSMS4"],"itemData":{"id":146,"type":"article-journal","container-title":"Clef: Jurnal Musik dan Pendidikan Musik","ISSN":"2746-7473","issue":"2","journalAbbreviation":"Clef: Jurnal Musik dan Pendidikan Musik","page":"56-66","title":"Pemilihan Jenis Musik Dalam Peribadatan Kristen","volume":"1","author":[{"family":"Firnando","given":"Krisna"},{"family":"Hermanto","given":"Yanto"},{"family":"Purnama","given":"Ferry"}],"issued":{"date-parts":[["2020"]]}}}],"schema":"https://github.com/citation-style-language/schema/raw/master/csl-citation.json"} </w:instrText>
      </w:r>
      <w:r w:rsidRPr="00C22594">
        <w:rPr>
          <w:rFonts w:ascii="Times New Roman" w:hAnsi="Times New Roman" w:cs="Times New Roman"/>
        </w:rPr>
        <w:fldChar w:fldCharType="separate"/>
      </w:r>
      <w:r w:rsidR="006A238E" w:rsidRPr="006A238E">
        <w:rPr>
          <w:rFonts w:ascii="Times New Roman" w:hAnsi="Times New Roman" w:cs="Times New Roman"/>
          <w:szCs w:val="24"/>
        </w:rPr>
        <w:t xml:space="preserve">Krisna Firnando et al., “Pemilihan Jenis Musik Dalam Peribadatan Kristen,” </w:t>
      </w:r>
      <w:r w:rsidR="006A238E" w:rsidRPr="006A238E">
        <w:rPr>
          <w:rFonts w:ascii="Times New Roman" w:hAnsi="Times New Roman" w:cs="Times New Roman"/>
          <w:i/>
          <w:iCs/>
          <w:szCs w:val="24"/>
        </w:rPr>
        <w:t>Clef: Jurnal Musik Dan Pendidikan Musik</w:t>
      </w:r>
      <w:r w:rsidR="006A238E" w:rsidRPr="006A238E">
        <w:rPr>
          <w:rFonts w:ascii="Times New Roman" w:hAnsi="Times New Roman" w:cs="Times New Roman"/>
          <w:szCs w:val="24"/>
        </w:rPr>
        <w:t xml:space="preserve"> 1, no. 2 (2020): 56–66.</w:t>
      </w:r>
      <w:r w:rsidRPr="00C22594">
        <w:rPr>
          <w:rFonts w:ascii="Times New Roman" w:hAnsi="Times New Roman" w:cs="Times New Roman"/>
        </w:rPr>
        <w:fldChar w:fldCharType="end"/>
      </w:r>
    </w:p>
  </w:footnote>
  <w:footnote w:id="23">
    <w:p w14:paraId="1D8B2C94" w14:textId="1DE6B8F7" w:rsidR="00DC1DDC" w:rsidRPr="00DC1DDC" w:rsidRDefault="00DC1DDC">
      <w:pPr>
        <w:pStyle w:val="FootnoteText"/>
        <w:rPr>
          <w:rFonts w:ascii="Times New Roman" w:hAnsi="Times New Roman" w:cs="Times New Roman"/>
        </w:rPr>
      </w:pPr>
      <w:r w:rsidRPr="00DC1DDC">
        <w:rPr>
          <w:rStyle w:val="FootnoteReference"/>
          <w:rFonts w:ascii="Times New Roman" w:hAnsi="Times New Roman" w:cs="Times New Roman"/>
        </w:rPr>
        <w:footnoteRef/>
      </w:r>
      <w:r w:rsidRPr="00DC1DDC">
        <w:rPr>
          <w:rFonts w:ascii="Times New Roman" w:hAnsi="Times New Roman" w:cs="Times New Roman"/>
        </w:rPr>
        <w:t xml:space="preserve"> </w:t>
      </w:r>
      <w:r w:rsidRPr="00DC1DDC">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{"citationID":"as3m6ou6pn","properties":{"formattedCitation":"\\uldash{Victor P Hamilton, {\\i{}Exodus: An Exegetical Commentary} (Baker Academic, 2011).}","plainCitation":"Victor P Hamilton, Exodus: An Exegetical Commentary (Baker Academic, 2011).","dontUpdate":true,"noteIndex":23},"citationItems":[{"id":153,"uris":["http://zotero.org/users/local/kfAXQwMK/items/5MVFKC44"],"itemData":{"id":153,"type":"book","ISBN":"0-8010-3183-4","publisher":"Baker Academic","title":"Exodus: An exegetical commentary","author":[{"family":"Hamilton","given":"Victor P"}],"issued":{"date-parts":[["2011"]]}}}],"schema":"https://github.com/citation-style-language/schema/raw/master/csl-citation.json"} </w:instrText>
      </w:r>
      <w:r w:rsidRPr="00DC1DDC">
        <w:rPr>
          <w:rFonts w:ascii="Times New Roman" w:hAnsi="Times New Roman" w:cs="Times New Roman"/>
        </w:rPr>
        <w:fldChar w:fldCharType="separate"/>
      </w:r>
      <w:r w:rsidRPr="00DC1DDC">
        <w:rPr>
          <w:rFonts w:ascii="Times New Roman" w:hAnsi="Times New Roman" w:cs="Times New Roman"/>
          <w:szCs w:val="24"/>
        </w:rPr>
        <w:t xml:space="preserve">Victor P Hamilton, </w:t>
      </w:r>
      <w:r w:rsidRPr="00DC1DDC">
        <w:rPr>
          <w:rFonts w:ascii="Times New Roman" w:hAnsi="Times New Roman" w:cs="Times New Roman"/>
          <w:i/>
          <w:iCs/>
          <w:szCs w:val="24"/>
        </w:rPr>
        <w:t>Exodus: An Exegetical Commentary</w:t>
      </w:r>
      <w:r w:rsidRPr="00DC1DDC">
        <w:rPr>
          <w:rFonts w:ascii="Times New Roman" w:hAnsi="Times New Roman" w:cs="Times New Roman"/>
          <w:szCs w:val="24"/>
        </w:rPr>
        <w:t xml:space="preserve"> (Baker Academic, 2011)</w:t>
      </w:r>
      <w:r>
        <w:rPr>
          <w:rFonts w:ascii="Times New Roman" w:hAnsi="Times New Roman" w:cs="Times New Roman"/>
          <w:szCs w:val="24"/>
        </w:rPr>
        <w:t>, 265</w:t>
      </w:r>
      <w:r w:rsidRPr="00DC1DDC">
        <w:rPr>
          <w:rFonts w:ascii="Times New Roman" w:hAnsi="Times New Roman" w:cs="Times New Roman"/>
          <w:szCs w:val="24"/>
        </w:rPr>
        <w:t>.</w:t>
      </w:r>
      <w:r w:rsidRPr="00DC1DDC">
        <w:rPr>
          <w:rFonts w:ascii="Times New Roman" w:hAnsi="Times New Roman" w:cs="Times New Roman"/>
        </w:rPr>
        <w:fldChar w:fldCharType="end"/>
      </w:r>
    </w:p>
  </w:footnote>
  <w:footnote w:id="24">
    <w:p w14:paraId="3F34068C" w14:textId="58119FE2" w:rsidR="0010267E" w:rsidRDefault="0010267E" w:rsidP="0010267E">
      <w:pPr>
        <w:pStyle w:val="FootnoteText"/>
      </w:pPr>
      <w:r w:rsidRPr="000C6E79">
        <w:rPr>
          <w:rStyle w:val="FootnoteReference"/>
        </w:rPr>
        <w:footnoteRef/>
      </w:r>
      <w:r w:rsidRPr="002D1400">
        <w:rPr>
          <w:rFonts w:ascii="Times New Roman" w:hAnsi="Times New Roman" w:cs="Times New Roman"/>
        </w:rPr>
        <w:t xml:space="preserve"> </w:t>
      </w:r>
      <w:r w:rsidRPr="002D1400">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{"citationID":"21vjDIwq","properties":{"formattedCitation":"Walter Brueggemann, \\uc0\\u8220{}Theology of the Old Testament: Testimony, Dispute, Advocacy Revisited,\\uc0\\u8221{} {\\i{}The Catholic Biblical Quarterly} 74, no. 1 (2012): 28\\uc0\\u8211{}38.","plainCitation":"Walter Brueggemann, “Theology of the Old Testament: Testimony, Dispute, Advocacy Revisited,” The Catholic Biblical Quarterly 74, no. 1 (2012): 28–38.","noteIndex":24},"citationItems":[{"id":123,"uris":["http://zotero.org/users/local/kfAXQwMK/items/996PPK6G"],"itemData":{"id":123,"type":"article-journal","container-title":"The catholic biblical quarterly","ISSN":"0008-7912","issue":"1","journalAbbreviation":"The catholic biblical quarterly","note":"publisher: JSTOR","page":"28-38","title":"Theology of the Old Testament: Testimony, dispute, advocacy revisited","volume":"74","author":[{"family":"Brueggemann","given":"Walter"}],"issued":{"date-parts":[["2012"]]}}}],"schema":"https://github.com/citation-style-language/schema/raw/master/csl-citation.json"} </w:instrText>
      </w:r>
      <w:r w:rsidRPr="002D1400">
        <w:rPr>
          <w:rFonts w:ascii="Times New Roman" w:hAnsi="Times New Roman" w:cs="Times New Roman"/>
        </w:rPr>
        <w:fldChar w:fldCharType="separate"/>
      </w:r>
      <w:r w:rsidR="006A238E" w:rsidRPr="006A238E">
        <w:rPr>
          <w:rFonts w:ascii="Times New Roman" w:hAnsi="Times New Roman" w:cs="Times New Roman"/>
          <w:szCs w:val="24"/>
        </w:rPr>
        <w:t xml:space="preserve">Walter Brueggemann, “Theology of the Old Testament: Testimony, Dispute, Advocacy Revisited,” </w:t>
      </w:r>
      <w:r w:rsidR="006A238E" w:rsidRPr="006A238E">
        <w:rPr>
          <w:rFonts w:ascii="Times New Roman" w:hAnsi="Times New Roman" w:cs="Times New Roman"/>
          <w:i/>
          <w:iCs/>
          <w:szCs w:val="24"/>
        </w:rPr>
        <w:t>The Catholic Biblical Quarterly</w:t>
      </w:r>
      <w:r w:rsidR="006A238E" w:rsidRPr="006A238E">
        <w:rPr>
          <w:rFonts w:ascii="Times New Roman" w:hAnsi="Times New Roman" w:cs="Times New Roman"/>
          <w:szCs w:val="24"/>
        </w:rPr>
        <w:t xml:space="preserve"> 74, no. 1 (2012): 28–38.</w:t>
      </w:r>
      <w:r w:rsidRPr="002D1400">
        <w:rPr>
          <w:rFonts w:ascii="Times New Roman" w:hAnsi="Times New Roman" w:cs="Times New Roman"/>
        </w:rPr>
        <w:fldChar w:fldCharType="end"/>
      </w:r>
    </w:p>
  </w:footnote>
  <w:footnote w:id="25">
    <w:p w14:paraId="49EC00C0" w14:textId="16552FB6"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{"citationID":"vOnep997","properties":{"formattedCitation":"Mark S Smith, {\\i{}The Early History of God: Yahweh and the Other Deities in Ancient Israel} (Wm. B. Eerdmans Publishing, 2002), 96.","plainCitation":"Mark S Smith, The Early History of God: Yahweh and the Other Deities in Ancient Israel (Wm. B. Eerdmans Publishing, 2002), 96.","noteIndex":25},"citationItems":[{"id":"Tdet6PQk/DTj3Gu24","uris":["http://zotero.org/users/local/xEqoxJzF/items/CCBDEHDQ"],"itemData":{"id":5011,"type":"book","ISBN":"1-4674-2763-2","publisher":"Wm. B. Eerdmans Publishing","title":"The early history of God: Yahweh and the other deities in ancient Israel","author":[{"family":"Smith","given":"Mark S"}],"issued":{"date-parts":[["2002"]]}},"locator":"96","label":"page"}],"schema":"https://github.com/citation-style-language/schema/raw/master/csl-citation.json"}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Mark S Smith, </w:t>
      </w:r>
      <w:r w:rsidRPr="00307628">
        <w:rPr>
          <w:rFonts w:ascii="Times New Roman" w:hAnsi="Times New Roman" w:cs="Times New Roman"/>
          <w:i/>
          <w:iCs/>
        </w:rPr>
        <w:t>The Early History of God: Yahweh and the Other Deities in Ancient Israel</w:t>
      </w:r>
      <w:r w:rsidRPr="00307628">
        <w:rPr>
          <w:rFonts w:ascii="Times New Roman" w:hAnsi="Times New Roman" w:cs="Times New Roman"/>
        </w:rPr>
        <w:t xml:space="preserve"> (Wm. B. Eerdmans Publishing, 2002), 96.</w:t>
      </w:r>
      <w:r w:rsidRPr="00307628">
        <w:rPr>
          <w:rFonts w:ascii="Times New Roman" w:hAnsi="Times New Roman" w:cs="Times New Roman"/>
        </w:rPr>
        <w:fldChar w:fldCharType="end"/>
      </w:r>
    </w:p>
  </w:footnote>
  <w:footnote w:id="26">
    <w:p w14:paraId="7DE5A20F" w14:textId="0BFA5D77"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{"citationID":"mQThYFNS","properties":{"formattedCitation":"Christoph Levin, {\\i{}The Old Testament: A Brief Introduction} (Princeton University Press, 2005), 45.","plainCitation":"Christoph Levin, The Old Testament: A Brief Introduction (Princeton University Press, 2005), 45.","noteIndex":26},"citationItems":[{"id":"Tdet6PQk/Jgf1ozAJ","uris":["http://zotero.org/users/local/xEqoxJzF/items/ZUYIJG2T"],"itemData":{"id":5012,"type":"book","ISBN":"0-691-11394-7","publisher":"Princeton University Press","title":"The Old Testament: A Brief Introduction","author":[{"family":"Levin","given":"Christoph"}],"issued":{"date-parts":[["2005"]]}},"locator":"45","label":"page"}],"schema":"https://github.com/citation-style-language/schema/raw/master/csl-citation.json"}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Christoph Levin, </w:t>
      </w:r>
      <w:r w:rsidRPr="00307628">
        <w:rPr>
          <w:rFonts w:ascii="Times New Roman" w:hAnsi="Times New Roman" w:cs="Times New Roman"/>
          <w:i/>
          <w:iCs/>
        </w:rPr>
        <w:t>The Old Testament: A Brief Introduction</w:t>
      </w:r>
      <w:r w:rsidRPr="00307628">
        <w:rPr>
          <w:rFonts w:ascii="Times New Roman" w:hAnsi="Times New Roman" w:cs="Times New Roman"/>
        </w:rPr>
        <w:t xml:space="preserve"> (Princeton University Press, 2005), 45.</w:t>
      </w:r>
      <w:r w:rsidRPr="00307628">
        <w:rPr>
          <w:rFonts w:ascii="Times New Roman" w:hAnsi="Times New Roman" w:cs="Times New Roman"/>
        </w:rPr>
        <w:fldChar w:fldCharType="end"/>
      </w:r>
    </w:p>
  </w:footnote>
  <w:footnote w:id="27">
    <w:p w14:paraId="6D871142" w14:textId="304C108B"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{"citationID":"aDmXnuJi","properties":{"formattedCitation":"John Walton, {\\i{}Ancient Near Eastern Thought and the Old Testament} (Baker, 2019).","plainCitation":"John Walton, Ancient Near Eastern Thought and the Old Testament (Baker, 2019).","dontUpdate":true,"noteIndex":27},"citationItems":[{"id":"Tdet6PQk/Cnjkkq02","uris":["http://zotero.org/users/local/xEqoxJzF/items/G3P96SQB"],"itemData":{"id":33,"type":"book","event-place":"Rapids","publisher":"Baker","publisher-place":"Rapids","title":"Ancient Near Eastern Thought and the Old Testament","author":[{"family":"Walton","given":"John"}],"issued":{"date-parts":[["2019"]]}}}],"schema":"https://github.com/citation-style-language/schema/raw/master/csl-citation.json"}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John Walton, </w:t>
      </w:r>
      <w:r w:rsidRPr="00307628">
        <w:rPr>
          <w:rFonts w:ascii="Times New Roman" w:hAnsi="Times New Roman" w:cs="Times New Roman"/>
          <w:i/>
          <w:iCs/>
        </w:rPr>
        <w:t>Ancient Near Eastern Thought and the Old Testament</w:t>
      </w:r>
      <w:r w:rsidRPr="00307628">
        <w:rPr>
          <w:rFonts w:ascii="Times New Roman" w:hAnsi="Times New Roman" w:cs="Times New Roman"/>
        </w:rPr>
        <w:t xml:space="preserve"> (Baker, 2019)</w:t>
      </w:r>
      <w:r w:rsidR="00C22594">
        <w:rPr>
          <w:rFonts w:ascii="Times New Roman" w:hAnsi="Times New Roman" w:cs="Times New Roman"/>
        </w:rPr>
        <w:t>, 85</w:t>
      </w:r>
      <w:r w:rsidRPr="00307628">
        <w:rPr>
          <w:rFonts w:ascii="Times New Roman" w:hAnsi="Times New Roman" w:cs="Times New Roman"/>
        </w:rPr>
        <w:t>.</w:t>
      </w:r>
      <w:r w:rsidRPr="00307628">
        <w:rPr>
          <w:rFonts w:ascii="Times New Roman" w:hAnsi="Times New Roman" w:cs="Times New Roman"/>
        </w:rPr>
        <w:fldChar w:fldCharType="end"/>
      </w:r>
    </w:p>
  </w:footnote>
  <w:footnote w:id="28">
    <w:p w14:paraId="71ADFBE6" w14:textId="4C9954C7"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{"citationID":"wudiQO46","properties":{"formattedCitation":"G.E. Schnittjer, {\\i{}The Torah Story: An Apprenticeship on the Pentateuch} (Zondervan Academic, 2010), https://books.google.co.id/books?id=oDUaY1M5UcQC.","plainCitation":"G.E. Schnittjer, The Torah Story: An Apprenticeship on the Pentateuch (Zondervan Academic, 2010), https://books.google.co.id/books?id=oDUaY1M5UcQC.","dontUpdate":true,"noteIndex":28},"citationItems":[{"id":"Tdet6PQk/R6E4Z0SA","uris":["http://zotero.org/users/local/xEqoxJzF/items/5M8HYU9L"],"itemData":{"id":4857,"type":"book","ISBN":"978-0-310-87403-4","publisher":"Zondervan Academic","title":"The Torah Story: An Apprenticeship on the Pentateuch","URL":"https://books.google.co.id/books?id=oDUaY1M5UcQC","author":[{"family":"Schnittjer","given":"G.E."}],"issued":{"date-parts":[["2010"]]}}}],"schema":"https://github.com/citation-style-language/schema/raw/master/csl-citation.json"}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G.E. Schnittjer, </w:t>
      </w:r>
      <w:r w:rsidRPr="00307628">
        <w:rPr>
          <w:rFonts w:ascii="Times New Roman" w:hAnsi="Times New Roman" w:cs="Times New Roman"/>
          <w:i/>
          <w:iCs/>
        </w:rPr>
        <w:t>The Torah Story: An Apprenticeship on the Pentateuch</w:t>
      </w:r>
      <w:r w:rsidRPr="00307628">
        <w:rPr>
          <w:rFonts w:ascii="Times New Roman" w:hAnsi="Times New Roman" w:cs="Times New Roman"/>
        </w:rPr>
        <w:t xml:space="preserve"> (Zondervan Academic, 2010),</w:t>
      </w:r>
      <w:r w:rsidR="00173007">
        <w:rPr>
          <w:rFonts w:ascii="Times New Roman" w:hAnsi="Times New Roman" w:cs="Times New Roman"/>
        </w:rPr>
        <w:t>191.</w:t>
      </w:r>
      <w:r w:rsidRPr="00307628">
        <w:rPr>
          <w:rFonts w:ascii="Times New Roman" w:hAnsi="Times New Roman" w:cs="Times New Roman"/>
        </w:rPr>
        <w:t xml:space="preserve"> </w:t>
      </w:r>
      <w:r w:rsidRPr="00307628">
        <w:rPr>
          <w:rFonts w:ascii="Times New Roman" w:hAnsi="Times New Roman" w:cs="Times New Roman"/>
        </w:rPr>
        <w:fldChar w:fldCharType="end"/>
      </w:r>
    </w:p>
  </w:footnote>
  <w:footnote w:id="29">
    <w:p w14:paraId="7B6666FC" w14:textId="55503B9F"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{"citationID":"AuTsyjXM","properties":{"formattedCitation":"Walton, {\\i{}Ancient Near Eastern Thought and the Old Testament}.","plainCitation":"Walton, Ancient Near Eastern Thought and the Old Testament.","noteIndex":29},"citationItems":[{"id":"Tdet6PQk/Cnjkkq02","uris":["http://zotero.org/users/local/xEqoxJzF/items/G3P96SQB"],"itemData":{"id":33,"type":"book","event-place":"Rapids","publisher":"Baker","publisher-place":"Rapids","title":"Ancient Near Eastern Thought and the Old Testament","author":[{"family":"Walton","given":"John"}],"issued":{"date-parts":[["2019"]]}}}],"schema":"https://github.com/citation-style-language/schema/raw/master/csl-citation.json"}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Walton, </w:t>
      </w:r>
      <w:r w:rsidRPr="00307628">
        <w:rPr>
          <w:rFonts w:ascii="Times New Roman" w:hAnsi="Times New Roman" w:cs="Times New Roman"/>
          <w:i/>
          <w:iCs/>
        </w:rPr>
        <w:t>Ancient Near Eastern Thought and the Old Testament</w:t>
      </w:r>
      <w:r w:rsidRPr="00307628">
        <w:rPr>
          <w:rFonts w:ascii="Times New Roman" w:hAnsi="Times New Roman" w:cs="Times New Roman"/>
        </w:rPr>
        <w:t>.</w:t>
      </w:r>
      <w:r w:rsidRPr="00307628">
        <w:rPr>
          <w:rFonts w:ascii="Times New Roman" w:hAnsi="Times New Roman" w:cs="Times New Roman"/>
        </w:rPr>
        <w:fldChar w:fldCharType="end"/>
      </w:r>
    </w:p>
  </w:footnote>
  <w:footnote w:id="30">
    <w:p w14:paraId="2289D1AD" w14:textId="62FBFE43"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{"citationID":"xy9yhOT7","properties":{"formattedCitation":"Schnittjer, {\\i{}The Torah Story: An Apprenticeship on the Pentateuch}.","plainCitation":"Schnittjer, The Torah Story: An Apprenticeship on the Pentateuch.","noteIndex":30},"citationItems":[{"id":"Tdet6PQk/R6E4Z0SA","uris":["http://zotero.org/users/local/xEqoxJzF/items/5M8HYU9L"],"itemData":{"id":4857,"type":"book","ISBN":"978-0-310-87403-4","publisher":"Zondervan Academic","title":"The Torah Story: An Apprenticeship on the Pentateuch","URL":"https://books.google.co.id/books?id=oDUaY1M5UcQC","author":[{"family":"Schnittjer","given":"G.E."}],"issued":{"date-parts":[["2010"]]}}}],"schema":"https://github.com/citation-style-language/schema/raw/master/csl-citation.json"}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Schnittjer, </w:t>
      </w:r>
      <w:r w:rsidRPr="00307628">
        <w:rPr>
          <w:rFonts w:ascii="Times New Roman" w:hAnsi="Times New Roman" w:cs="Times New Roman"/>
          <w:i/>
          <w:iCs/>
        </w:rPr>
        <w:t>The Torah Story: An Apprenticeship on the Pentateuch</w:t>
      </w:r>
      <w:r w:rsidRPr="00307628">
        <w:rPr>
          <w:rFonts w:ascii="Times New Roman" w:hAnsi="Times New Roman" w:cs="Times New Roman"/>
        </w:rPr>
        <w:t>.</w:t>
      </w:r>
      <w:r w:rsidRPr="00307628">
        <w:rPr>
          <w:rFonts w:ascii="Times New Roman" w:hAnsi="Times New Roman" w:cs="Times New Roman"/>
        </w:rPr>
        <w:fldChar w:fldCharType="end"/>
      </w:r>
    </w:p>
  </w:footnote>
  <w:footnote w:id="31">
    <w:p w14:paraId="1C3DA48E" w14:textId="45F7EE0A"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{"citationID":"K2SDswYe","properties":{"formattedCitation":"Roy Haries Ifraldo Tambun, \\uc0\\u8220{}God Fights to Save the Nation of Israel: A Historical-Critical Review of Exodus 15: 1-21,\\uc0\\u8221{} {\\i{}Theological Journal Kerugma} 7, no. 2 (2024): 73\\uc0\\u8211{}83.","plainCitation":"Roy Haries Ifraldo Tambun, “God Fights to Save the Nation of Israel: A Historical-Critical Review of Exodus 15: 1-21,” Theological Journal Kerugma 7, no. 2 (2024): 73–83.","noteIndex":31},"citationItems":[{"id":"Tdet6PQk/1hbbHzwy","uris":["http://zotero.org/users/local/xEqoxJzF/items/UBXN4XDF"],"itemData":{"id":5013,"type":"article-journal","container-title":"Theological Journal Kerugma","ISSN":"2622-1039","issue":"2","journalAbbreviation":"Theological Journal Kerugma","page":"73-83","title":"God Fights to Save the Nation of Israel: A Historical-Critical Review of Exodus 15: 1-21","volume":"7","author":[{"family":"Tambun","given":"Roy Haries Ifraldo"}],"issued":{"date-parts":[["2024"]]}}}],"schema":"https://github.com/citation-style-language/schema/raw/master/csl-citation.json"}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Roy Haries Ifraldo Tambun, “God Fights to Save the Nation of Israel: A Historical-Critical Review of Exodus 15: 1-21,” </w:t>
      </w:r>
      <w:r w:rsidRPr="00307628">
        <w:rPr>
          <w:rFonts w:ascii="Times New Roman" w:hAnsi="Times New Roman" w:cs="Times New Roman"/>
          <w:i/>
          <w:iCs/>
        </w:rPr>
        <w:t>Theological Journal Kerugma</w:t>
      </w:r>
      <w:r w:rsidRPr="00307628">
        <w:rPr>
          <w:rFonts w:ascii="Times New Roman" w:hAnsi="Times New Roman" w:cs="Times New Roman"/>
        </w:rPr>
        <w:t xml:space="preserve"> 7, no. 2 (2024): 73–83.</w:t>
      </w:r>
      <w:r w:rsidRPr="00307628">
        <w:rPr>
          <w:rFonts w:ascii="Times New Roman" w:hAnsi="Times New Roman" w:cs="Times New Roman"/>
        </w:rPr>
        <w:fldChar w:fldCharType="end"/>
      </w:r>
      <w:r w:rsidR="00C97574">
        <w:rPr>
          <w:rFonts w:ascii="Times New Roman" w:hAnsi="Times New Roman" w:cs="Times New Roman"/>
        </w:rPr>
        <w:t xml:space="preserve"> </w:t>
      </w:r>
    </w:p>
  </w:footnote>
  <w:footnote w:id="32">
    <w:p w14:paraId="329A1BB4" w14:textId="6662944C" w:rsidR="00EC45E8" w:rsidRPr="00173007" w:rsidRDefault="00EC45E8">
      <w:pPr>
        <w:pStyle w:val="FootnoteText"/>
        <w:rPr>
          <w:rFonts w:ascii="Times New Roman" w:hAnsi="Times New Roman" w:cs="Times New Roman"/>
        </w:rPr>
      </w:pPr>
      <w:r>
        <w:rPr>
          <w:rStyle w:val="FootnoteReference"/>
        </w:rPr>
        <w:footnoteRef/>
      </w:r>
      <w:r>
        <w:t xml:space="preserve"> </w:t>
      </w:r>
      <w:r w:rsidRPr="00173007">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{"citationID":"a2ft5h81ii0","properties":{"formattedCitation":"Kenezia Hermanus, \\uc0\\u8220{}Signifikansi Nyanyian Rohani Berdasarkan Narasi Injil,\\uc0\\u8221{} {\\i{}Logon Zoes: Jurnal Teologi, Sosial, Dan Budaya} 8, no. 1 (2025): 1\\uc0\\u8211{}17.","plainCitation":"Kenezia Hermanus, “Signifikansi Nyanyian Rohani Berdasarkan Narasi Injil,” Logon Zoes: Jurnal Teologi, Sosial, Dan Budaya 8, no. 1 (2025): 1–17.","noteIndex":32},"citationItems":[{"id":147,"uris":["http://zotero.org/users/local/kfAXQwMK/items/QGGV4F8R"],"itemData":{"id":147,"type":"article-journal","container-title":"Logon Zoes: Jurnal Teologi, Sosial, dan Budaya","ISSN":"2745-3766","issue":"1","journalAbbreviation":"Logon Zoes: Jurnal Teologi, Sosial, dan Budaya","page":"1-17","title":"Signifikansi Nyanyian Rohani Berdasarkan Narasi Injil","volume":"8","author":[{"family":"Hermanus","given":"Kenezia"}],"issued":{"date-parts":[["2025"]]}}}],"schema":"https://github.com/citation-style-language/schema/raw/master/csl-citation.json"} </w:instrText>
      </w:r>
      <w:r w:rsidRPr="00173007">
        <w:rPr>
          <w:rFonts w:ascii="Times New Roman" w:hAnsi="Times New Roman" w:cs="Times New Roman"/>
        </w:rPr>
        <w:fldChar w:fldCharType="separate"/>
      </w:r>
      <w:r w:rsidR="006A238E" w:rsidRPr="006A238E">
        <w:rPr>
          <w:rFonts w:ascii="Times New Roman" w:hAnsi="Times New Roman" w:cs="Times New Roman"/>
          <w:szCs w:val="24"/>
        </w:rPr>
        <w:t xml:space="preserve">Kenezia Hermanus, “Signifikansi Nyanyian Rohani Berdasarkan Narasi Injil,” </w:t>
      </w:r>
      <w:r w:rsidR="006A238E" w:rsidRPr="006A238E">
        <w:rPr>
          <w:rFonts w:ascii="Times New Roman" w:hAnsi="Times New Roman" w:cs="Times New Roman"/>
          <w:i/>
          <w:iCs/>
          <w:szCs w:val="24"/>
        </w:rPr>
        <w:t>Logon Zoes: Jurnal Teologi, Sosial, Dan Budaya</w:t>
      </w:r>
      <w:r w:rsidR="006A238E" w:rsidRPr="006A238E">
        <w:rPr>
          <w:rFonts w:ascii="Times New Roman" w:hAnsi="Times New Roman" w:cs="Times New Roman"/>
          <w:szCs w:val="24"/>
        </w:rPr>
        <w:t xml:space="preserve"> 8, no. 1 (2025): 1–17.</w:t>
      </w:r>
      <w:r w:rsidRPr="00173007">
        <w:rPr>
          <w:rFonts w:ascii="Times New Roman" w:hAnsi="Times New Roman" w:cs="Times New Roman"/>
        </w:rPr>
        <w:fldChar w:fldCharType="end"/>
      </w:r>
    </w:p>
  </w:footnote>
  <w:footnote w:id="33">
    <w:p w14:paraId="03DE92BD" w14:textId="3E8A8EE1"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{"citationID":"Xjos9g60","properties":{"formattedCitation":"Susan E Gillingham, \\uc0\\u8220{}The Reception of the Exodus Tradition in the Psalter,\\uc0\\u8221{} {\\i{}The Reception of Exodus Motifs in Jewish and Christian Literature}, 2022, 36.","plainCitation":"Susan E Gillingham, “The Reception of the Exodus Tradition in the Psalter,” The Reception of Exodus Motifs in Jewish and Christian Literature, 2022, 36.","noteIndex":33},"citationItems":[{"id":"Tdet6PQk/pe0qYgVU","uris":["http://zotero.org/users/local/xEqoxJzF/items/CMLF4TBX"],"itemData":{"id":5014,"type":"article-journal","container-title":"The Reception of Exodus Motifs in Jewish and Christian Literature","journalAbbreviation":"The Reception of Exodus Motifs in Jewish and Christian Literature","page":"36","title":"The Reception of the Exodus Tradition in the Psalter","author":[{"family":"Gillingham","given":"Susan E"}],"issued":{"date-parts":[["2022"]]}}}],"schema":"https://github.com/citation-style-language/schema/raw/master/csl-citation.json"}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Susan E Gillingham, “The Reception of the Exodus Tradition in the Psalter,” </w:t>
      </w:r>
      <w:r w:rsidRPr="00307628">
        <w:rPr>
          <w:rFonts w:ascii="Times New Roman" w:hAnsi="Times New Roman" w:cs="Times New Roman"/>
          <w:i/>
          <w:iCs/>
        </w:rPr>
        <w:t>The Reception of Exodus Motifs in Jewish and Christian Literature</w:t>
      </w:r>
      <w:r w:rsidRPr="00307628">
        <w:rPr>
          <w:rFonts w:ascii="Times New Roman" w:hAnsi="Times New Roman" w:cs="Times New Roman"/>
        </w:rPr>
        <w:t>, 2022, 36.</w:t>
      </w:r>
      <w:r w:rsidRPr="00307628">
        <w:rPr>
          <w:rFonts w:ascii="Times New Roman" w:hAnsi="Times New Roman" w:cs="Times New Roman"/>
        </w:rPr>
        <w:fldChar w:fldCharType="end"/>
      </w:r>
    </w:p>
  </w:footnote>
  <w:footnote w:id="34">
    <w:p w14:paraId="215BAE59" w14:textId="0F7AC6E5" w:rsidR="00EC45E8" w:rsidRPr="00173007" w:rsidRDefault="00EC45E8">
      <w:pPr>
        <w:pStyle w:val="FootnoteText"/>
        <w:rPr>
          <w:rFonts w:ascii="Times New Roman" w:hAnsi="Times New Roman" w:cs="Times New Roman"/>
        </w:rPr>
      </w:pPr>
      <w:r>
        <w:rPr>
          <w:rStyle w:val="FootnoteReference"/>
        </w:rPr>
        <w:footnoteRef/>
      </w:r>
      <w:r>
        <w:t xml:space="preserve"> </w:t>
      </w:r>
      <w:r w:rsidRPr="00173007">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{"citationID":"aovctle9e7","properties":{"formattedCitation":"Firnando et al., \\uc0\\u8220{}Pemilihan Jenis Musik Dalam Peribadatan Kristen.\\uc0\\u8221{}","plainCitation":"Firnando et al., “Pemilihan Jenis Musik Dalam Peribadatan Kristen.”","noteIndex":34},"citationItems":[{"id":146,"uris":["http://zotero.org/users/local/kfAXQwMK/items/MKYLSMS4"],"itemData":{"id":146,"type":"article-journal","container-title":"Clef: Jurnal Musik dan Pendidikan Musik","ISSN":"2746-7473","issue":"2","journalAbbreviation":"Clef: Jurnal Musik dan Pendidikan Musik","page":"56-66","title":"Pemilihan Jenis Musik Dalam Peribadatan Kristen","volume":"1","author":[{"family":"Firnando","given":"Krisna"},{"family":"Hermanto","given":"Yanto"},{"family":"Purnama","given":"Ferry"}],"issued":{"date-parts":[["2020"]]}}}],"schema":"https://github.com/citation-style-language/schema/raw/master/csl-citation.json"} </w:instrText>
      </w:r>
      <w:r w:rsidRPr="00173007">
        <w:rPr>
          <w:rFonts w:ascii="Times New Roman" w:hAnsi="Times New Roman" w:cs="Times New Roman"/>
        </w:rPr>
        <w:fldChar w:fldCharType="separate"/>
      </w:r>
      <w:r w:rsidR="006A238E" w:rsidRPr="006A238E">
        <w:rPr>
          <w:rFonts w:ascii="Times New Roman" w:hAnsi="Times New Roman" w:cs="Times New Roman"/>
          <w:szCs w:val="24"/>
        </w:rPr>
        <w:t>Firnando et al., “Pemilihan Jenis Musik Dalam Peribadatan Kristen.”</w:t>
      </w:r>
      <w:r w:rsidRPr="00173007">
        <w:rPr>
          <w:rFonts w:ascii="Times New Roman" w:hAnsi="Times New Roman" w:cs="Times New Roman"/>
        </w:rPr>
        <w:fldChar w:fldCharType="end"/>
      </w:r>
    </w:p>
  </w:footnote>
  <w:footnote w:id="35">
    <w:p w14:paraId="0CB00427" w14:textId="395583EA"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{"citationID":"VK8U9vgt","properties":{"formattedCitation":"Kevin Lloyd Haglund, {\\i{}A Practical Theology of the Role of Emotion in Corporate Musical Worship: A Case Study} (Columbia International University, 2024).","plainCitation":"Kevin Lloyd Haglund, A Practical Theology of the Role of Emotion in Corporate Musical Worship: A Case Study (Columbia International University, 2024).","dontUpdate":true,"noteIndex":35},"citationItems":[{"id":"Tdet6PQk/ZM5VB1YR","uris":["http://zotero.org/users/local/xEqoxJzF/items/F2TBAQGU"],"itemData":{"id":5015,"type":"book","ISBN":"979-8-3427-4772-1","publisher":"Columbia International University","title":"A Practical Theology of the Role of Emotion in Corporate Musical Worship: A Case Study","author":[{"family":"Haglund","given":"Kevin Lloyd"}],"issued":{"date-parts":[["2024"]]}}}],"schema":"https://github.com/citation-style-language/schema/raw/master/csl-citation.json"}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Kevin Lloyd Haglund, </w:t>
      </w:r>
      <w:r w:rsidRPr="00307628">
        <w:rPr>
          <w:rFonts w:ascii="Times New Roman" w:hAnsi="Times New Roman" w:cs="Times New Roman"/>
          <w:i/>
          <w:iCs/>
        </w:rPr>
        <w:t>A Practical Theology of the Role of Emotion in Corporate Musical Worship: A Case Study</w:t>
      </w:r>
      <w:r w:rsidRPr="00307628">
        <w:rPr>
          <w:rFonts w:ascii="Times New Roman" w:hAnsi="Times New Roman" w:cs="Times New Roman"/>
        </w:rPr>
        <w:t xml:space="preserve"> (Columbia International University, 2024)</w:t>
      </w:r>
      <w:r w:rsidR="00173007">
        <w:rPr>
          <w:rFonts w:ascii="Times New Roman" w:hAnsi="Times New Roman" w:cs="Times New Roman"/>
        </w:rPr>
        <w:t>, 143</w:t>
      </w:r>
      <w:r w:rsidRPr="00307628">
        <w:rPr>
          <w:rFonts w:ascii="Times New Roman" w:hAnsi="Times New Roman" w:cs="Times New Roman"/>
        </w:rPr>
        <w:t>.</w:t>
      </w:r>
      <w:r w:rsidRPr="00307628">
        <w:rPr>
          <w:rFonts w:ascii="Times New Roman" w:hAnsi="Times New Roman" w:cs="Times New Roman"/>
        </w:rPr>
        <w:fldChar w:fldCharType="end"/>
      </w:r>
    </w:p>
  </w:footnote>
  <w:footnote w:id="36">
    <w:p w14:paraId="579BF514" w14:textId="510D058A"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{"citationID":"AOBMww6V","properties":{"formattedCitation":"HAMILTON JR, \\uc0\\u8220{}AUTHOR-INTENDED TYPOLOGY IN THE CHIASTIC STRUCTURE OF THE SONG OF THE SEA (EXODUS 15: 1\\uc0\\u8211{}21).\\uc0\\u8221{}","plainCitation":"HAMILTON JR, “AUTHOR-INTENDED TYPOLOGY IN THE CHIASTIC STRUCTURE OF THE SONG OF THE SEA (EXODUS 15: 1–21).”","dontUpdate":true,"noteIndex":36},"citationItems":[{"id":"Tdet6PQk/rCKi84oK","uris":["http://zotero.org/users/local/xEqoxJzF/items/N6ZK5J5V"],"itemData":{"id":5016,"type":"article-journal","container-title":"Journal of the Evangelical Theological Society","ISSN":"0360-8808","issue":"3","journalAbbreviation":"Journal of the Evangelical Theological Society","page":"463-474","title":"AUTHOR-INTENDED TYPOLOGY IN THE CHIASTIC STRUCTURE OF THE SONG OF THE SEA (EXODUS 15: 1–21)","volume":"67","author":[{"family":"HAMILTON JR","given":"JAMES M"}],"issued":{"date-parts":[["2024"]]}}}],"schema":"https://github.com/citation-style-language/schema/raw/master/csl-citation.json"} </w:instrText>
      </w:r>
      <w:r w:rsidRPr="00307628">
        <w:rPr>
          <w:rFonts w:ascii="Times New Roman" w:hAnsi="Times New Roman" w:cs="Times New Roman"/>
        </w:rPr>
        <w:fldChar w:fldCharType="separate"/>
      </w:r>
      <w:r w:rsidRPr="001C0AB5">
        <w:rPr>
          <w:rFonts w:ascii="Times New Roman" w:hAnsi="Times New Roman" w:cs="Times New Roman"/>
          <w:szCs w:val="24"/>
        </w:rPr>
        <w:t>hamilton jr, “author-intended typology in the chiastic structure of the song of the sea (exodus 15: 1–21).”</w:t>
      </w:r>
      <w:r w:rsidRPr="00307628">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A615EA">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40C6E"/>
    <w:multiLevelType w:val="hybridMultilevel"/>
    <w:tmpl w:val="8BCC794C"/>
    <w:lvl w:ilvl="0" w:tplc="04090019">
      <w:start w:val="1"/>
      <w:numFmt w:val="lowerLetter"/>
      <w:lvlText w:val="%1."/>
      <w:lvlJc w:val="left"/>
      <w:pPr>
        <w:ind w:left="1495" w:hanging="36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1" w15:restartNumberingAfterBreak="0">
    <w:nsid w:val="1D72464F"/>
    <w:multiLevelType w:val="hybridMultilevel"/>
    <w:tmpl w:val="03EA97BC"/>
    <w:lvl w:ilvl="0" w:tplc="95A8DF1C">
      <w:start w:val="1"/>
      <w:numFmt w:val="decimal"/>
      <w:lvlText w:val="%1."/>
      <w:lvlJc w:val="left"/>
      <w:pPr>
        <w:ind w:left="1020" w:hanging="360"/>
      </w:pPr>
    </w:lvl>
    <w:lvl w:ilvl="1" w:tplc="C840CFEE">
      <w:start w:val="1"/>
      <w:numFmt w:val="decimal"/>
      <w:lvlText w:val="%2."/>
      <w:lvlJc w:val="left"/>
      <w:pPr>
        <w:ind w:left="1020" w:hanging="360"/>
      </w:pPr>
    </w:lvl>
    <w:lvl w:ilvl="2" w:tplc="8708D9B2">
      <w:start w:val="1"/>
      <w:numFmt w:val="decimal"/>
      <w:lvlText w:val="%3."/>
      <w:lvlJc w:val="left"/>
      <w:pPr>
        <w:ind w:left="1020" w:hanging="360"/>
      </w:pPr>
    </w:lvl>
    <w:lvl w:ilvl="3" w:tplc="16DC38F6">
      <w:start w:val="1"/>
      <w:numFmt w:val="decimal"/>
      <w:lvlText w:val="%4."/>
      <w:lvlJc w:val="left"/>
      <w:pPr>
        <w:ind w:left="1020" w:hanging="360"/>
      </w:pPr>
    </w:lvl>
    <w:lvl w:ilvl="4" w:tplc="88C2E6B6">
      <w:start w:val="1"/>
      <w:numFmt w:val="decimal"/>
      <w:lvlText w:val="%5."/>
      <w:lvlJc w:val="left"/>
      <w:pPr>
        <w:ind w:left="1020" w:hanging="360"/>
      </w:pPr>
    </w:lvl>
    <w:lvl w:ilvl="5" w:tplc="6B284DFC">
      <w:start w:val="1"/>
      <w:numFmt w:val="decimal"/>
      <w:lvlText w:val="%6."/>
      <w:lvlJc w:val="left"/>
      <w:pPr>
        <w:ind w:left="1020" w:hanging="360"/>
      </w:pPr>
    </w:lvl>
    <w:lvl w:ilvl="6" w:tplc="1AF22558">
      <w:start w:val="1"/>
      <w:numFmt w:val="decimal"/>
      <w:lvlText w:val="%7."/>
      <w:lvlJc w:val="left"/>
      <w:pPr>
        <w:ind w:left="1020" w:hanging="360"/>
      </w:pPr>
    </w:lvl>
    <w:lvl w:ilvl="7" w:tplc="11B6B7CC">
      <w:start w:val="1"/>
      <w:numFmt w:val="decimal"/>
      <w:lvlText w:val="%8."/>
      <w:lvlJc w:val="left"/>
      <w:pPr>
        <w:ind w:left="1020" w:hanging="360"/>
      </w:pPr>
    </w:lvl>
    <w:lvl w:ilvl="8" w:tplc="83921DF8">
      <w:start w:val="1"/>
      <w:numFmt w:val="decimal"/>
      <w:lvlText w:val="%9."/>
      <w:lvlJc w:val="left"/>
      <w:pPr>
        <w:ind w:left="1020" w:hanging="360"/>
      </w:pPr>
    </w:lvl>
  </w:abstractNum>
  <w:abstractNum w:abstractNumId="2" w15:restartNumberingAfterBreak="0">
    <w:nsid w:val="3B44518B"/>
    <w:multiLevelType w:val="hybridMultilevel"/>
    <w:tmpl w:val="CD5E186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5CBE3BD1"/>
    <w:multiLevelType w:val="hybridMultilevel"/>
    <w:tmpl w:val="B956A37C"/>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723709C"/>
    <w:multiLevelType w:val="hybridMultilevel"/>
    <w:tmpl w:val="7C647A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D90049"/>
    <w:multiLevelType w:val="hybridMultilevel"/>
    <w:tmpl w:val="4EAA4D4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E474AF1"/>
    <w:multiLevelType w:val="hybridMultilevel"/>
    <w:tmpl w:val="8BCC79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2280543">
    <w:abstractNumId w:val="6"/>
  </w:num>
  <w:num w:numId="2" w16cid:durableId="1719473915">
    <w:abstractNumId w:val="3"/>
  </w:num>
  <w:num w:numId="3" w16cid:durableId="1567838079">
    <w:abstractNumId w:val="5"/>
  </w:num>
  <w:num w:numId="4" w16cid:durableId="211624760">
    <w:abstractNumId w:val="4"/>
  </w:num>
  <w:num w:numId="5" w16cid:durableId="1586307391">
    <w:abstractNumId w:val="0"/>
  </w:num>
  <w:num w:numId="6" w16cid:durableId="1631519073">
    <w:abstractNumId w:val="1"/>
  </w:num>
  <w:num w:numId="7" w16cid:durableId="112592768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novo">
    <w15:presenceInfo w15:providerId="None" w15:userId="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embedTrueTypeFonts/>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472"/>
    <w:rsid w:val="000530FA"/>
    <w:rsid w:val="0010267E"/>
    <w:rsid w:val="001206E5"/>
    <w:rsid w:val="00134CD4"/>
    <w:rsid w:val="00165FD0"/>
    <w:rsid w:val="00166889"/>
    <w:rsid w:val="00166F78"/>
    <w:rsid w:val="00173007"/>
    <w:rsid w:val="00182E29"/>
    <w:rsid w:val="001B5672"/>
    <w:rsid w:val="002013E4"/>
    <w:rsid w:val="00273E5A"/>
    <w:rsid w:val="002A52B9"/>
    <w:rsid w:val="002D62AF"/>
    <w:rsid w:val="002F3114"/>
    <w:rsid w:val="00353E95"/>
    <w:rsid w:val="003A2E9E"/>
    <w:rsid w:val="003A3F1D"/>
    <w:rsid w:val="003A4350"/>
    <w:rsid w:val="00400B7F"/>
    <w:rsid w:val="0041226C"/>
    <w:rsid w:val="00463070"/>
    <w:rsid w:val="00557CCA"/>
    <w:rsid w:val="0056098D"/>
    <w:rsid w:val="005C72EE"/>
    <w:rsid w:val="00617C10"/>
    <w:rsid w:val="00636E91"/>
    <w:rsid w:val="00690151"/>
    <w:rsid w:val="006A238E"/>
    <w:rsid w:val="006C5D82"/>
    <w:rsid w:val="006F31CB"/>
    <w:rsid w:val="007538B1"/>
    <w:rsid w:val="00827833"/>
    <w:rsid w:val="00883E68"/>
    <w:rsid w:val="00886CEA"/>
    <w:rsid w:val="009423A5"/>
    <w:rsid w:val="009520B1"/>
    <w:rsid w:val="009F4195"/>
    <w:rsid w:val="00A56B07"/>
    <w:rsid w:val="00A615EA"/>
    <w:rsid w:val="00A622F3"/>
    <w:rsid w:val="00A75AD1"/>
    <w:rsid w:val="00AE35FD"/>
    <w:rsid w:val="00B50B7B"/>
    <w:rsid w:val="00B66877"/>
    <w:rsid w:val="00B82508"/>
    <w:rsid w:val="00C22594"/>
    <w:rsid w:val="00C30472"/>
    <w:rsid w:val="00C40BFA"/>
    <w:rsid w:val="00C97574"/>
    <w:rsid w:val="00CC4753"/>
    <w:rsid w:val="00CC68EC"/>
    <w:rsid w:val="00D2239B"/>
    <w:rsid w:val="00D87771"/>
    <w:rsid w:val="00DC1DDC"/>
    <w:rsid w:val="00DF1573"/>
    <w:rsid w:val="00DF3D85"/>
    <w:rsid w:val="00E33216"/>
    <w:rsid w:val="00EC45E8"/>
    <w:rsid w:val="00EF2E12"/>
    <w:rsid w:val="00F55765"/>
    <w:rsid w:val="00F67406"/>
    <w:rsid w:val="00F903B5"/>
    <w:rsid w:val="00F93EF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1F355931-663C-4089-8120-06BAEFE90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semiHidden/>
    <w:unhideWhenUsed/>
    <w:rsid w:val="00883E68"/>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883E68"/>
    <w:rPr>
      <w:rFonts w:asciiTheme="minorHAnsi" w:eastAsiaTheme="minorHAnsi" w:hAnsiTheme="minorHAnsi" w:cstheme="minorBidi"/>
      <w:sz w:val="20"/>
      <w:szCs w:val="20"/>
      <w:lang w:eastAsia="en-US"/>
    </w:rPr>
  </w:style>
  <w:style w:type="character" w:styleId="FootnoteReference">
    <w:name w:val="footnote reference"/>
    <w:basedOn w:val="DefaultParagraphFont"/>
    <w:uiPriority w:val="99"/>
    <w:semiHidden/>
    <w:unhideWhenUsed/>
    <w:rsid w:val="00883E68"/>
    <w:rPr>
      <w:vertAlign w:val="superscript"/>
    </w:rPr>
  </w:style>
  <w:style w:type="paragraph" w:styleId="Bibliography">
    <w:name w:val="Bibliography"/>
    <w:basedOn w:val="Normal"/>
    <w:next w:val="Normal"/>
    <w:uiPriority w:val="37"/>
    <w:unhideWhenUsed/>
    <w:rsid w:val="0010267E"/>
    <w:pPr>
      <w:spacing w:after="240"/>
      <w:ind w:left="720" w:hanging="720"/>
    </w:pPr>
  </w:style>
  <w:style w:type="character" w:styleId="CommentReference">
    <w:name w:val="annotation reference"/>
    <w:basedOn w:val="DefaultParagraphFont"/>
    <w:uiPriority w:val="99"/>
    <w:semiHidden/>
    <w:unhideWhenUsed/>
    <w:rsid w:val="00886CEA"/>
    <w:rPr>
      <w:sz w:val="16"/>
      <w:szCs w:val="16"/>
    </w:rPr>
  </w:style>
  <w:style w:type="paragraph" w:styleId="CommentText">
    <w:name w:val="annotation text"/>
    <w:basedOn w:val="Normal"/>
    <w:link w:val="CommentTextChar"/>
    <w:uiPriority w:val="99"/>
    <w:unhideWhenUsed/>
    <w:rsid w:val="00886CEA"/>
    <w:rPr>
      <w:sz w:val="20"/>
      <w:szCs w:val="20"/>
    </w:rPr>
  </w:style>
  <w:style w:type="character" w:customStyle="1" w:styleId="CommentTextChar">
    <w:name w:val="Comment Text Char"/>
    <w:basedOn w:val="DefaultParagraphFont"/>
    <w:link w:val="CommentText"/>
    <w:uiPriority w:val="99"/>
    <w:rsid w:val="00886CEA"/>
    <w:rPr>
      <w:rFonts w:eastAsia="SimSun"/>
      <w:sz w:val="20"/>
      <w:szCs w:val="20"/>
      <w:lang w:eastAsia="zh-CN"/>
    </w:rPr>
  </w:style>
  <w:style w:type="paragraph" w:styleId="CommentSubject">
    <w:name w:val="annotation subject"/>
    <w:basedOn w:val="CommentText"/>
    <w:next w:val="CommentText"/>
    <w:link w:val="CommentSubjectChar"/>
    <w:uiPriority w:val="99"/>
    <w:semiHidden/>
    <w:unhideWhenUsed/>
    <w:rsid w:val="00886CEA"/>
    <w:rPr>
      <w:b/>
      <w:bCs/>
    </w:rPr>
  </w:style>
  <w:style w:type="character" w:customStyle="1" w:styleId="CommentSubjectChar">
    <w:name w:val="Comment Subject Char"/>
    <w:basedOn w:val="CommentTextChar"/>
    <w:link w:val="CommentSubject"/>
    <w:uiPriority w:val="99"/>
    <w:semiHidden/>
    <w:rsid w:val="00886CEA"/>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8/08/relationships/commentsExtensible" Target="commentsExtensible.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17</Pages>
  <Words>6806</Words>
  <Characters>38800</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Lenovo</cp:lastModifiedBy>
  <cp:revision>4</cp:revision>
  <cp:lastPrinted>2025-12-03T06:10:00Z</cp:lastPrinted>
  <dcterms:created xsi:type="dcterms:W3CDTF">2026-06-02T04:25:00Z</dcterms:created>
  <dcterms:modified xsi:type="dcterms:W3CDTF">2026-06-02T05:06:00Z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y fmtid="{D5CDD505-2E9C-101B-9397-08002B2CF9AE}" pid="23" name="ZOTERO_PREF_1">
    <vt:lpwstr>&lt;data data-version="3" zotero-version="7.0.27"&gt;&lt;session id="Tdet6PQk"/&gt;&lt;style id="http://www.zotero.org/styles/chicago-notes-bibliography" locale="en-US" hasBibliography="1" bibliographyStyleHasBeenSet="1"/&gt;&lt;prefs&gt;&lt;pref name="fieldType" value="Field"/&gt;&lt;pr</vt:lpwstr>
  </property>
  <property fmtid="{D5CDD505-2E9C-101B-9397-08002B2CF9AE}" pid="24" name="ZOTERO_PREF_2">
    <vt:lpwstr>ef name="automaticJournalAbbreviations" value="true"/&gt;&lt;pref name="noteType" value="1"/&gt;&lt;pref name="delayCitationUpdates" value="true"/&gt;&lt;pref name="dontAskDelayCitationUpdates" value="true"/&gt;&lt;/prefs&gt;&lt;/data&gt;</vt:lpwstr>
  </property>
</Properties>
</file>