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410"/>
        <w:gridCol w:w="637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6D55C5DE"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Nada Yang Membebaskan:  Struktur Liturgis </w:t>
            </w:r>
            <w:r w:rsidR="00356B83">
              <w:rPr>
                <w:rFonts w:eastAsia="Times New Roman"/>
                <w:b/>
                <w:color w:val="000000"/>
                <w:sz w:val="32"/>
                <w:szCs w:val="32"/>
              </w:rPr>
              <w:t>d</w:t>
            </w:r>
            <w:r>
              <w:rPr>
                <w:rFonts w:eastAsia="Times New Roman"/>
                <w:b/>
                <w:color w:val="000000"/>
                <w:sz w:val="32"/>
                <w:szCs w:val="32"/>
              </w:rPr>
              <w:t xml:space="preserve">an </w:t>
            </w:r>
            <w:r w:rsidR="00081319">
              <w:rPr>
                <w:rFonts w:eastAsia="Times New Roman"/>
                <w:b/>
                <w:color w:val="000000"/>
                <w:sz w:val="32"/>
                <w:szCs w:val="32"/>
              </w:rPr>
              <w:br/>
            </w:r>
            <w:r>
              <w:rPr>
                <w:rFonts w:eastAsia="Times New Roman"/>
                <w:b/>
                <w:color w:val="000000"/>
                <w:sz w:val="32"/>
                <w:szCs w:val="32"/>
              </w:rPr>
              <w:t>Teologi</w:t>
            </w:r>
            <w:r w:rsidR="00081319">
              <w:rPr>
                <w:rFonts w:eastAsia="Times New Roman"/>
                <w:b/>
                <w:color w:val="000000"/>
                <w:sz w:val="32"/>
                <w:szCs w:val="32"/>
              </w:rPr>
              <w:t xml:space="preserve">s </w:t>
            </w:r>
            <w:r w:rsidR="00356B83">
              <w:rPr>
                <w:rFonts w:eastAsia="Times New Roman"/>
                <w:b/>
                <w:color w:val="000000"/>
                <w:sz w:val="32"/>
                <w:szCs w:val="32"/>
              </w:rPr>
              <w:t>d</w:t>
            </w:r>
            <w:r>
              <w:rPr>
                <w:rFonts w:eastAsia="Times New Roman"/>
                <w:b/>
                <w:color w:val="000000"/>
                <w:sz w:val="32"/>
                <w:szCs w:val="32"/>
              </w:rPr>
              <w:t>alam Panggilan Kidung Musa</w:t>
            </w:r>
            <w:r>
              <w:rPr>
                <w:rFonts w:eastAsia="Times New Roman"/>
                <w:b/>
                <w:color w:val="000000"/>
                <w:sz w:val="32"/>
                <w:szCs w:val="32"/>
              </w:rPr>
              <w:br/>
              <w:t>(Keluaran 15:1-21)</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50B7B">
        <w:trPr>
          <w:gridAfter w:val="1"/>
          <w:wAfter w:w="20" w:type="dxa"/>
        </w:trPr>
        <w:tc>
          <w:tcPr>
            <w:tcW w:w="241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379" w:type="dxa"/>
            <w:tcBorders>
              <w:top w:val="single" w:sz="4" w:space="0" w:color="000000"/>
              <w:bottom w:val="single" w:sz="4" w:space="0" w:color="000000"/>
            </w:tcBorders>
          </w:tcPr>
          <w:p w14:paraId="39FE42EB" w14:textId="1D264BFD"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w:t>
            </w:r>
            <w:r w:rsidR="00911D84">
              <w:rPr>
                <w:rFonts w:ascii="Lustria" w:eastAsia="Lustria" w:hAnsi="Lustria" w:cs="Lustria"/>
                <w:b/>
                <w:color w:val="000000"/>
                <w:sz w:val="36"/>
                <w:szCs w:val="36"/>
                <w:vertAlign w:val="subscript"/>
              </w:rPr>
              <w:t>K</w:t>
            </w:r>
          </w:p>
          <w:p w14:paraId="4276D9BE" w14:textId="49318DFD" w:rsidR="00CC68EC" w:rsidRPr="002F3DEF" w:rsidRDefault="00A615EA" w:rsidP="00883E68">
            <w:pPr>
              <w:jc w:val="both"/>
              <w:rPr>
                <w:b/>
                <w:sz w:val="20"/>
                <w:szCs w:val="20"/>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Kidung Musa dalam Keluaran 15:1-21 merupakan teks liturgis penting yang mengonstruksi pengalaman eksodus sebagai dasar identitas teologis Israel. Penelitian ini dilatarbelakangi oleh kebutuhan untuk memahami bagaimana struktur liturgis dari teks ini memproduksi kesadaran panggilan umat secara teologis. Oleh karena itu tujuan penelitian ini ialah menganalisis struktur liturgis Kidung Musa dan mengevaluasi implikasi teologi panggilannya</w:t>
            </w:r>
            <w:r w:rsidR="00911D84">
              <w:rPr>
                <w:rFonts w:eastAsia="Times New Roman"/>
                <w:sz w:val="22"/>
                <w:szCs w:val="22"/>
              </w:rPr>
              <w:t xml:space="preserve">. </w:t>
            </w:r>
            <w:r w:rsidR="00883E68" w:rsidRPr="00883E68">
              <w:rPr>
                <w:rFonts w:eastAsia="Times New Roman"/>
                <w:sz w:val="22"/>
                <w:szCs w:val="22"/>
              </w:rPr>
              <w:t xml:space="preserve"> </w:t>
            </w:r>
            <w:r w:rsidR="00911D84" w:rsidRPr="00911D84">
              <w:rPr>
                <w:rFonts w:eastAsia="Times New Roman"/>
                <w:sz w:val="22"/>
                <w:szCs w:val="22"/>
              </w:rPr>
              <w:t xml:space="preserve">Metode yang digunakan ialah metode </w:t>
            </w:r>
            <w:r w:rsidR="00883E68" w:rsidRPr="00911D84">
              <w:rPr>
                <w:rFonts w:eastAsia="Times New Roman"/>
                <w:sz w:val="22"/>
                <w:szCs w:val="22"/>
              </w:rPr>
              <w:t xml:space="preserve">kualitatif </w:t>
            </w:r>
            <w:r w:rsidR="00911D84" w:rsidRPr="00911D84">
              <w:rPr>
                <w:rFonts w:eastAsia="Times New Roman"/>
                <w:sz w:val="22"/>
                <w:szCs w:val="22"/>
              </w:rPr>
              <w:t xml:space="preserve">dengan pendekatan </w:t>
            </w:r>
            <w:r w:rsidR="00911D84" w:rsidRPr="00911D84">
              <w:rPr>
                <w:sz w:val="22"/>
                <w:szCs w:val="22"/>
              </w:rPr>
              <w:t>analisis biblika teologis</w:t>
            </w:r>
            <w:r w:rsidR="00911D84">
              <w:rPr>
                <w:rFonts w:eastAsia="Times New Roman"/>
                <w:sz w:val="22"/>
                <w:szCs w:val="22"/>
              </w:rPr>
              <w:t xml:space="preserve"> untuk </w:t>
            </w:r>
            <w:r w:rsidR="00883E68" w:rsidRPr="00883E68">
              <w:rPr>
                <w:rFonts w:eastAsia="Times New Roman"/>
                <w:sz w:val="22"/>
                <w:szCs w:val="22"/>
              </w:rPr>
              <w:t xml:space="preserve"> 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 xml:space="preserve">Penelitian ini menunjukkan bahwa Kidung Musa memiliki struktur liturgis yang jelas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w:t>
            </w:r>
            <w:r w:rsidR="00400B7F" w:rsidRPr="002F3DEF">
              <w:rPr>
                <w:sz w:val="22"/>
                <w:szCs w:val="22"/>
              </w:rPr>
              <w:t>Kontribusi penelitian ini terletak pada penegasan bahwa Kidung Musa perlu dibaca sebagai teks liturgis-performatif yang berfungsi membentuk identitas perjanjian dan kesadaran panggilan umat</w:t>
            </w:r>
            <w:r w:rsidR="00081319">
              <w:rPr>
                <w:sz w:val="22"/>
                <w:szCs w:val="22"/>
              </w:rPr>
              <w:t xml:space="preserve">. </w:t>
            </w:r>
            <w:r w:rsidR="00400B7F" w:rsidRPr="002F3DEF">
              <w:rPr>
                <w:sz w:val="22"/>
                <w:szCs w:val="22"/>
              </w:rPr>
              <w:t>Sehingga, penelitian ini memperkaya kajian teologi biblika dan liturgi dengan menunjukkan bagaimana memori pembebasan, struktur ibadah, dan panggilan etis umat terjalin secara integral dalam tradisi eksodus.</w:t>
            </w: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8AABD1C" w:rsidR="00883E68" w:rsidRPr="00883E68" w:rsidRDefault="00883E68" w:rsidP="00883E68">
            <w:pPr>
              <w:rPr>
                <w:sz w:val="22"/>
                <w:szCs w:val="22"/>
              </w:rPr>
            </w:pPr>
            <w:r w:rsidRPr="00883E68">
              <w:rPr>
                <w:sz w:val="22"/>
                <w:szCs w:val="22"/>
              </w:rPr>
              <w:t xml:space="preserve">Kidung Musa, Liturgis, Teologi Panggilan, </w:t>
            </w:r>
            <w:r w:rsidR="00400B7F">
              <w:rPr>
                <w:sz w:val="22"/>
                <w:szCs w:val="22"/>
              </w:rPr>
              <w:t>Keluaran 15:1-21</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4925E677" w14:textId="77777777" w:rsidR="00400B7F" w:rsidRDefault="00400B7F">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74A19BE" w14:textId="013805BD" w:rsidR="00911D84" w:rsidRPr="00911D84" w:rsidRDefault="00911D84" w:rsidP="00911D84">
            <w:pPr>
              <w:jc w:val="both"/>
              <w:rPr>
                <w:rFonts w:eastAsia="Times New Roman"/>
                <w:i/>
                <w:sz w:val="22"/>
                <w:szCs w:val="22"/>
                <w:lang w:val="en-ID"/>
              </w:rPr>
            </w:pPr>
            <w:r w:rsidRPr="00911D84">
              <w:rPr>
                <w:rFonts w:eastAsia="Times New Roman"/>
                <w:i/>
                <w:sz w:val="22"/>
                <w:szCs w:val="22"/>
                <w:lang w:val="en-ID"/>
              </w:rPr>
              <w:t xml:space="preserve">The Song of Moses in Exodus 15:1–21 is a significant liturgical text that constructs the Exodus experience as the foundation of Israel’s </w:t>
            </w:r>
            <w:r w:rsidRPr="00911D84">
              <w:rPr>
                <w:rFonts w:eastAsia="Times New Roman"/>
                <w:i/>
                <w:sz w:val="22"/>
                <w:szCs w:val="22"/>
                <w:lang w:val="en-ID"/>
              </w:rPr>
              <w:lastRenderedPageBreak/>
              <w:t>theological identity. This study is motivated by the need to understand how the liturgical structure of this text not only records the event of deliverance but also generates a theological consciousness of calling among God’s people. Therefore, the purpose of this research is to analyze the liturgical structure of the Song of Moses and to evaluate its implications for a theology of calling.</w:t>
            </w:r>
            <w:r>
              <w:rPr>
                <w:rFonts w:eastAsia="Times New Roman"/>
                <w:i/>
                <w:sz w:val="22"/>
                <w:szCs w:val="22"/>
                <w:lang w:val="en-ID"/>
              </w:rPr>
              <w:t xml:space="preserve"> </w:t>
            </w:r>
            <w:r w:rsidRPr="00911D84">
              <w:rPr>
                <w:rFonts w:eastAsia="Times New Roman"/>
                <w:i/>
                <w:sz w:val="22"/>
                <w:szCs w:val="22"/>
                <w:lang w:val="en-ID"/>
              </w:rPr>
              <w:t>This study employs a qualitative method with a theological-biblical analytical approach to examine the text’s rhetorical devices, poetic structure, musical performativity, and communal participation. The findings demonstrate that the Song of Moses possesses a clear liturgical structure consisting of: the proclamation of God’s salvation, the narrative of deliverance, the declaration of God’s reign, and the prophetic and communal response expressed through singing and dancing. The theological analysis reveals that God is portrayed as the Divine Warrior who acts in steadfast love, while the people are called to respond through worship, covenant identity, and ethical participation in the mission of liberation.</w:t>
            </w:r>
            <w:r>
              <w:rPr>
                <w:rFonts w:eastAsia="Times New Roman"/>
                <w:i/>
                <w:sz w:val="22"/>
                <w:szCs w:val="22"/>
                <w:lang w:val="en-ID"/>
              </w:rPr>
              <w:t xml:space="preserve"> </w:t>
            </w:r>
            <w:r w:rsidRPr="00911D84">
              <w:rPr>
                <w:rFonts w:eastAsia="Times New Roman"/>
                <w:i/>
                <w:sz w:val="22"/>
                <w:szCs w:val="22"/>
                <w:lang w:val="en-ID"/>
              </w:rPr>
              <w:t>The contribution of this study lies in its affirmation that the Song of Moses should be read as a liturgical-performative text that functions to shape covenant identity and the community’s awareness of divine calling, rather than merely as a historical victory hymn. Consequently, this research enriches the fields of biblical theology and liturgical studies by demonstrating how the memory of deliverance, the structure of worship, and the ethical calling of God’s people are integrally woven together within the Exodus tradition.</w:t>
            </w: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7E7C309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 xml:space="preserve">Song of Moses, Liturgical Structure, Theology </w:t>
            </w:r>
            <w:r w:rsidR="006C5D82">
              <w:rPr>
                <w:rFonts w:eastAsia="Times New Roman"/>
                <w:sz w:val="22"/>
                <w:szCs w:val="22"/>
              </w:rPr>
              <w:t>of Calling, Exodus 15:1-21</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0D20F782" w:rsidR="00CC68EC" w:rsidRDefault="00CC68EC" w:rsidP="00CC68EC">
      <w:pPr>
        <w:pStyle w:val="NormalWeb"/>
        <w:spacing w:before="0" w:beforeAutospacing="0" w:after="0" w:afterAutospacing="0"/>
        <w:ind w:firstLine="720"/>
        <w:jc w:val="both"/>
      </w:pPr>
      <w:r>
        <w:t>Kidung Musa dalam Keluaran 15:1-21 secara luas dipahami sebagai respons liturgis pertama yang direkam dalam sejarah teologi Israel. Banyak studi menempatkannya sebagai “momen definisional” dalam narasi Keluaran yaitu sebuah titik di mana pengalaman historis pembebasan diterjemahkan menjadi identitas teologis melalui praktik ibadah komunal. Peralihan dari narasi prosa dalam pasal 14 ke bentuk puisi dalam pasal 15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18C8EE5C" w:rsidR="00C30472" w:rsidRPr="00CC68EC" w:rsidRDefault="00CC68EC" w:rsidP="00CC68EC">
      <w:pPr>
        <w:pStyle w:val="NormalWeb"/>
        <w:spacing w:before="0" w:beforeAutospacing="0" w:after="0" w:afterAutospacing="0"/>
        <w:ind w:firstLine="720"/>
        <w:jc w:val="both"/>
        <w:sectPr w:rsidR="00C30472" w:rsidRPr="00CC68EC">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r>
        <w:t xml:space="preserve">Kajian terbaru menegaskan bahwa Kidung Musa </w:t>
      </w:r>
      <w:r w:rsidR="00964AC1">
        <w:t>merupakan</w:t>
      </w:r>
      <w:r>
        <w:t xml:space="preserve"> tindakan liturgis yang memiliki fungsi kanonik dalam formasi identitas. Hamilton, menafsirkan ini sebagai perangkat teologis yang sengaja dibentuk untuk mengarahkan perhatian umat kepada inisiatif penyelamatan Allah dan respons umat berupa penyembahan.</w:t>
      </w:r>
      <w:r w:rsidRPr="000C6E79">
        <w:rPr>
          <w:rStyle w:val="FootnoteReference"/>
          <w:rFonts w:eastAsia="Calibri"/>
        </w:rPr>
        <w:footnoteReference w:id="1"/>
      </w:r>
      <w:r>
        <w:t xml:space="preserve"> Ia menunjukkan bahwa penyusunan puitis</w:t>
      </w:r>
      <w:r w:rsidR="00FC11A3">
        <w:t xml:space="preserve"> </w:t>
      </w:r>
      <w:r>
        <w:t xml:space="preserve">merupakan sebuah liturgis yang mendorong umat menginternalisasi keyakinan mereka misalnya pengakuan akan kekuatan Allah, penghancuran musuh, dan peneguhan masa depan umat. Sehingga, liturgi dalam Kidung Musa bekerja secara pedagogis </w:t>
      </w:r>
      <w:r>
        <w:lastRenderedPageBreak/>
        <w:t>yaitu membentuk cara umat melihat sejarah, Tuhan, diri mereka, dan bangsa-bangsa lain.</w:t>
      </w:r>
      <w:r>
        <w:rPr>
          <w:lang w:val="en-US"/>
        </w:rPr>
        <w:t xml:space="preserve"> </w:t>
      </w:r>
      <w:r>
        <w:t>Dengan kata lain, pujian dalam Kidung Musa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6F6CEB8D" w:rsidR="00883E68" w:rsidRDefault="00883E68" w:rsidP="00CC68EC">
      <w:pPr>
        <w:pStyle w:val="NormalWeb"/>
        <w:spacing w:before="0" w:beforeAutospacing="0" w:after="0" w:afterAutospacing="0"/>
        <w:ind w:firstLine="720"/>
        <w:jc w:val="both"/>
      </w:pPr>
      <w:r>
        <w:t>Evans menegaskan bahwa penggunaan rebana dan tarian oleh perempuan Israel merupakan bentuk legitimasi peran publik perempuan dalam ibadah, yang pada banyak budaya timur dekat kuno direduksi atau dibatasi.</w:t>
      </w:r>
      <w:r w:rsidRPr="000C6E79">
        <w:rPr>
          <w:rStyle w:val="FootnoteReference"/>
          <w:rFonts w:eastAsia="Calibri"/>
        </w:rPr>
        <w:footnoteReference w:id="2"/>
      </w:r>
      <w:r>
        <w:t xml:space="preserve"> Artinya, liturgi pembebasan dalam Kidung Musa membuka ruang baru bagi partisipasi komunitas secara penuh.</w:t>
      </w:r>
    </w:p>
    <w:p w14:paraId="1BE8C8F4" w14:textId="2B53CB47" w:rsidR="00883E68" w:rsidRDefault="00883E68" w:rsidP="00883E68">
      <w:pPr>
        <w:pStyle w:val="NormalWeb"/>
        <w:spacing w:before="0" w:beforeAutospacing="0" w:after="0" w:afterAutospacing="0"/>
        <w:ind w:firstLine="720"/>
        <w:jc w:val="both"/>
      </w:pPr>
      <w:r>
        <w:t>Hal ini diperkuat oleh penelitian Asamoah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FootnoteReference"/>
          <w:rFonts w:eastAsia="Calibri"/>
        </w:rPr>
        <w:footnoteReference w:id="3"/>
      </w:r>
      <w:r>
        <w:t xml:space="preserve"> Ketika diterapkan pada Kidung Musa, temuan ini memperjelas bahwa “nada” dalam himne tersebut yakni musik, ritme, respons antiphonal, dan instrumen, </w:t>
      </w:r>
      <w:r w:rsidR="00B626F3">
        <w:t>adalah</w:t>
      </w:r>
      <w:r>
        <w:t xml:space="preserve"> inti dari performativitas teologis yang membebaskan. Nada itu sendiri menjadi alat pembebasan yang mengikat komunitas dalam pengalaman bersama dan menegaskan bahwa penyembahan adalah respons eksistensial</w:t>
      </w:r>
      <w:r w:rsidR="00081319">
        <w:t>.</w:t>
      </w:r>
    </w:p>
    <w:p w14:paraId="4C71F482" w14:textId="7CB7158A" w:rsidR="00883E68" w:rsidRDefault="00883E68" w:rsidP="00883E68">
      <w:pPr>
        <w:pStyle w:val="NormalWeb"/>
        <w:spacing w:before="0" w:beforeAutospacing="0" w:after="0" w:afterAutospacing="0"/>
        <w:ind w:firstLine="720"/>
        <w:jc w:val="both"/>
      </w:pPr>
      <w:r>
        <w:t>Selain itu, pembacaan komparatif terhadap tradisi timur dekat kuno memberikan sudut pandang yang memperkuat pemahaman teologis ini. Studi narati</w:t>
      </w:r>
      <w:r w:rsidR="00B20610">
        <w:t xml:space="preserve">f </w:t>
      </w:r>
      <w:r>
        <w:t xml:space="preserve">historis dalam himne timur dekat kuno menunjukkan bahwa lagu kemenangan biasanya berfungsi untuk meneguhkan legitimasi raja, tetapi Kidung Musa secara radikal memindahkan pusat perhatian, </w:t>
      </w:r>
      <w:r w:rsidR="00B20610">
        <w:t xml:space="preserve">yaitu kepada </w:t>
      </w:r>
      <w:r>
        <w:t xml:space="preserve"> Allah sebagai subjek tunggal pembebasan.</w:t>
      </w:r>
      <w:r w:rsidRPr="000C6E79">
        <w:rPr>
          <w:rStyle w:val="FootnoteReference"/>
          <w:rFonts w:eastAsia="Calibri"/>
        </w:rPr>
        <w:footnoteReference w:id="4"/>
      </w:r>
      <w:r>
        <w:t xml:space="preserve"> </w:t>
      </w:r>
      <w:r w:rsidR="00B20610">
        <w:t>L</w:t>
      </w:r>
      <w:r>
        <w:t>iturgi dalam Kidung Musa sekaligus merupakan pernyataan teologis yang menegaskan perbuatan Allah sebagai kekuatan yang membebaskan. Perbedaan teologis ini memperjelas mengapa Kidung Musa menjadi model liturgis utama dalam memori Israel.</w:t>
      </w:r>
    </w:p>
    <w:p w14:paraId="4ABDFE16" w14:textId="404AB1AE" w:rsidR="00883E68" w:rsidRDefault="00883E68" w:rsidP="00883E68">
      <w:pPr>
        <w:pStyle w:val="NormalWeb"/>
        <w:spacing w:before="0" w:beforeAutospacing="0" w:after="0" w:afterAutospacing="0"/>
        <w:ind w:firstLine="720"/>
        <w:jc w:val="both"/>
      </w:pPr>
      <w:r>
        <w:t xml:space="preserve">Selain itu juga Chia, menyoroti bahwa struktur puisi Kidung Musa mengekspresikan relasi dialektis antara tindakan Allah dan respons umat. </w:t>
      </w:r>
      <w:r w:rsidRPr="000C6E79">
        <w:rPr>
          <w:rStyle w:val="FootnoteReference"/>
          <w:rFonts w:eastAsia="Calibri"/>
        </w:rPr>
        <w:footnoteReference w:id="5"/>
      </w:r>
      <w:r>
        <w:t xml:space="preserve">Ia menekankan bahwa liturgi dalam teks ini </w:t>
      </w:r>
      <w:r w:rsidR="00FC11A3">
        <w:t>menjelaskan bahwa</w:t>
      </w:r>
      <w:r>
        <w:t xml:space="preserve"> umat dipanggil untuk menyatakan kembali tindakan itu melalui doa, nyanyian, dan misi. Sehingga dalam hal ini, Kidung Musa </w:t>
      </w:r>
      <w:r w:rsidR="00FC11A3">
        <w:t>adalah</w:t>
      </w:r>
      <w:r>
        <w:t xml:space="preserve">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Emphasis"/>
        </w:rPr>
        <w:t>Shirat ha-Yam</w:t>
      </w:r>
      <w:r>
        <w:t xml:space="preserve"> menunjukkan bahwa selama berabad-abad teks ini dipraktikkan sebagai liturgi yang tidak berubah, menandakan bahwa fungsi liturgisnya lebih kuat dibanding fungsi naratifnya.</w:t>
      </w:r>
      <w:r w:rsidRPr="000C6E79">
        <w:rPr>
          <w:rStyle w:val="FootnoteReference"/>
          <w:rFonts w:eastAsia="Calibri"/>
        </w:rPr>
        <w:footnoteReference w:id="6"/>
      </w:r>
      <w:r>
        <w:t xml:space="preserve"> Hal ini mempertegas bahwa liturgi berfungsi sebagai alat transgenerasional yang mentransmisikan teologi pembebasan dari generasi ke generasi.</w:t>
      </w:r>
    </w:p>
    <w:p w14:paraId="4AFB5EE5" w14:textId="6FBB1EFC" w:rsidR="00883E68" w:rsidRPr="009C6D41" w:rsidRDefault="00883E68" w:rsidP="00883E68">
      <w:pPr>
        <w:ind w:firstLine="720"/>
        <w:jc w:val="both"/>
      </w:pPr>
      <w:r w:rsidRPr="009820EE">
        <w:t xml:space="preserve">Dari keseluruhan interaksi literatur tersebut, </w:t>
      </w:r>
      <w:r w:rsidRPr="009C6D41">
        <w:t xml:space="preserve">terdapat celah yang perlu dijembatani. </w:t>
      </w:r>
      <w:r w:rsidR="009C6D41" w:rsidRPr="009C6D41">
        <w:t xml:space="preserve">Penelitian terdahulu telah mengkaji Kidung Musa dari berbagai perspektif, antara lain sebagai puisi kemenangan, memori teologis, performativitas liturgis, pembentukan identitas komunitas, fungsi musik, serta relasinya dengan tradisi Timur Dekat Kuno. Namun, kajian-kajian tersebut umumnya berhenti pada fungsi liturgis sebagai sarana peringatan dan pembentukan identitas umat. Belum banyak penelitian yang secara khusus menjelaskan bagaimana struktur liturgis Kidung Musa menghasilkan dan membentuk kesadaran panggilan umat Israel. </w:t>
      </w:r>
      <w:r w:rsidR="00B20610">
        <w:t>H</w:t>
      </w:r>
      <w:r w:rsidR="009C6D41" w:rsidRPr="009C6D41">
        <w:t xml:space="preserve">ubungan </w:t>
      </w:r>
      <w:r w:rsidR="009C6D41" w:rsidRPr="009C6D41">
        <w:lastRenderedPageBreak/>
        <w:t>antara unsur-unsur liturgis teks dan teologi panggilan masih belum mendapatkan perhatian yang memadai.</w:t>
      </w:r>
      <w:r w:rsidR="009C6D41" w:rsidRPr="009C6D41">
        <w:t xml:space="preserve"> </w:t>
      </w:r>
      <w:r w:rsidR="009C6D41" w:rsidRPr="009C6D41">
        <w:t>Novelty ini terletak pada pembacaan Kidung Musa sebagai paradigma liturgi</w:t>
      </w:r>
      <w:r w:rsidR="009C6D41" w:rsidRPr="009C6D41">
        <w:t xml:space="preserve"> </w:t>
      </w:r>
      <w:r w:rsidR="009C6D41" w:rsidRPr="009C6D41">
        <w:t>panggilan yaitu bahwa struktur liturgis Keluaran 15  secara teologis membentuk kesadaran panggilan umat untuk hidup dalam identitas perjanjian, penyembahan, dan partisipasi dalam misi pembebasan Allah.</w:t>
      </w:r>
    </w:p>
    <w:p w14:paraId="0D134F0E" w14:textId="380E408B" w:rsidR="00C30472" w:rsidRDefault="006C5D82" w:rsidP="00182E29">
      <w:pPr>
        <w:ind w:firstLine="720"/>
        <w:jc w:val="both"/>
        <w:sectPr w:rsidR="00C30472">
          <w:pgSz w:w="11906" w:h="16838"/>
          <w:pgMar w:top="1418" w:right="1133" w:bottom="1418" w:left="1701" w:header="708" w:footer="708" w:gutter="0"/>
          <w:cols w:space="720"/>
        </w:sectPr>
      </w:pPr>
      <w:r>
        <w:t>Kontribusi utama penelitian ini terletak pada penegasan bahwa dimensi “nada” dalam Kidung Musa</w:t>
      </w:r>
      <w:r w:rsidR="00182E29">
        <w:t xml:space="preserve"> </w:t>
      </w:r>
      <w:r>
        <w:t xml:space="preserve">berfungsi sebagai medium teologis yang secara formatif membentuk identitas perjanjian serta orientasi etis umat. </w:t>
      </w:r>
      <w:r w:rsidR="00182E29">
        <w:t>Oleh karena</w:t>
      </w:r>
      <w:r>
        <w:t xml:space="preserve">, liturgi dipahami sebagai </w:t>
      </w:r>
      <w:r w:rsidR="00356B83">
        <w:t>f</w:t>
      </w:r>
      <w:r>
        <w:t>o</w:t>
      </w:r>
      <w:r w:rsidR="00356B83">
        <w:t>k</w:t>
      </w:r>
      <w:r>
        <w:t>us formasi teologis di mana panggilan umat dikonstruksi dan diaktualisasikan melalui kesaksian dan partisipasi akti</w:t>
      </w:r>
      <w:r w:rsidR="00182E29">
        <w:t xml:space="preserve">f dalam karya pembebasan Allah. </w:t>
      </w:r>
      <w:r>
        <w:t>Sejalan dengan fokus tersebut, pertanyaan penelitian ini dirumuskan sebagai berikut: bagaimana struktur liturgis Kidung Musa (Keluaran 15:1–21) mengonstruksi teologi pembebasan dan membentuk pemahaman umat tentang panggilan mereka dalam kerangka identitas perjanjian?</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2DB86AEA" w:rsidR="00C30472" w:rsidRPr="00A75AD1" w:rsidRDefault="00A615EA">
      <w:pPr>
        <w:tabs>
          <w:tab w:val="left" w:pos="284"/>
        </w:tabs>
        <w:jc w:val="both"/>
        <w:rPr>
          <w:b/>
          <w:color w:val="EE0000"/>
        </w:rPr>
      </w:pPr>
      <w:r>
        <w:rPr>
          <w:b/>
        </w:rPr>
        <w:t>METODE PENELITIAN</w:t>
      </w:r>
      <w:r w:rsidR="00A75AD1">
        <w:rPr>
          <w:b/>
        </w:rPr>
        <w:t xml:space="preserve"> </w:t>
      </w:r>
    </w:p>
    <w:p w14:paraId="6C4811C0" w14:textId="0272A1F2" w:rsidR="00C30472" w:rsidRDefault="00883E68" w:rsidP="00182E29">
      <w:pPr>
        <w:ind w:firstLine="720"/>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w:t>
      </w:r>
      <w:r w:rsidR="00182E29" w:rsidRPr="00182E29">
        <w:t>Pendekatan ini sejalan dengan kerangka penelitian teologi biblika yang menempatkan teks Kitab Suci sebagai kesatuan teologis yang dibaca dalam konteks</w:t>
      </w:r>
      <w:r w:rsidR="005C72EE">
        <w:t xml:space="preserve"> kanonik dan praksis iman umat.</w:t>
      </w:r>
      <w:r w:rsidR="005C72EE">
        <w:rPr>
          <w:rStyle w:val="FootnoteReference"/>
        </w:rPr>
        <w:footnoteReference w:id="7"/>
      </w:r>
      <w:r w:rsidR="005C72EE">
        <w:t xml:space="preserve"> Penelitian ini menggunakan pendekatan Teologi Biblika</w:t>
      </w:r>
      <w:r w:rsidR="005C72EE" w:rsidRPr="005C72EE">
        <w:t xml:space="preserve"> untuk mengaitkan temuan tekstual dengan tema besar pembebasan, identitas perjanjian, dan panggilan umat dalam tradisi Israel. Pendekatan integratif ini memungkinkan pembacaan Keluaran 15:1</w:t>
      </w:r>
      <w:r w:rsidR="00B20610">
        <w:t>-</w:t>
      </w:r>
      <w:r w:rsidR="005C72EE" w:rsidRPr="005C72EE">
        <w:t>21 sebagai liturgi yang secara aktif membentuk memori teologis, orientasi etis, dan kesadaran panggilan umat Allah. Pemahaman ini sejalan dengan refleksi teologi ibadah di Indonesia yang menekankan bahwa liturgi berfungsi sebagai ruang formasi i</w:t>
      </w:r>
      <w:r w:rsidR="005C72EE">
        <w:t>man dan praksis kehidupan umat.</w:t>
      </w:r>
      <w:r w:rsidR="005C72EE">
        <w:rPr>
          <w:rStyle w:val="FootnoteReference"/>
        </w:rPr>
        <w:footnoteReference w:id="8"/>
      </w:r>
    </w:p>
    <w:p w14:paraId="089C5FC9" w14:textId="77777777" w:rsidR="005C72EE" w:rsidRDefault="005C72EE" w:rsidP="00182E29">
      <w:pPr>
        <w:ind w:firstLine="720"/>
        <w:jc w:val="both"/>
      </w:pPr>
    </w:p>
    <w:p w14:paraId="4BB2B336" w14:textId="77777777" w:rsidR="00182E29" w:rsidRDefault="00182E29" w:rsidP="00182E29">
      <w:pPr>
        <w:ind w:firstLine="720"/>
        <w:jc w:val="both"/>
        <w:rPr>
          <w:b/>
        </w:rPr>
      </w:pPr>
    </w:p>
    <w:p w14:paraId="23DDDC07" w14:textId="77777777" w:rsidR="00C30472" w:rsidRDefault="00A615EA">
      <w:pPr>
        <w:jc w:val="both"/>
        <w:rPr>
          <w:b/>
        </w:rPr>
      </w:pPr>
      <w:r>
        <w:rPr>
          <w:b/>
        </w:rPr>
        <w:t>HASIL DAN PEMBAHASAN</w:t>
      </w:r>
    </w:p>
    <w:p w14:paraId="6B0FD2E5" w14:textId="2ABE5277" w:rsidR="0010267E" w:rsidRDefault="0010267E" w:rsidP="0010267E">
      <w:pPr>
        <w:jc w:val="center"/>
        <w:rPr>
          <w:b/>
        </w:rPr>
      </w:pPr>
      <w:r>
        <w:rPr>
          <w:b/>
        </w:rPr>
        <w:br/>
      </w:r>
      <w:r w:rsidRPr="00BD61B7">
        <w:rPr>
          <w:b/>
        </w:rPr>
        <w:t xml:space="preserve">Struktur </w:t>
      </w:r>
      <w:r w:rsidR="00CB2B6A">
        <w:rPr>
          <w:b/>
        </w:rPr>
        <w:t xml:space="preserve">Khiastik </w:t>
      </w:r>
      <w:r w:rsidRPr="00BD61B7">
        <w:rPr>
          <w:b/>
        </w:rPr>
        <w:t>Liturgis</w:t>
      </w:r>
      <w:r w:rsidR="00CB2B6A">
        <w:rPr>
          <w:b/>
        </w:rPr>
        <w:t xml:space="preserve"> Musa dalam</w:t>
      </w:r>
      <w:r>
        <w:rPr>
          <w:b/>
        </w:rPr>
        <w:t xml:space="preserve"> Keluaran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2F8F45A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206312FD"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w:t>
      </w:r>
      <w:r w:rsidR="00356B83">
        <w:rPr>
          <w:rFonts w:ascii="Times New Roman" w:hAnsi="Times New Roman"/>
          <w:sz w:val="24"/>
          <w:szCs w:val="24"/>
        </w:rPr>
        <w:t>l</w:t>
      </w:r>
      <w:r w:rsidRPr="00FC24E1">
        <w:rPr>
          <w:rFonts w:ascii="Times New Roman" w:hAnsi="Times New Roman"/>
          <w:sz w:val="24"/>
          <w:szCs w:val="24"/>
        </w:rPr>
        <w:t>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0ED67886" w:rsidR="0010267E" w:rsidRDefault="0010267E" w:rsidP="0010267E">
      <w:pPr>
        <w:pStyle w:val="ListParagraph"/>
        <w:numPr>
          <w:ilvl w:val="0"/>
          <w:numId w:val="3"/>
        </w:numPr>
        <w:spacing w:after="0" w:line="240" w:lineRule="auto"/>
        <w:jc w:val="both"/>
        <w:rPr>
          <w:rFonts w:ascii="Times New Roman" w:hAnsi="Times New Roman"/>
          <w:sz w:val="24"/>
          <w:szCs w:val="24"/>
        </w:rPr>
      </w:pPr>
      <w:r w:rsidRPr="009C6D41">
        <w:rPr>
          <w:rFonts w:ascii="Times New Roman" w:hAnsi="Times New Roman"/>
          <w:sz w:val="24"/>
          <w:szCs w:val="24"/>
        </w:rPr>
        <w:t>Nya</w:t>
      </w:r>
      <w:r w:rsidR="009C6D41" w:rsidRPr="009C6D41">
        <w:rPr>
          <w:rFonts w:ascii="Times New Roman" w:hAnsi="Times New Roman"/>
          <w:sz w:val="24"/>
          <w:szCs w:val="24"/>
        </w:rPr>
        <w:t>n</w:t>
      </w:r>
      <w:r w:rsidRPr="009C6D41">
        <w:rPr>
          <w:rFonts w:ascii="Times New Roman" w:hAnsi="Times New Roman"/>
          <w:sz w:val="24"/>
          <w:szCs w:val="24"/>
        </w:rPr>
        <w:t xml:space="preserve">yian umat </w:t>
      </w:r>
      <w:r w:rsidRPr="00FC24E1">
        <w:rPr>
          <w:rFonts w:ascii="Times New Roman" w:hAnsi="Times New Roman"/>
          <w:sz w:val="24"/>
          <w:szCs w:val="24"/>
        </w:rPr>
        <w:t>(21)</w:t>
      </w:r>
    </w:p>
    <w:p w14:paraId="40FF920B" w14:textId="77777777" w:rsidR="00CB2B6A" w:rsidRDefault="00CB2B6A" w:rsidP="00CB2B6A">
      <w:pPr>
        <w:jc w:val="both"/>
      </w:pPr>
    </w:p>
    <w:p w14:paraId="147AB8E9" w14:textId="02BB754B" w:rsidR="008559D1" w:rsidRDefault="008559D1" w:rsidP="008559D1">
      <w:pPr>
        <w:ind w:firstLine="180"/>
        <w:jc w:val="both"/>
      </w:pPr>
      <w:r w:rsidRPr="008559D1">
        <w:lastRenderedPageBreak/>
        <w:t>Setelah mengidentifikasi struktur liturgis Keluaran 15:1-21 yang terdiri dari empat blok utama pembukaan liturgis (1-3), tindakan pembebasan Allah (4-12), pemerintahan Allah atas umat dan bangsa-bangsa (13-18), dan penutup liturgis (19-21)</w:t>
      </w:r>
      <w:r w:rsidR="00356B83">
        <w:t xml:space="preserve"> </w:t>
      </w:r>
      <w:r w:rsidRPr="008559D1">
        <w:t xml:space="preserve">analisis lebih lanjut menunjukkan bahwa keempat blok tersebut tersusun dalam pola kiastik A-B-B'-A' yang mencerminkan kesatuan komposisi literer yang lebih dalam. Pembukaan liturgis (A, 1-3) dan penutup liturgis (A', 19-21) berpasangan sebagai bingkai luar yang simetris, keduanya memuat deklarasi pujian umat kepada TUHAN atas karya keselamatan-Nya, sementara nyanyian Musa di awal bergema kembali dalam tarian dan nyanyian Miryam di akhir. Di dalam bingkai itu, blok tindakan pembebasan Allah (B, 4-12) dan blok pemerintahan Allah atas umat dan bangsa-bangsa (B', 13-18) berpasangan secara terbalik: B berbicara tentang Allah yang bertindak </w:t>
      </w:r>
      <w:r w:rsidRPr="008559D1">
        <w:rPr>
          <w:i/>
          <w:iCs/>
        </w:rPr>
        <w:t>terhadap musuh</w:t>
      </w:r>
      <w:r w:rsidRPr="008559D1">
        <w:t xml:space="preserve"> di masa lalu dengan menenggelamkan kereta Firaun ke dalam laut, sedangkan B' berbicara tentang Allah yang bertindak </w:t>
      </w:r>
      <w:r w:rsidRPr="008559D1">
        <w:rPr>
          <w:i/>
          <w:iCs/>
        </w:rPr>
        <w:t>bagi umat-Nya</w:t>
      </w:r>
      <w:r w:rsidRPr="008559D1">
        <w:t xml:space="preserve"> di masa depan dengan memimpin mereka ke tempat kudus-Nya sambil membuat bangsa-bangsa gentar. </w:t>
      </w:r>
      <w:r>
        <w:t>S</w:t>
      </w:r>
      <w:r w:rsidRPr="008559D1">
        <w:t>truktur kiastik ini sebuah pernyataan teologis: karya Allah dalam sejarah (B) dan karya Allah dalam eskatologi (B') adalah dua sisi dari satu pemerintahan yang sama, dibingkai oleh respons liturgis umat yang terus-menerus memuji Raja yang kekal itu.</w:t>
      </w:r>
    </w:p>
    <w:p w14:paraId="1EB031A6" w14:textId="77777777" w:rsidR="00CB2B6A" w:rsidRDefault="00CB2B6A" w:rsidP="00CB2B6A">
      <w:pPr>
        <w:jc w:val="both"/>
      </w:pPr>
    </w:p>
    <w:p w14:paraId="6574D5C7" w14:textId="5AB12197" w:rsidR="00CB2B6A" w:rsidRDefault="008559D1" w:rsidP="00CB2B6A">
      <w:pPr>
        <w:ind w:left="180"/>
        <w:jc w:val="both"/>
      </w:pPr>
      <w:r>
        <w:t>(A) Pembukaan Liturgis (1-3)</w:t>
      </w:r>
    </w:p>
    <w:p w14:paraId="234218FE" w14:textId="2673760B" w:rsidR="008559D1" w:rsidRDefault="008559D1" w:rsidP="00CB2B6A">
      <w:pPr>
        <w:ind w:left="180"/>
        <w:jc w:val="both"/>
      </w:pPr>
      <w:r>
        <w:tab/>
        <w:t xml:space="preserve">(B) </w:t>
      </w:r>
      <w:r w:rsidRPr="008559D1">
        <w:t xml:space="preserve">Allah mengalahkan musuh </w:t>
      </w:r>
      <w:r>
        <w:t xml:space="preserve">- </w:t>
      </w:r>
      <w:r w:rsidRPr="008559D1">
        <w:t>masa lalu</w:t>
      </w:r>
      <w:r>
        <w:t xml:space="preserve"> (4-12)</w:t>
      </w:r>
    </w:p>
    <w:p w14:paraId="2E9490D0" w14:textId="0EDFA00D" w:rsidR="008559D1" w:rsidRDefault="008559D1" w:rsidP="008559D1">
      <w:pPr>
        <w:ind w:left="180"/>
        <w:jc w:val="both"/>
      </w:pPr>
      <w:r>
        <w:tab/>
        <w:t xml:space="preserve">(B’) </w:t>
      </w:r>
      <w:r w:rsidRPr="008559D1">
        <w:t xml:space="preserve">Allah memimpin &amp; memerintah umat </w:t>
      </w:r>
      <w:r>
        <w:t xml:space="preserve">- </w:t>
      </w:r>
      <w:r w:rsidRPr="008559D1">
        <w:t>masa depan</w:t>
      </w:r>
      <w:r>
        <w:t xml:space="preserve"> (13-18)</w:t>
      </w:r>
    </w:p>
    <w:p w14:paraId="453D877D" w14:textId="5737D253" w:rsidR="008559D1" w:rsidRPr="008559D1" w:rsidRDefault="008559D1" w:rsidP="008559D1">
      <w:pPr>
        <w:ind w:left="180"/>
        <w:jc w:val="both"/>
        <w:rPr>
          <w:rFonts w:eastAsia="Arial"/>
          <w:color w:val="555555"/>
        </w:rPr>
      </w:pPr>
      <w:r>
        <w:t xml:space="preserve">(A’) </w:t>
      </w:r>
      <w:r w:rsidRPr="008559D1">
        <w:t>Penutup liturgis — nyanyian pujian</w:t>
      </w:r>
      <w:r>
        <w:t xml:space="preserve"> (19-21)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r w:rsidRPr="00FC24E1">
        <w:rPr>
          <w:b/>
        </w:rPr>
        <w:t>Pembukaan Liturgis (15:1-3)</w:t>
      </w:r>
    </w:p>
    <w:p w14:paraId="27D81BAF" w14:textId="77777777" w:rsidR="00EB1DEC" w:rsidRDefault="00EB1DEC" w:rsidP="00EB1DEC">
      <w:pPr>
        <w:rPr>
          <w:b/>
        </w:rPr>
      </w:pPr>
    </w:p>
    <w:p w14:paraId="077B73E9" w14:textId="78A0984A" w:rsidR="00EB1DEC" w:rsidRPr="00EB1DEC" w:rsidRDefault="00EB1DEC" w:rsidP="00EB1DEC">
      <w:pPr>
        <w:jc w:val="both"/>
        <w:rPr>
          <w:bCs/>
          <w:lang w:val="en-ID"/>
        </w:rPr>
      </w:pPr>
      <w:r>
        <w:rPr>
          <w:b/>
        </w:rPr>
        <w:tab/>
      </w:r>
      <w:r w:rsidRPr="00EB1DEC">
        <w:rPr>
          <w:bCs/>
          <w:lang w:val="en-ID"/>
        </w:rPr>
        <w:t>Sebelum menelaah struktur liturgis Kidung Musa, penting untuk memahami karakter genrenya. Keluaran 15:1–21 disusun dalam bentuk puisi Ibrani yang ditandai oleh paralelisme, repetisi, citra metaforis, dan bahasa yang padat secara teologis. Peralihan dari narasi prosa dalam Keluaran 14 menuju puisi dalam Keluaran 15 menunjukkan bahwa pengalaman historis pembebasan untuk ditafsirkan dan dihayati secara teologis oleh komunitas iman. Bentuk puitis tersebut memungkinkan peristiwa eksodus ditransformasikan menjadi memori kolektif yang dapat diingat, diulang, dan diwariskan dari generasi ke generasi. Barmash menunjukkan bahwa strategi puitik dalam Kidung Musa berfungsi untuk memperkuat intensitas religius dan membentuk pemahaman teologis umat terhadap tindakan penyelamatan Allah.</w:t>
      </w:r>
      <w:r>
        <w:rPr>
          <w:rStyle w:val="FootnoteReference"/>
          <w:bCs/>
          <w:lang w:val="en-ID"/>
        </w:rPr>
        <w:footnoteReference w:id="9"/>
      </w:r>
      <w:r w:rsidRPr="00EB1DEC">
        <w:rPr>
          <w:bCs/>
          <w:lang w:val="en-ID"/>
        </w:rPr>
        <w:t xml:space="preserve"> </w:t>
      </w:r>
      <w:r>
        <w:rPr>
          <w:bCs/>
          <w:lang w:val="en-ID"/>
        </w:rPr>
        <w:t>P</w:t>
      </w:r>
      <w:r w:rsidRPr="00EB1DEC">
        <w:rPr>
          <w:bCs/>
          <w:lang w:val="en-ID"/>
        </w:rPr>
        <w:t>uisi dalam Keluaran 15 berperan sebagai sarana pembentukan identitas dan keyakinan teologis Israel.</w:t>
      </w:r>
    </w:p>
    <w:p w14:paraId="569CD7EA" w14:textId="43FF3AB4" w:rsidR="0010267E" w:rsidRPr="00EB1DEC" w:rsidRDefault="00EB1DEC" w:rsidP="00EB1DEC">
      <w:pPr>
        <w:ind w:firstLine="720"/>
        <w:jc w:val="both"/>
        <w:rPr>
          <w:bCs/>
          <w:lang w:val="en-ID"/>
        </w:rPr>
      </w:pPr>
      <w:r w:rsidRPr="00EB1DEC">
        <w:rPr>
          <w:bCs/>
          <w:lang w:val="en-ID"/>
        </w:rPr>
        <w:t>Selain sebagai puisi, Kidung Musa juga memperlihatkan karakter yang kuat sebagai liturgi komunal. Teks ini diawali dengan tindakan menyanyi bersama oleh Musa dan bangsa Israel serta diakhiri dengan respons antiphonal Miryam dan para perempuan melalui nyanyian, rebana, dan tarian. Unsur-unsur tersebut menunjukkan bahwa Kidung Musa suatu tindakan ibadah yang melibatkan partisipasi seluruh komunitas. Dalam konteks ini, liturgi berfungsi sebagai media yang menghubungkan memori pembebasan dengan identitas umat di hadapan Allah.</w:t>
      </w:r>
      <w:r w:rsidR="008559D1">
        <w:rPr>
          <w:rStyle w:val="FootnoteReference"/>
          <w:bCs/>
          <w:lang w:val="en-ID"/>
        </w:rPr>
        <w:footnoteReference w:id="10"/>
      </w:r>
      <w:r w:rsidRPr="00EB1DEC">
        <w:rPr>
          <w:bCs/>
          <w:lang w:val="en-ID"/>
        </w:rPr>
        <w:t xml:space="preserve"> Melalui nyanyian yang terus diulang dalam tradisi Israel, karya penyelamatan Allah dipelihara sebagai fondasi teologis yang membentuk kehidupan umat. Oleh karena itu, Kidung Musa dapat dipahami sebagai puisi liturgis membentuk kesadaran </w:t>
      </w:r>
      <w:r w:rsidRPr="00EB1DEC">
        <w:rPr>
          <w:bCs/>
          <w:lang w:val="en-ID"/>
        </w:rPr>
        <w:lastRenderedPageBreak/>
        <w:t>kolektif umat mengenai siapa Allah dan bagaimana mereka dipanggil untuk merespons karya-Nya dalam penyembahan dan kehidupan perjanjian</w:t>
      </w:r>
    </w:p>
    <w:p w14:paraId="5A140B8A" w14:textId="697B2C2E" w:rsidR="0010267E" w:rsidRDefault="0010267E" w:rsidP="0010267E">
      <w:pPr>
        <w:ind w:firstLine="720"/>
        <w:jc w:val="both"/>
      </w:pPr>
      <w:r>
        <w:t>Keluaran 15:1-</w:t>
      </w:r>
      <w:r w:rsidRPr="00FC24E1">
        <w:t xml:space="preserve">3 membuka Kidung Musa dengan suatu deklarasi liturgis yang memusatkan perhatian pada </w:t>
      </w:r>
      <w:r>
        <w:t>Allah</w:t>
      </w:r>
      <w:r w:rsidRPr="00FC24E1">
        <w:t xml:space="preserve"> sebagai </w:t>
      </w:r>
      <w:r w:rsidRPr="00FC24E1">
        <w:rPr>
          <w:rStyle w:val="Emphasis"/>
        </w:rPr>
        <w:t>’îš milḥāmâ</w:t>
      </w:r>
      <w:r>
        <w:t xml:space="preserve"> yaitu </w:t>
      </w:r>
      <w:r w:rsidRPr="00FC24E1">
        <w:t xml:space="preserve">“Pahlawan Perang”. Penempatan gelar ini pada bagian awal </w:t>
      </w:r>
      <w:r w:rsidR="00FC11A3">
        <w:t>untuk</w:t>
      </w:r>
      <w:r w:rsidRPr="00FC24E1">
        <w:t xml:space="preserve"> membangun fondasi teologis bagi seluruh struktur pujian. Dalam tradisi Ibrani, pujian merupakan tanggapan atas tindakan penyelamatan Allah yang telah terjadi. Karena itu, bagian pembuka </w:t>
      </w:r>
      <w:r>
        <w:t xml:space="preserve">ini </w:t>
      </w:r>
      <w:r w:rsidRPr="00FC24E1">
        <w:t>melihat bahwa keselamatan</w:t>
      </w:r>
      <w:r>
        <w:t xml:space="preserve"> Israel</w:t>
      </w:r>
      <w:r w:rsidRPr="00FC24E1">
        <w:t xml:space="preserve"> adalah hasil intervensi </w:t>
      </w:r>
      <w:r>
        <w:t>langsung Allah</w:t>
      </w:r>
      <w:r w:rsidR="00081319">
        <w:t>.</w:t>
      </w:r>
    </w:p>
    <w:p w14:paraId="4E0B9DAD" w14:textId="3FDE97D2" w:rsidR="0010267E" w:rsidRPr="008312D3" w:rsidRDefault="0010267E" w:rsidP="0010267E">
      <w:pPr>
        <w:ind w:firstLine="720"/>
        <w:jc w:val="both"/>
      </w:pPr>
      <w:r w:rsidRPr="00FC24E1">
        <w:t xml:space="preserve">Penggunaan frasa </w:t>
      </w:r>
      <w:r w:rsidRPr="00FC24E1">
        <w:rPr>
          <w:rStyle w:val="Emphasis"/>
        </w:rPr>
        <w:t>’îš milḥāmâ</w:t>
      </w:r>
      <w:r w:rsidRPr="00FC24E1">
        <w:t xml:space="preserve"> menegaskan bahwa </w:t>
      </w:r>
      <w:r>
        <w:t>Allah</w:t>
      </w:r>
      <w:r w:rsidRPr="00FC24E1">
        <w:t xml:space="preserve"> bertindak sebagai Subjek aktif dalam sejarah. Allah sebagai Pahlawan Perang merupakan bentuk “teologi intervensi”, yaitu pengakuan bahwa keselamatan Israel lahir dari tindakan langsung Tuhan di dalam sejarah nyata</w:t>
      </w:r>
      <w:r>
        <w:t>.</w:t>
      </w:r>
      <w:r w:rsidRPr="000C6E79">
        <w:rPr>
          <w:rStyle w:val="FootnoteReference"/>
        </w:rPr>
        <w:footnoteReference w:id="11"/>
      </w:r>
      <w:r w:rsidRPr="00FC24E1">
        <w:t xml:space="preserve"> </w:t>
      </w:r>
      <w:r>
        <w:t xml:space="preserve">Hal </w:t>
      </w:r>
      <w:r w:rsidR="00D2239B">
        <w:t xml:space="preserve"> ini dikuatka</w:t>
      </w:r>
      <w:r w:rsidR="00356B83">
        <w:t>n</w:t>
      </w:r>
      <w:r w:rsidRPr="00FC24E1">
        <w:t xml:space="preserve">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2EACC8F2" w14:textId="1FF6962C" w:rsidR="0010267E" w:rsidRPr="002A397E" w:rsidRDefault="0010267E" w:rsidP="0010267E">
      <w:pPr>
        <w:pStyle w:val="NormalWeb"/>
        <w:spacing w:before="0" w:beforeAutospacing="0" w:after="0" w:afterAutospacing="0"/>
        <w:jc w:val="both"/>
        <w:rPr>
          <w:iCs/>
        </w:rPr>
      </w:pPr>
      <w:r>
        <w:t xml:space="preserve">Struktur liturgis ayat 1-3 memperlihatkan gerakan teologis yang signifikan. </w:t>
      </w:r>
    </w:p>
    <w:p w14:paraId="35A5B040" w14:textId="2C572F70"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w:t>
      </w:r>
      <w:r w:rsidR="00081319">
        <w:t>merupakan</w:t>
      </w:r>
      <w:r>
        <w:t xml:space="preserve"> manifestasi kehadiran Allah yang membebaskan. Allah menyelamatkan karena Ia dekat, peduli, dan terlibat dalam penderitaan umat-Nya.</w:t>
      </w:r>
      <w:r w:rsidR="003A2E9E">
        <w:rPr>
          <w:rStyle w:val="FootnoteReference"/>
        </w:rPr>
        <w:footnoteReference w:id="12"/>
      </w:r>
      <w:r>
        <w:t xml:space="preserve"> </w:t>
      </w:r>
      <w:r w:rsidR="00B20610">
        <w:t>P</w:t>
      </w:r>
      <w:r>
        <w:t xml:space="preserve">ujian di ayat ini </w:t>
      </w:r>
      <w:r w:rsidR="00FC11A3">
        <w:t>sebagai</w:t>
      </w:r>
      <w:r>
        <w:t xml:space="preserve"> pengenalan mendalam terhadap karakter Tuhan. Dan sampai kepada pengakuan di ayat 3 “</w:t>
      </w:r>
      <w:r w:rsidRPr="00DD3EBE">
        <w:rPr>
          <w:i/>
        </w:rPr>
        <w:t>Tuhan itulah nama-Nya</w:t>
      </w:r>
      <w:r>
        <w:t>” ini menegaskan otoritas Allah sebagai satu-satunya sumber keselamatan. Ini adalah pernyataan iman bahwa hanya Allah yang berdaulat atas sejarah.</w:t>
      </w:r>
    </w:p>
    <w:p w14:paraId="306753E7" w14:textId="77777777" w:rsidR="0010267E" w:rsidRDefault="0010267E" w:rsidP="0010267E">
      <w:pPr>
        <w:jc w:val="both"/>
        <w:rPr>
          <w:sz w:val="32"/>
        </w:rPr>
      </w:pPr>
    </w:p>
    <w:p w14:paraId="7FD4ADFF" w14:textId="77777777" w:rsidR="0085223B" w:rsidRDefault="0010267E" w:rsidP="0010267E">
      <w:pPr>
        <w:jc w:val="center"/>
      </w:pPr>
      <w:r w:rsidRPr="008312D3">
        <w:rPr>
          <w:b/>
        </w:rPr>
        <w:t>Tindakan Pembebasan Allah</w:t>
      </w:r>
      <w:r w:rsidR="0085223B" w:rsidRPr="0085223B">
        <w:t xml:space="preserve"> </w:t>
      </w:r>
    </w:p>
    <w:p w14:paraId="070A97CB" w14:textId="038B626A" w:rsidR="0010267E" w:rsidRDefault="0085223B" w:rsidP="0010267E">
      <w:pPr>
        <w:jc w:val="center"/>
        <w:rPr>
          <w:b/>
        </w:rPr>
      </w:pPr>
      <w:r w:rsidRPr="0085223B">
        <w:rPr>
          <w:b/>
        </w:rPr>
        <w:t xml:space="preserve">Allah </w:t>
      </w:r>
      <w:r w:rsidRPr="0085223B">
        <w:rPr>
          <w:b/>
        </w:rPr>
        <w:t>Mengalahkan Musuh - Masa Lalu</w:t>
      </w:r>
      <w:r>
        <w:rPr>
          <w:b/>
        </w:rPr>
        <w:t xml:space="preserve"> </w:t>
      </w:r>
      <w:r w:rsidR="0010267E" w:rsidRPr="008312D3">
        <w:rPr>
          <w:b/>
        </w:rPr>
        <w:t>(15:4-12)</w:t>
      </w:r>
    </w:p>
    <w:p w14:paraId="3C6DF62D" w14:textId="77777777" w:rsidR="0010267E" w:rsidRDefault="0010267E" w:rsidP="0010267E">
      <w:pPr>
        <w:jc w:val="center"/>
        <w:rPr>
          <w:b/>
        </w:rPr>
      </w:pPr>
    </w:p>
    <w:p w14:paraId="3A06223C" w14:textId="3118CDDD" w:rsidR="0085223B" w:rsidRPr="00FC11A3" w:rsidRDefault="0010267E" w:rsidP="00FC11A3">
      <w:pPr>
        <w:ind w:firstLine="360"/>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membangun fondasi teologis bagi pemahaman Israel tentang relasi antara penyembahan, pembebasan, dan identitas Allah.</w:t>
      </w:r>
    </w:p>
    <w:p w14:paraId="21458A48" w14:textId="77777777" w:rsidR="0085223B" w:rsidRPr="008312D3" w:rsidRDefault="0085223B"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Allah Mengalahkan Musuh (15:4-10)</w:t>
      </w:r>
    </w:p>
    <w:p w14:paraId="0B7D1850" w14:textId="77777777" w:rsidR="0010267E" w:rsidRPr="002A397E" w:rsidRDefault="0010267E" w:rsidP="0010267E">
      <w:pPr>
        <w:jc w:val="center"/>
        <w:outlineLvl w:val="3"/>
        <w:rPr>
          <w:rFonts w:eastAsia="Times New Roman"/>
          <w:bCs/>
          <w:iCs/>
        </w:rPr>
      </w:pPr>
    </w:p>
    <w:p w14:paraId="3D9F1CA5" w14:textId="58786365" w:rsidR="0085223B" w:rsidRPr="008312D3" w:rsidRDefault="0085223B" w:rsidP="0010267E">
      <w:pPr>
        <w:ind w:firstLine="720"/>
        <w:jc w:val="both"/>
        <w:rPr>
          <w:rFonts w:eastAsia="Times New Roman"/>
        </w:rPr>
      </w:pPr>
      <w:r w:rsidRPr="0085223B">
        <w:rPr>
          <w:rFonts w:eastAsia="Times New Roman"/>
        </w:rPr>
        <w:t xml:space="preserve">Ayat 4–10 menggambarkan kehancuran pasukan Firaun sebagai bukti kuasa penyelamatan Allah melalui serangkaian kata kerja yang menempatkan Allah secara konsisten sebagai subjek gramatikal langsung. Dalam ayat 4, kata kerja </w:t>
      </w:r>
      <w:r w:rsidRPr="0085223B">
        <w:rPr>
          <w:rFonts w:eastAsia="Times New Roman"/>
          <w:b/>
          <w:bCs/>
        </w:rPr>
        <w:t>יָרָה</w:t>
      </w:r>
      <w:r w:rsidRPr="0085223B">
        <w:rPr>
          <w:rFonts w:eastAsia="Times New Roman"/>
        </w:rPr>
        <w:t xml:space="preserve"> (</w:t>
      </w:r>
      <w:r w:rsidRPr="0085223B">
        <w:rPr>
          <w:rFonts w:eastAsia="Times New Roman"/>
          <w:i/>
          <w:iCs/>
        </w:rPr>
        <w:t>yara</w:t>
      </w:r>
      <w:r w:rsidRPr="0085223B">
        <w:rPr>
          <w:rFonts w:eastAsia="Times New Roman"/>
        </w:rPr>
        <w:t xml:space="preserve">, "melemparkan") dan </w:t>
      </w:r>
      <w:r w:rsidRPr="0085223B">
        <w:rPr>
          <w:rFonts w:eastAsia="Times New Roman"/>
          <w:b/>
          <w:bCs/>
        </w:rPr>
        <w:t>טָבַע</w:t>
      </w:r>
      <w:r w:rsidRPr="0085223B">
        <w:rPr>
          <w:rFonts w:eastAsia="Times New Roman"/>
        </w:rPr>
        <w:t xml:space="preserve"> (</w:t>
      </w:r>
      <w:r w:rsidRPr="0085223B">
        <w:rPr>
          <w:rFonts w:eastAsia="Times New Roman"/>
          <w:i/>
          <w:iCs/>
        </w:rPr>
        <w:t>taba</w:t>
      </w:r>
      <w:r w:rsidRPr="0085223B">
        <w:rPr>
          <w:rFonts w:eastAsia="Times New Roman"/>
        </w:rPr>
        <w:t>, "menenggelamkan") menegaskan bahwa Allah sendiri yang secara langsung menjatuhkan kereta dan pasukan berkuda Firaun ke dalam laut Teberau</w:t>
      </w:r>
      <w:r w:rsidR="00081319">
        <w:rPr>
          <w:rFonts w:eastAsia="Times New Roman"/>
        </w:rPr>
        <w:t xml:space="preserve">. </w:t>
      </w:r>
      <w:r w:rsidRPr="0085223B">
        <w:rPr>
          <w:rFonts w:eastAsia="Times New Roman"/>
        </w:rPr>
        <w:t xml:space="preserve">Demikian pula </w:t>
      </w:r>
      <w:r w:rsidRPr="0085223B">
        <w:rPr>
          <w:rFonts w:eastAsia="Times New Roman"/>
          <w:b/>
          <w:bCs/>
        </w:rPr>
        <w:t>כִּסָּה</w:t>
      </w:r>
      <w:r w:rsidRPr="0085223B">
        <w:rPr>
          <w:rFonts w:eastAsia="Times New Roman"/>
        </w:rPr>
        <w:t xml:space="preserve"> (</w:t>
      </w:r>
      <w:r w:rsidRPr="0085223B">
        <w:rPr>
          <w:rFonts w:eastAsia="Times New Roman"/>
          <w:i/>
          <w:iCs/>
        </w:rPr>
        <w:t>kissa</w:t>
      </w:r>
      <w:r w:rsidRPr="0085223B">
        <w:rPr>
          <w:rFonts w:eastAsia="Times New Roman"/>
        </w:rPr>
        <w:t xml:space="preserve">, ay. 5, "menutupi") menggambarkan Allah yang aktif menyelimuti musuh dengan "kedalaman air" (תְּהֹמֹת, </w:t>
      </w:r>
      <w:r w:rsidRPr="0085223B">
        <w:rPr>
          <w:rFonts w:eastAsia="Times New Roman"/>
          <w:i/>
          <w:iCs/>
        </w:rPr>
        <w:t>tehomot</w:t>
      </w:r>
      <w:r w:rsidRPr="0085223B">
        <w:rPr>
          <w:rFonts w:eastAsia="Times New Roman"/>
        </w:rPr>
        <w:t>), sebuah simbol kekacauan kosmik yang menegaskan bahwa Allah adalah Tuhan atas ciptaan.</w:t>
      </w:r>
      <w:r>
        <w:rPr>
          <w:rStyle w:val="FootnoteReference"/>
          <w:rFonts w:eastAsia="Times New Roman"/>
        </w:rPr>
        <w:footnoteReference w:id="13"/>
      </w:r>
      <w:r w:rsidRPr="0085223B">
        <w:rPr>
          <w:rFonts w:eastAsia="Times New Roman"/>
        </w:rPr>
        <w:t xml:space="preserve"> Puncak dari rangkaian kata kerja ilahi ini terdapat pada ayat 8 dan 10, di mana </w:t>
      </w:r>
      <w:r w:rsidRPr="0085223B">
        <w:rPr>
          <w:rFonts w:eastAsia="Times New Roman"/>
          <w:b/>
          <w:bCs/>
        </w:rPr>
        <w:t>נָשַׁף</w:t>
      </w:r>
      <w:r w:rsidRPr="0085223B">
        <w:rPr>
          <w:rFonts w:eastAsia="Times New Roman"/>
        </w:rPr>
        <w:t xml:space="preserve"> (</w:t>
      </w:r>
      <w:r w:rsidRPr="0085223B">
        <w:rPr>
          <w:rFonts w:eastAsia="Times New Roman"/>
          <w:i/>
          <w:iCs/>
        </w:rPr>
        <w:t>nasap</w:t>
      </w:r>
      <w:r w:rsidRPr="0085223B">
        <w:rPr>
          <w:rFonts w:eastAsia="Times New Roman"/>
        </w:rPr>
        <w:t xml:space="preserve">, "menghembuskan") dan </w:t>
      </w:r>
      <w:r w:rsidRPr="0085223B">
        <w:rPr>
          <w:rFonts w:eastAsia="Times New Roman"/>
          <w:b/>
          <w:bCs/>
        </w:rPr>
        <w:t>נָשַׁב</w:t>
      </w:r>
      <w:r w:rsidRPr="0085223B">
        <w:rPr>
          <w:rFonts w:eastAsia="Times New Roman"/>
        </w:rPr>
        <w:t xml:space="preserve"> (</w:t>
      </w:r>
      <w:r w:rsidRPr="0085223B">
        <w:rPr>
          <w:rFonts w:eastAsia="Times New Roman"/>
          <w:i/>
          <w:iCs/>
        </w:rPr>
        <w:t>nasab</w:t>
      </w:r>
      <w:r w:rsidRPr="0085223B">
        <w:rPr>
          <w:rFonts w:eastAsia="Times New Roman"/>
        </w:rPr>
        <w:t xml:space="preserve">, "meniupkan") memperlihatkan bahwa Allah bertindak langsung tanpa perantara </w:t>
      </w:r>
      <w:r>
        <w:rPr>
          <w:rFonts w:eastAsia="Times New Roman"/>
        </w:rPr>
        <w:t xml:space="preserve"> </w:t>
      </w:r>
      <w:r w:rsidRPr="0085223B">
        <w:rPr>
          <w:rFonts w:eastAsia="Times New Roman"/>
        </w:rPr>
        <w:t xml:space="preserve">cukup dengan hembusan nafas-Nya, air terbelah dan musuh tenggelam. Tindakan </w:t>
      </w:r>
      <w:r w:rsidR="00D82543">
        <w:rPr>
          <w:rFonts w:eastAsia="Times New Roman"/>
        </w:rPr>
        <w:lastRenderedPageBreak/>
        <w:t>“</w:t>
      </w:r>
      <w:r w:rsidRPr="0085223B">
        <w:rPr>
          <w:rFonts w:eastAsia="Times New Roman"/>
        </w:rPr>
        <w:t>menghembuskan</w:t>
      </w:r>
      <w:r w:rsidR="00D82543">
        <w:rPr>
          <w:rFonts w:eastAsia="Times New Roman"/>
        </w:rPr>
        <w:t>”</w:t>
      </w:r>
      <w:r w:rsidRPr="0085223B">
        <w:rPr>
          <w:rFonts w:eastAsia="Times New Roman"/>
        </w:rPr>
        <w:t xml:space="preserve"> ini sekaligus mengandung paralel dengan narasi penciptaan, di mana roh Allah bekerja di atas permukaan air (Kej. 1:2), sehingga pembebasan Israel dipahami sebagai tindakan penciptaan ulang. Ironi retoris pada ayat 9–10 semakin mempertajam keagungan Allah: kesombongan musuh yang berkata "Aku akan mengejar, menangkap…" dengan perhitungan kekuatan penuh, dijawab semata oleh satu </w:t>
      </w:r>
      <w:r w:rsidRPr="0085223B">
        <w:rPr>
          <w:rFonts w:eastAsia="Times New Roman"/>
          <w:b/>
          <w:bCs/>
        </w:rPr>
        <w:t>נָשַׁב</w:t>
      </w:r>
      <w:r w:rsidRPr="0085223B">
        <w:rPr>
          <w:rFonts w:eastAsia="Times New Roman"/>
        </w:rPr>
        <w:t xml:space="preserve"> Allah yang menggagalkan seluruh rencana mereka,</w:t>
      </w:r>
      <w:r>
        <w:rPr>
          <w:rStyle w:val="FootnoteReference"/>
          <w:rFonts w:eastAsia="Times New Roman"/>
        </w:rPr>
        <w:footnoteReference w:id="14"/>
      </w:r>
      <w:r w:rsidRPr="0085223B">
        <w:rPr>
          <w:rFonts w:eastAsia="Times New Roman"/>
        </w:rPr>
        <w:t xml:space="preserve"> membuktikan bahwa tidak ada kuasa manusia yang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Satu-satunya Allah (15:11–12)</w:t>
      </w:r>
    </w:p>
    <w:p w14:paraId="083938D7" w14:textId="77777777" w:rsidR="0010267E" w:rsidRDefault="0010267E" w:rsidP="0010267E">
      <w:pPr>
        <w:jc w:val="center"/>
        <w:outlineLvl w:val="3"/>
        <w:rPr>
          <w:rFonts w:eastAsia="Times New Roman"/>
          <w:bCs/>
          <w:iCs/>
        </w:rPr>
      </w:pPr>
    </w:p>
    <w:p w14:paraId="164640E3" w14:textId="67F8BB91" w:rsidR="0010267E" w:rsidRDefault="0010267E" w:rsidP="0010267E">
      <w:pPr>
        <w:jc w:val="both"/>
        <w:outlineLvl w:val="3"/>
        <w:rPr>
          <w:bCs/>
          <w:iCs/>
          <w:lang w:val="en-ID"/>
        </w:rPr>
      </w:pPr>
      <w:r>
        <w:rPr>
          <w:rFonts w:eastAsia="Times New Roman"/>
          <w:bCs/>
          <w:iCs/>
        </w:rPr>
        <w:tab/>
      </w: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dalam konteks literatur Ibrani sering berfungsi secara polemis untuk menegaskan ketidakberdayaan entitas tersebut</w:t>
      </w:r>
      <w:r>
        <w:rPr>
          <w:bCs/>
          <w:iCs/>
          <w:lang w:val="en-ID"/>
        </w:rPr>
        <w:t>.</w:t>
      </w:r>
      <w:r w:rsidR="002F3114">
        <w:rPr>
          <w:rStyle w:val="FootnoteReference"/>
          <w:bCs/>
          <w:iCs/>
          <w:lang w:val="en-ID"/>
        </w:rPr>
        <w:footnoteReference w:id="15"/>
      </w:r>
    </w:p>
    <w:p w14:paraId="20340175" w14:textId="27C39635" w:rsidR="0010267E" w:rsidRPr="00230649" w:rsidRDefault="0010267E" w:rsidP="0010267E">
      <w:pPr>
        <w:ind w:firstLine="720"/>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xml:space="preserve">) menegaskan keterpisahan Yahweh dari ciptaan. </w:t>
      </w:r>
      <w:r w:rsidR="00463070">
        <w:rPr>
          <w:rStyle w:val="FootnoteReference"/>
          <w:rFonts w:eastAsia="Times New Roman"/>
          <w:bCs/>
          <w:iCs/>
          <w:lang w:val="en-ID"/>
        </w:rPr>
        <w:footnoteReference w:id="16"/>
      </w:r>
      <w:r w:rsidRPr="002A397E">
        <w:rPr>
          <w:rFonts w:eastAsia="Times New Roman"/>
          <w:bCs/>
          <w:iCs/>
          <w:lang w:val="en-ID"/>
        </w:rPr>
        <w:t xml:space="preserve"> </w:t>
      </w:r>
      <w:r w:rsidR="00B20610">
        <w:rPr>
          <w:rFonts w:eastAsia="Times New Roman"/>
          <w:bCs/>
          <w:iCs/>
          <w:lang w:val="en-ID"/>
        </w:rPr>
        <w:t>K</w:t>
      </w:r>
      <w:r w:rsidRPr="002A397E">
        <w:rPr>
          <w:rFonts w:eastAsia="Times New Roman"/>
          <w:bCs/>
          <w:iCs/>
          <w:lang w:val="en-ID"/>
        </w:rPr>
        <w:t xml:space="preserve">eilahian Yahweh </w:t>
      </w:r>
      <w:r w:rsidR="00FC11A3">
        <w:rPr>
          <w:rFonts w:eastAsia="Times New Roman"/>
          <w:bCs/>
          <w:iCs/>
          <w:lang w:val="en-ID"/>
        </w:rPr>
        <w:t>merupakan</w:t>
      </w:r>
      <w:r w:rsidRPr="002A397E">
        <w:rPr>
          <w:rFonts w:eastAsia="Times New Roman"/>
          <w:bCs/>
          <w:iCs/>
          <w:lang w:val="en-ID"/>
        </w:rPr>
        <w:t xml:space="preserve"> kualitatif</w:t>
      </w:r>
      <w:r>
        <w:rPr>
          <w:rFonts w:eastAsia="Times New Roman"/>
          <w:bCs/>
          <w:iCs/>
          <w:lang w:val="en-ID"/>
        </w:rPr>
        <w:t xml:space="preserve"> </w:t>
      </w:r>
      <w:r w:rsidRPr="002A397E">
        <w:rPr>
          <w:rFonts w:eastAsia="Times New Roman"/>
          <w:bCs/>
          <w:iCs/>
          <w:lang w:val="en-ID"/>
        </w:rPr>
        <w:t>Ia berbeda dalam esensi</w:t>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0628B9CD" w14:textId="6CF38CE0"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0041226C">
        <w:rPr>
          <w:rStyle w:val="FootnoteReference"/>
          <w:rFonts w:eastAsia="Times New Roman"/>
          <w:bCs/>
          <w:iCs/>
          <w:lang w:val="en-ID"/>
        </w:rPr>
        <w:footnoteReference w:id="17"/>
      </w:r>
      <w:r w:rsidRPr="002A397E">
        <w:rPr>
          <w:rFonts w:eastAsia="Times New Roman"/>
          <w:bCs/>
          <w:iCs/>
          <w:lang w:val="en-ID"/>
        </w:rPr>
        <w:t xml:space="preserve"> Dalam tradisi </w:t>
      </w:r>
      <w:r w:rsidRPr="002A397E">
        <w:rPr>
          <w:rFonts w:eastAsia="Times New Roman"/>
          <w:bCs/>
          <w:iCs/>
          <w:lang w:val="en-ID"/>
        </w:rPr>
        <w:lastRenderedPageBreak/>
        <w:t>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 </w:t>
      </w:r>
    </w:p>
    <w:p w14:paraId="636CAE35" w14:textId="4F1C9C11" w:rsidR="0010267E" w:rsidRDefault="0010267E" w:rsidP="0010267E">
      <w:pPr>
        <w:ind w:firstLine="1080"/>
        <w:jc w:val="both"/>
        <w:outlineLvl w:val="3"/>
        <w:rPr>
          <w:rFonts w:eastAsia="Times New Roman"/>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mik monoteistik yang progresif</w:t>
      </w:r>
      <w:r w:rsidR="00081319">
        <w:rPr>
          <w:rFonts w:eastAsia="Times New Roman"/>
          <w:bCs/>
          <w:iCs/>
          <w:lang w:val="en-ID"/>
        </w:rPr>
        <w:t xml:space="preserve"> yaitu</w:t>
      </w:r>
      <w:r w:rsidRPr="002A397E">
        <w:rPr>
          <w:rFonts w:eastAsia="Times New Roman"/>
          <w:bCs/>
          <w:iCs/>
          <w:lang w:val="en-ID"/>
        </w:rPr>
        <w:t xml:space="preserve"> tidak 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530DC7E1" w:rsidR="0010267E" w:rsidRDefault="00A05161" w:rsidP="0010267E">
      <w:pPr>
        <w:pStyle w:val="ListParagraph"/>
        <w:spacing w:after="0" w:line="240" w:lineRule="auto"/>
        <w:jc w:val="center"/>
        <w:rPr>
          <w:rFonts w:ascii="Times New Roman" w:hAnsi="Times New Roman"/>
          <w:b/>
          <w:sz w:val="24"/>
          <w:szCs w:val="24"/>
        </w:rPr>
      </w:pPr>
      <w:r w:rsidRPr="00A05161">
        <w:rPr>
          <w:rFonts w:ascii="Times New Roman" w:hAnsi="Times New Roman"/>
          <w:b/>
          <w:sz w:val="24"/>
          <w:szCs w:val="24"/>
        </w:rPr>
        <w:t xml:space="preserve">Allah </w:t>
      </w:r>
      <w:r w:rsidRPr="00A05161">
        <w:rPr>
          <w:rFonts w:ascii="Times New Roman" w:hAnsi="Times New Roman"/>
          <w:b/>
          <w:sz w:val="24"/>
          <w:szCs w:val="24"/>
        </w:rPr>
        <w:t xml:space="preserve">Memimpin &amp; Memerintah Umat - Masa Depan </w:t>
      </w:r>
      <w:r w:rsidR="0010267E" w:rsidRPr="00E41784">
        <w:rPr>
          <w:rFonts w:ascii="Times New Roman" w:hAnsi="Times New Roman"/>
          <w:b/>
          <w:sz w:val="24"/>
          <w:szCs w:val="24"/>
        </w:rPr>
        <w:t>(15:13-17)</w:t>
      </w:r>
    </w:p>
    <w:p w14:paraId="7916AC3C" w14:textId="77777777" w:rsidR="0010267E" w:rsidRDefault="0010267E" w:rsidP="0010267E"/>
    <w:p w14:paraId="75DA6265" w14:textId="13162036" w:rsidR="0010267E" w:rsidRPr="00EC4639" w:rsidRDefault="0010267E" w:rsidP="0010267E">
      <w:pPr>
        <w:ind w:firstLine="720"/>
        <w:jc w:val="both"/>
      </w:pPr>
      <w:r>
        <w:t xml:space="preserve">Keluaran 15:13-17 </w:t>
      </w:r>
      <w:r w:rsidRPr="003868EE">
        <w:t xml:space="preserve"> menegaskan bahwa karya pembebasan Allah berlanjut dalam bentuk penyertaan, penuntunan, dan penegakan pemerintahan-Nya atas umat-Nya dan atas bangsa-bangsa. </w:t>
      </w:r>
      <w:r>
        <w:t>Ayat 13-</w:t>
      </w:r>
      <w:r w:rsidRPr="003868EE">
        <w:t>17 menggambarkan transisi teologis dari Allah sebagai Pembebas menuju Allah sebagai Raja yang menuntun umat ke tempat kudus-Nya, sekaligus menggoncangkan bangsa-bangsa di sekitar mereka.</w:t>
      </w:r>
    </w:p>
    <w:p w14:paraId="55FDAC69" w14:textId="77777777" w:rsidR="0010267E" w:rsidRDefault="0010267E" w:rsidP="0010267E"/>
    <w:p w14:paraId="7FCC0B63" w14:textId="77777777" w:rsidR="0010267E" w:rsidRDefault="0010267E" w:rsidP="0010267E">
      <w:pPr>
        <w:jc w:val="center"/>
      </w:pPr>
      <w:r w:rsidRPr="00E41784">
        <w:t>Allah Memimpin umat-Nya (Ayt 13)</w:t>
      </w:r>
    </w:p>
    <w:p w14:paraId="51DDCD99" w14:textId="77777777" w:rsidR="0010267E" w:rsidRPr="00E41784" w:rsidRDefault="0010267E" w:rsidP="0010267E">
      <w:pPr>
        <w:jc w:val="center"/>
      </w:pPr>
    </w:p>
    <w:p w14:paraId="4525515B" w14:textId="58A2E817" w:rsidR="0010267E" w:rsidRDefault="0010267E" w:rsidP="0010267E">
      <w:pPr>
        <w:ind w:firstLine="720"/>
        <w:jc w:val="both"/>
      </w:pPr>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Emphasis"/>
        </w:rPr>
        <w:t>nāḥâ</w:t>
      </w:r>
      <w:r w:rsidRPr="00AF6ADD">
        <w:t>)</w:t>
      </w:r>
      <w:r>
        <w:t>.</w:t>
      </w:r>
      <w:r w:rsidRPr="000C6E79">
        <w:rPr>
          <w:rStyle w:val="FootnoteReference"/>
        </w:rPr>
        <w:footnoteReference w:id="18"/>
      </w:r>
      <w:r w:rsidRPr="00AF6ADD">
        <w:t xml:space="preserve"> Penggunaan </w:t>
      </w:r>
      <w:r w:rsidRPr="00AF6ADD">
        <w:rPr>
          <w:rStyle w:val="Emphasis"/>
        </w:rPr>
        <w:t>nāḥâ</w:t>
      </w:r>
      <w:r w:rsidRPr="00AF6ADD">
        <w:t xml:space="preserve"> menandai bimbingan ilahi yang bersifat berkelanjutan</w:t>
      </w:r>
      <w:r w:rsidR="00081319">
        <w:t xml:space="preserve">. </w:t>
      </w:r>
      <w:r w:rsidR="00B20610">
        <w:t>P</w:t>
      </w:r>
      <w:r w:rsidRPr="00AF6ADD">
        <w:t>embebasan dari Mesir diarahkan menuju formasi identitas umat yang hidup di bawah kepemimpinan Allah.</w:t>
      </w:r>
    </w:p>
    <w:p w14:paraId="43AEE3AE" w14:textId="6403F991" w:rsidR="0010267E" w:rsidRPr="00E41784" w:rsidRDefault="0010267E" w:rsidP="0010267E">
      <w:pPr>
        <w:ind w:firstLine="720"/>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Emphasis"/>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Emphasis"/>
        </w:rPr>
        <w:t>nəwê qodshekā</w:t>
      </w:r>
      <w:r w:rsidRPr="00AF6ADD">
        <w:t xml:space="preserve">). Istilah </w:t>
      </w:r>
      <w:r w:rsidRPr="00AF6ADD">
        <w:rPr>
          <w:rStyle w:val="Emphasis"/>
        </w:rPr>
        <w:t>nəwê</w:t>
      </w:r>
      <w:r w:rsidRPr="00AF6ADD">
        <w:t xml:space="preserve"> merujuk pada “tempat tinggal” atau “tempat peristirahatan,” yang dalam konteks ini menunjuk</w:t>
      </w:r>
      <w:r>
        <w:t xml:space="preserve"> pada pusat pemerintahan Allah.</w:t>
      </w:r>
      <w:r w:rsidR="00DC1DDC">
        <w:rPr>
          <w:rStyle w:val="FootnoteReference"/>
        </w:rPr>
        <w:footnoteReference w:id="19"/>
      </w:r>
      <w:r w:rsidRPr="00AF6ADD">
        <w:t xml:space="preserve"> </w:t>
      </w:r>
      <w:r>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5C9EAB89" w14:textId="77777777" w:rsidR="0010267E" w:rsidRPr="00E41784" w:rsidRDefault="0010267E" w:rsidP="0010267E">
      <w:pPr>
        <w:jc w:val="center"/>
      </w:pPr>
      <w:r w:rsidRPr="00E41784">
        <w:t>Bangsa-bangsa gentar (Ayt 14-16)</w:t>
      </w:r>
    </w:p>
    <w:p w14:paraId="4E277C43" w14:textId="5A75A65F" w:rsidR="0010267E" w:rsidRPr="00E41784" w:rsidRDefault="0010267E" w:rsidP="0010267E">
      <w:pPr>
        <w:spacing w:before="100" w:beforeAutospacing="1" w:after="100" w:afterAutospacing="1"/>
        <w:ind w:firstLine="720"/>
        <w:jc w:val="both"/>
        <w:rPr>
          <w:rFonts w:eastAsia="Times New Roman"/>
          <w:sz w:val="28"/>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Emphasis"/>
        </w:rPr>
        <w:t>šāmʿû … yirgāzûn</w:t>
      </w:r>
      <w:r w:rsidRPr="00AF6ADD">
        <w:t>), “terpukul lemah” (</w:t>
      </w:r>
      <w:r w:rsidRPr="00AF6ADD">
        <w:rPr>
          <w:rFonts w:ascii="Ezra SIL" w:hAnsi="Ezra SIL" w:cs="Ezra SIL"/>
        </w:rPr>
        <w:t>אָחַז לָהֶם רָעַד</w:t>
      </w:r>
      <w:r w:rsidRPr="00AF6ADD">
        <w:t xml:space="preserve">, </w:t>
      </w:r>
      <w:r w:rsidRPr="00AF6ADD">
        <w:rPr>
          <w:rStyle w:val="Emphasis"/>
        </w:rPr>
        <w:t>ʾāḥaz lāhem rāʿad</w:t>
      </w:r>
      <w:r w:rsidRPr="00AF6ADD">
        <w:t>), dan “takut dan ngeri” (</w:t>
      </w:r>
      <w:r w:rsidRPr="00AF6ADD">
        <w:rPr>
          <w:rFonts w:ascii="Ezra SIL" w:hAnsi="Ezra SIL" w:cs="Ezra SIL"/>
        </w:rPr>
        <w:t>תִּפֹּל עֲלֵיהֶם אֵימָתָה וָפַחַד,</w:t>
      </w:r>
      <w:r w:rsidRPr="00AF6ADD">
        <w:t xml:space="preserve"> </w:t>
      </w:r>
      <w:r w:rsidRPr="00AF6ADD">
        <w:rPr>
          <w:rStyle w:val="Emphasis"/>
        </w:rPr>
        <w:t>tippōl ʿălêhem ʾēmātā wāpaḥad</w:t>
      </w:r>
      <w:r w:rsidRPr="00AF6ADD">
        <w:t xml:space="preserve">). Kata </w:t>
      </w:r>
      <w:r w:rsidRPr="00AF6ADD">
        <w:rPr>
          <w:rStyle w:val="Emphasis"/>
        </w:rPr>
        <w:t>ʾēmāh</w:t>
      </w:r>
      <w:r w:rsidRPr="00AF6ADD">
        <w:t xml:space="preserve"> (keagungan yang menimbulkan takut) dan </w:t>
      </w:r>
      <w:r w:rsidRPr="00AF6ADD">
        <w:rPr>
          <w:rStyle w:val="Emphasis"/>
        </w:rPr>
        <w:t>paḥad</w:t>
      </w:r>
      <w:r w:rsidRPr="00AF6ADD">
        <w:t xml:space="preserve"> (ketakutan mendalam) menekankan bahwa bangsa-bangsa</w:t>
      </w:r>
      <w:r w:rsidR="00D617C7">
        <w:t xml:space="preserve"> </w:t>
      </w:r>
      <w:r w:rsidRPr="00AF6ADD">
        <w:t xml:space="preserve">harus mengakui otoritas </w:t>
      </w:r>
      <w:r>
        <w:t>Allah dalam sejarah.</w:t>
      </w:r>
      <w:r w:rsidR="00E33216">
        <w:rPr>
          <w:rStyle w:val="FootnoteReference"/>
        </w:rPr>
        <w:footnoteReference w:id="20"/>
      </w:r>
      <w:r w:rsidRPr="00AF6ADD">
        <w:t xml:space="preserve"> </w:t>
      </w:r>
      <w:r>
        <w:rPr>
          <w:rFonts w:eastAsia="Times New Roman"/>
        </w:rPr>
        <w:t>oleh karena itu</w:t>
      </w:r>
      <w:r w:rsidRPr="00E41784">
        <w:rPr>
          <w:rFonts w:eastAsia="Times New Roman"/>
        </w:rPr>
        <w:t>, tindakan penyelamatan Allah menjadi tanda bahwa sejarah antarbangsa berada dalam cakupan intervensi dan pengaturan ilahi.</w:t>
      </w:r>
    </w:p>
    <w:p w14:paraId="5F129068" w14:textId="77777777" w:rsidR="00CC68EC" w:rsidRDefault="00CC68EC" w:rsidP="00DC1DDC"/>
    <w:p w14:paraId="5BD6F9D8" w14:textId="77777777" w:rsidR="0010267E" w:rsidRPr="00E41784" w:rsidRDefault="0010267E" w:rsidP="0010267E">
      <w:pPr>
        <w:jc w:val="center"/>
      </w:pPr>
      <w:r w:rsidRPr="00E41784">
        <w:t>Pemerintahan kekal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A388C3F" w:rsidR="0010267E" w:rsidRPr="00E33216" w:rsidRDefault="0010267E" w:rsidP="0010267E">
      <w:pPr>
        <w:pStyle w:val="NormalWeb"/>
        <w:spacing w:before="0" w:beforeAutospacing="0" w:after="0" w:afterAutospacing="0"/>
        <w:ind w:firstLine="720"/>
        <w:jc w:val="both"/>
        <w:rPr>
          <w:lang w:val="en-US"/>
        </w:rPr>
      </w:pPr>
      <w:r>
        <w:lastRenderedPageBreak/>
        <w:t>Ayat 17-18 merupakan puncak teologis dari struktur ini. Allah “menanam” (</w:t>
      </w:r>
      <w:r w:rsidRPr="002E52B5">
        <w:rPr>
          <w:rFonts w:ascii="Ezra SIL" w:hAnsi="Ezra SIL" w:cs="Ezra SIL"/>
        </w:rPr>
        <w:t>תְּבִיאֵמוֹ וְתִטָּעֵמוֹ</w:t>
      </w:r>
      <w:r>
        <w:t xml:space="preserve">, </w:t>
      </w:r>
      <w:r>
        <w:rPr>
          <w:rStyle w:val="Emphasis"/>
        </w:rPr>
        <w:t>təbîʾēmô wətittāʿēmô</w:t>
      </w:r>
      <w:r>
        <w:t>) umat-Nya di “gunung milik-Mu” (</w:t>
      </w:r>
      <w:r w:rsidRPr="002E52B5">
        <w:rPr>
          <w:rFonts w:ascii="Ezra SIL" w:hAnsi="Ezra SIL" w:cs="Ezra SIL"/>
        </w:rPr>
        <w:t>הַר נַחֲלָתְךָ</w:t>
      </w:r>
      <w:r>
        <w:t xml:space="preserve">, </w:t>
      </w:r>
      <w:r>
        <w:rPr>
          <w:rStyle w:val="Emphasis"/>
        </w:rPr>
        <w:t>har naḥălātəkā</w:t>
      </w:r>
      <w:r>
        <w:t xml:space="preserve">). Kata </w:t>
      </w:r>
      <w:r>
        <w:rPr>
          <w:rStyle w:val="Emphasis"/>
        </w:rPr>
        <w:t>nāṭaʿ</w:t>
      </w:r>
      <w:r>
        <w:t xml:space="preserve"> (“menanam”) menandai tindakan penyatuan permanen antara umat dan tempat kudus Allah. Puncaknya terdapat dalam deklarasi, “Tuhan memerintah untuk selama-lamanya” (</w:t>
      </w:r>
      <w:r w:rsidRPr="002E52B5">
        <w:rPr>
          <w:rFonts w:ascii="Ezra SIL" w:hAnsi="Ezra SIL" w:cs="Ezra SIL"/>
        </w:rPr>
        <w:t>יְהוָה יִמְלֹךְ לְעֹלָם וָעֶד,</w:t>
      </w:r>
      <w:r>
        <w:t xml:space="preserve"> </w:t>
      </w:r>
      <w:r>
        <w:rPr>
          <w:rStyle w:val="Emphasis"/>
        </w:rPr>
        <w:t>YHWH yimlōk ləʿōlām wāʿed</w:t>
      </w:r>
      <w:r>
        <w:t xml:space="preserve">). Frasa </w:t>
      </w:r>
      <w:r>
        <w:rPr>
          <w:rStyle w:val="Emphasis"/>
        </w:rPr>
        <w:t>mālak</w:t>
      </w:r>
      <w:r>
        <w:t xml:space="preserve"> (memerintah) dalam bentuk imperfek menyiratkan pemerintahan yang berlangsung dan tidak terputus.</w:t>
      </w:r>
      <w:r w:rsidR="00E33216">
        <w:rPr>
          <w:rStyle w:val="FootnoteReference"/>
        </w:rPr>
        <w:footnoteReference w:id="21"/>
      </w:r>
    </w:p>
    <w:p w14:paraId="546246A8" w14:textId="064C6EB5" w:rsidR="0010267E" w:rsidRDefault="0010267E" w:rsidP="0010267E">
      <w:pPr>
        <w:pStyle w:val="NormalWeb"/>
        <w:spacing w:before="0" w:beforeAutospacing="0" w:after="0" w:afterAutospacing="0"/>
        <w:ind w:firstLine="720"/>
        <w:jc w:val="both"/>
      </w:pPr>
      <w:r>
        <w:t>Keluaran 15:13</w:t>
      </w:r>
      <w:r w:rsidR="00D617C7">
        <w:t>-</w:t>
      </w:r>
      <w:r>
        <w:t>17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(ayt 19-21)</w:t>
      </w:r>
    </w:p>
    <w:p w14:paraId="7E963642" w14:textId="77777777" w:rsidR="0010267E" w:rsidRPr="0010267E" w:rsidRDefault="0010267E" w:rsidP="0010267E">
      <w:pPr>
        <w:ind w:firstLine="720"/>
        <w:jc w:val="both"/>
        <w:outlineLvl w:val="3"/>
        <w:rPr>
          <w:lang w:val="id-ID"/>
        </w:rPr>
      </w:pPr>
    </w:p>
    <w:p w14:paraId="63AC6D46" w14:textId="55AFB03B"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berfungsi sebagai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5008A7F1"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Emphasis"/>
        </w:rPr>
        <w:t>wayyāšeb YHWH</w:t>
      </w:r>
      <w:r>
        <w:t xml:space="preserve">). Verba </w:t>
      </w:r>
      <w:r>
        <w:rPr>
          <w:rStyle w:val="Emphasis"/>
        </w:rPr>
        <w:t>šûb</w:t>
      </w:r>
      <w:r>
        <w:t xml:space="preserve"> dalam bentuk </w:t>
      </w:r>
      <w:r>
        <w:rPr>
          <w:rStyle w:val="Emphasis"/>
        </w:rPr>
        <w:t>wayyāšeb</w:t>
      </w:r>
      <w:r>
        <w:t xml:space="preserve"> menyatakan tindakan ilahi yang tegas, final, dan berbalik arah terhadap kekuatan penindas.</w:t>
      </w:r>
      <w:r w:rsidR="00E33216">
        <w:rPr>
          <w:rStyle w:val="FootnoteReference"/>
        </w:rPr>
        <w:footnoteReference w:id="22"/>
      </w:r>
      <w:r>
        <w:t xml:space="preserve"> Pengulangan frasa ini bersifat liturgis yang merupakan sebuah bentuk </w:t>
      </w:r>
      <w:r w:rsidRPr="00245F4C">
        <w:rPr>
          <w:rStyle w:val="Emphasis"/>
        </w:rPr>
        <w:t>anamnesis</w:t>
      </w:r>
      <w:r>
        <w:t xml:space="preserve"> yang menghadirkan kembali makna keselamatan. Kalimat bahwa “Israel berjalan di tanah kering” (</w:t>
      </w:r>
      <w:r w:rsidRPr="00245F4C">
        <w:rPr>
          <w:rFonts w:ascii="Ezra SIL" w:hAnsi="Ezra SIL" w:cs="Ezra SIL"/>
        </w:rPr>
        <w:t>בַּיַּבָּשָׁה</w:t>
      </w:r>
      <w:r>
        <w:t xml:space="preserve">, </w:t>
      </w:r>
      <w:r>
        <w:rPr>
          <w:rStyle w:val="Emphasis"/>
        </w:rPr>
        <w:t>bayyabbašāh</w:t>
      </w:r>
      <w:r>
        <w:t>) mempertegas kontras teologis dimana umat berjalan dalam ruang keselamatan yang dibuka Allah, sementara musuh hancur dalam ruang penghakiman Allah.</w:t>
      </w:r>
      <w:r w:rsidRPr="000C6E79">
        <w:rPr>
          <w:rStyle w:val="FootnoteReference"/>
          <w:rFonts w:eastAsia="Calibri"/>
        </w:rPr>
        <w:footnoteReference w:id="23"/>
      </w:r>
    </w:p>
    <w:p w14:paraId="721F01C2" w14:textId="77777777" w:rsidR="0010267E" w:rsidRPr="00245F4C" w:rsidRDefault="0010267E" w:rsidP="0010267E">
      <w:pPr>
        <w:jc w:val="center"/>
      </w:pPr>
      <w:r w:rsidRPr="00245F4C">
        <w:t>Tarian Miryam (Ayat 20)</w:t>
      </w:r>
    </w:p>
    <w:p w14:paraId="2A935C80" w14:textId="4D306510" w:rsidR="0010267E" w:rsidRDefault="0010267E" w:rsidP="0010267E">
      <w:pPr>
        <w:pStyle w:val="NormalWeb"/>
        <w:ind w:firstLine="720"/>
        <w:jc w:val="both"/>
      </w:pPr>
      <w:r>
        <w:t>Ayat 20 menyajikan respons profetis Miryam, disebut “nabi perempuan” (</w:t>
      </w:r>
      <w:r w:rsidRPr="00245F4C">
        <w:rPr>
          <w:rFonts w:ascii="Ezra SIL" w:hAnsi="Ezra SIL" w:cs="Ezra SIL"/>
        </w:rPr>
        <w:t>הַנְּבִיאָה</w:t>
      </w:r>
      <w:r>
        <w:t xml:space="preserve">, </w:t>
      </w:r>
      <w:r>
        <w:rPr>
          <w:rStyle w:val="Emphasis"/>
        </w:rPr>
        <w:t>hannəḇiʾāh</w:t>
      </w:r>
      <w:r>
        <w:t>), sebuah gelar yang menunjukkan peran representatifnya sebagai pengantar respons umat terhadap karya Allah. Tindakan Miryam “mengambil” (</w:t>
      </w:r>
      <w:r w:rsidRPr="00245F4C">
        <w:rPr>
          <w:rFonts w:ascii="Ezra SIL" w:hAnsi="Ezra SIL" w:cs="Ezra SIL"/>
        </w:rPr>
        <w:t>וַתִּקַּח</w:t>
      </w:r>
      <w:r>
        <w:t xml:space="preserve">, </w:t>
      </w:r>
      <w:r>
        <w:rPr>
          <w:rStyle w:val="Emphasis"/>
        </w:rPr>
        <w:t>wattiqqaḥ</w:t>
      </w:r>
      <w:r>
        <w:t>) rebana dan memimpin para perempuan “menari” (</w:t>
      </w:r>
      <w:r w:rsidRPr="00245F4C">
        <w:rPr>
          <w:rFonts w:ascii="Ezra SIL" w:hAnsi="Ezra SIL" w:cs="Ezra SIL"/>
        </w:rPr>
        <w:t>בְּמְחֹלֹת,</w:t>
      </w:r>
      <w:r>
        <w:t xml:space="preserve"> </w:t>
      </w:r>
      <w:r>
        <w:rPr>
          <w:rStyle w:val="Emphasis"/>
        </w:rPr>
        <w:t>bəmḥolôt</w:t>
      </w:r>
      <w:r>
        <w:t>) menandai ekspresi liturgis yang menggabungkan musik, tubuh, dan teologi.</w:t>
      </w:r>
      <w:r w:rsidR="00690151">
        <w:t xml:space="preserve"> </w:t>
      </w:r>
      <w:r>
        <w:t xml:space="preserve">Tarian mereka </w:t>
      </w:r>
      <w:r w:rsidR="00FC11A3">
        <w:t>merupakan</w:t>
      </w:r>
      <w:r>
        <w:t xml:space="preserve"> sebuah simbol profetik bahwa tubuh umat pun terlibat dalam pernyataan iman atas kemenangan Allah.</w:t>
      </w:r>
      <w:r w:rsidR="00690151">
        <w:rPr>
          <w:rStyle w:val="FootnoteReference"/>
        </w:rPr>
        <w:footnoteReference w:id="24"/>
      </w:r>
      <w:r>
        <w:t xml:space="preserve"> Penggunaan kata </w:t>
      </w:r>
      <w:r>
        <w:rPr>
          <w:rStyle w:val="Emphasis"/>
        </w:rPr>
        <w:t>mḥol</w:t>
      </w:r>
      <w:r>
        <w:t xml:space="preserve"> mengindikasikan tarian berputar yang penuh sukacita ritual, </w:t>
      </w:r>
      <w:r>
        <w:lastRenderedPageBreak/>
        <w:t>menunjukkan bahwa keselamatan menghadirkan transformasi total yakni emosi, tubuh, dan komunitas.</w:t>
      </w:r>
    </w:p>
    <w:p w14:paraId="72505910" w14:textId="2DB188B6" w:rsidR="0010267E" w:rsidRPr="0010267E" w:rsidRDefault="0010267E" w:rsidP="0010267E">
      <w:pPr>
        <w:jc w:val="center"/>
        <w:rPr>
          <w:lang w:val="id-ID"/>
        </w:rPr>
      </w:pPr>
      <w:r w:rsidRPr="009C6D41">
        <w:rPr>
          <w:lang w:val="id-ID"/>
        </w:rPr>
        <w:t>Nya</w:t>
      </w:r>
      <w:r w:rsidR="009C6D41" w:rsidRPr="009C6D41">
        <w:rPr>
          <w:lang w:val="id-ID"/>
        </w:rPr>
        <w:t>n</w:t>
      </w:r>
      <w:r w:rsidRPr="009C6D41">
        <w:rPr>
          <w:lang w:val="id-ID"/>
        </w:rPr>
        <w:t>yian</w:t>
      </w:r>
      <w:r w:rsidRPr="0010267E">
        <w:rPr>
          <w:lang w:val="id-ID"/>
        </w:rPr>
        <w:t xml:space="preserve"> umat (Ayat 21)</w:t>
      </w:r>
    </w:p>
    <w:p w14:paraId="0F75AE5B" w14:textId="77777777" w:rsidR="0010267E" w:rsidRPr="0010267E" w:rsidRDefault="0010267E" w:rsidP="0010267E">
      <w:pPr>
        <w:jc w:val="center"/>
        <w:rPr>
          <w:lang w:val="id-ID"/>
        </w:rPr>
      </w:pPr>
    </w:p>
    <w:p w14:paraId="30AE8FFB" w14:textId="54EA609F" w:rsidR="0010267E" w:rsidRPr="00245F4C" w:rsidRDefault="0010267E" w:rsidP="0010267E">
      <w:pPr>
        <w:ind w:firstLine="720"/>
        <w:jc w:val="both"/>
      </w:pPr>
      <w:r w:rsidRPr="0010267E">
        <w:rPr>
          <w:lang w:val="id-ID"/>
        </w:rPr>
        <w:t xml:space="preserve">Ayat 21 memuat nyanyian Miryam yang menjadi </w:t>
      </w:r>
      <w:r w:rsidRPr="0010267E">
        <w:rPr>
          <w:rStyle w:val="Emphasis"/>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Emphasis"/>
          <w:lang w:val="id-ID"/>
        </w:rPr>
        <w:t>šîrû laYHWH</w:t>
      </w:r>
      <w:r w:rsidRPr="0010267E">
        <w:rPr>
          <w:lang w:val="id-ID"/>
        </w:rPr>
        <w:t xml:space="preserve">). </w:t>
      </w:r>
      <w:r w:rsidRPr="00245F4C">
        <w:t xml:space="preserve">Imperatif jamak </w:t>
      </w:r>
      <w:r w:rsidRPr="00245F4C">
        <w:rPr>
          <w:rStyle w:val="Emphasis"/>
        </w:rPr>
        <w:t>šîrû</w:t>
      </w:r>
      <w:r w:rsidRPr="00245F4C">
        <w:t xml:space="preserve"> menunjukkan bahwa pujian merupakan tindakan komunal yang</w:t>
      </w:r>
      <w:r>
        <w:t xml:space="preserve"> wajib.</w:t>
      </w:r>
      <w:r w:rsidR="00DC1DDC">
        <w:rPr>
          <w:rStyle w:val="FootnoteReference"/>
        </w:rPr>
        <w:footnoteReference w:id="25"/>
      </w:r>
      <w:r w:rsidRPr="00245F4C">
        <w:t xml:space="preserve"> Frasa “Ia tinggi menjulang” (</w:t>
      </w:r>
      <w:r w:rsidRPr="00245F4C">
        <w:rPr>
          <w:rFonts w:ascii="Ezra SIL" w:hAnsi="Ezra SIL" w:cs="Ezra SIL"/>
        </w:rPr>
        <w:t>גָּאָה גָּאָה</w:t>
      </w:r>
      <w:r w:rsidRPr="00245F4C">
        <w:t xml:space="preserve">, </w:t>
      </w:r>
      <w:r w:rsidRPr="00245F4C">
        <w:rPr>
          <w:rStyle w:val="Emphasis"/>
        </w:rPr>
        <w:t>gāʾāh gāʾāh</w:t>
      </w:r>
      <w:r w:rsidRPr="00245F4C">
        <w:t>) menyajikan bentuk intensif (infinitif absolut + perfek) yang menegaskan kea</w:t>
      </w:r>
      <w:r>
        <w:t>gungan Allah secara superlatif.</w:t>
      </w:r>
      <w:r w:rsidRPr="000C6E79">
        <w:rPr>
          <w:rStyle w:val="FootnoteReference"/>
        </w:rPr>
        <w:footnoteReference w:id="26"/>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33D66F7E" w14:textId="771FA097" w:rsidR="0010267E" w:rsidRDefault="0010267E" w:rsidP="0010267E">
      <w:pPr>
        <w:pStyle w:val="NormalWeb"/>
        <w:spacing w:before="0" w:beforeAutospacing="0" w:after="0" w:afterAutospacing="0"/>
        <w:ind w:firstLine="720"/>
        <w:jc w:val="both"/>
      </w:pPr>
      <w:r>
        <w:t>Keluaran 15:19-21 menutup nyanyian Musa dengan memperlihatkan sarana pemeliharaan iman. Ringkasan keselamatan menghadirkan kembali karya Allah, tarian Miryam memperlihatkan respons profetis-tubuh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6EA6B188" w14:textId="550B304C" w:rsidR="0010267E" w:rsidRDefault="0010267E" w:rsidP="009638FD">
      <w:pPr>
        <w:jc w:val="center"/>
        <w:outlineLvl w:val="3"/>
        <w:rPr>
          <w:rFonts w:eastAsia="Times New Roman"/>
          <w:b/>
          <w:bCs/>
          <w:iCs/>
          <w:lang w:val="en-ID"/>
        </w:rPr>
      </w:pPr>
      <w:r w:rsidRPr="00230649">
        <w:rPr>
          <w:rFonts w:eastAsia="Times New Roman"/>
          <w:b/>
          <w:bCs/>
          <w:iCs/>
          <w:lang w:val="en-ID"/>
        </w:rPr>
        <w:t xml:space="preserve">Nada yang Membebaskan: Struktur Liturgis dan </w:t>
      </w:r>
      <w:r w:rsidR="009638FD">
        <w:rPr>
          <w:rFonts w:eastAsia="Times New Roman"/>
          <w:b/>
          <w:bCs/>
          <w:iCs/>
          <w:lang w:val="en-ID"/>
        </w:rPr>
        <w:br/>
      </w:r>
      <w:r w:rsidRPr="00230649">
        <w:rPr>
          <w:rFonts w:eastAsia="Times New Roman"/>
          <w:b/>
          <w:bCs/>
          <w:iCs/>
          <w:lang w:val="en-ID"/>
        </w:rPr>
        <w:t>Teologi</w:t>
      </w:r>
      <w:r w:rsidR="009638FD">
        <w:rPr>
          <w:rFonts w:eastAsia="Times New Roman"/>
          <w:b/>
          <w:bCs/>
          <w:iCs/>
          <w:lang w:val="en-ID"/>
        </w:rPr>
        <w:t>s</w:t>
      </w:r>
      <w:r w:rsidRPr="00230649">
        <w:rPr>
          <w:rFonts w:eastAsia="Times New Roman"/>
          <w:b/>
          <w:bCs/>
          <w:iCs/>
          <w:lang w:val="en-ID"/>
        </w:rPr>
        <w:t xml:space="preserve"> </w:t>
      </w:r>
      <w:r w:rsidR="009638FD">
        <w:rPr>
          <w:rFonts w:eastAsia="Times New Roman"/>
          <w:b/>
          <w:bCs/>
          <w:iCs/>
          <w:lang w:val="en-ID"/>
        </w:rPr>
        <w:t xml:space="preserve">dalam </w:t>
      </w:r>
      <w:r w:rsidRPr="00230649">
        <w:rPr>
          <w:rFonts w:eastAsia="Times New Roman"/>
          <w:b/>
          <w:bCs/>
          <w:iCs/>
          <w:lang w:val="en-ID"/>
        </w:rPr>
        <w:t>Panggilan K</w:t>
      </w:r>
      <w:r>
        <w:rPr>
          <w:rFonts w:eastAsia="Times New Roman"/>
          <w:b/>
          <w:bCs/>
          <w:iCs/>
          <w:lang w:val="en-ID"/>
        </w:rPr>
        <w:t>idung Musa (Keluaran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218248C6" w14:textId="2134C59D" w:rsidR="006A238E" w:rsidRDefault="0010267E" w:rsidP="009C6D41">
      <w:pPr>
        <w:ind w:firstLine="720"/>
        <w:jc w:val="both"/>
        <w:outlineLvl w:val="3"/>
        <w:rPr>
          <w:rFonts w:eastAsia="Times New Roman"/>
          <w:bCs/>
          <w:iCs/>
          <w:lang w:val="en-ID"/>
        </w:rPr>
      </w:pPr>
      <w:r w:rsidRPr="00230649">
        <w:rPr>
          <w:rFonts w:eastAsia="Times New Roman"/>
          <w:bCs/>
          <w:iCs/>
          <w:lang w:val="en-ID"/>
        </w:rPr>
        <w:t>Kidung</w:t>
      </w:r>
      <w:r>
        <w:rPr>
          <w:rFonts w:eastAsia="Times New Roman"/>
          <w:bCs/>
          <w:iCs/>
          <w:lang w:val="en-ID"/>
        </w:rPr>
        <w:t xml:space="preserve"> Musa dalam Keluaran 15:1-</w:t>
      </w:r>
      <w:r w:rsidRPr="00230649">
        <w:rPr>
          <w:rFonts w:eastAsia="Times New Roman"/>
          <w:bCs/>
          <w:iCs/>
          <w:lang w:val="en-ID"/>
        </w:rPr>
        <w:t xml:space="preserve">21 merupakan salah satu komposisi paling monumental dalam tradisi Israel. Teks ini </w:t>
      </w:r>
      <w:r w:rsidR="00FC11A3">
        <w:rPr>
          <w:rFonts w:eastAsia="Times New Roman"/>
          <w:bCs/>
          <w:iCs/>
          <w:lang w:val="en-ID"/>
        </w:rPr>
        <w:t xml:space="preserve">merupakan </w:t>
      </w:r>
      <w:r w:rsidRPr="00230649">
        <w:rPr>
          <w:rFonts w:eastAsia="Times New Roman"/>
          <w:bCs/>
          <w:iCs/>
          <w:lang w:val="en-ID"/>
        </w:rPr>
        <w:t xml:space="preserve">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Kidung Musa </w:t>
      </w:r>
      <w:r w:rsidR="00D617C7">
        <w:rPr>
          <w:rFonts w:eastAsia="Times New Roman"/>
          <w:bCs/>
          <w:iCs/>
          <w:lang w:val="en-ID"/>
        </w:rPr>
        <w:t>merupakan</w:t>
      </w:r>
      <w:r w:rsidRPr="00230649">
        <w:rPr>
          <w:rFonts w:eastAsia="Times New Roman"/>
          <w:bCs/>
          <w:iCs/>
          <w:lang w:val="en-ID"/>
        </w:rPr>
        <w:t xml:space="preserve">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1E2E9CEA" w14:textId="77777777" w:rsidR="006A238E" w:rsidRPr="006A238E" w:rsidRDefault="006A238E" w:rsidP="006A238E">
      <w:pPr>
        <w:ind w:firstLine="720"/>
        <w:jc w:val="both"/>
        <w:outlineLvl w:val="3"/>
        <w:rPr>
          <w:rFonts w:eastAsia="Times New Roman"/>
          <w:bCs/>
          <w:iCs/>
          <w:lang w:val="en-ID"/>
        </w:rPr>
      </w:pPr>
    </w:p>
    <w:p w14:paraId="470C18A4" w14:textId="77777777" w:rsidR="0010267E" w:rsidRDefault="0010267E" w:rsidP="0010267E">
      <w:pPr>
        <w:jc w:val="center"/>
        <w:outlineLvl w:val="3"/>
        <w:rPr>
          <w:rFonts w:eastAsia="Times New Roman"/>
          <w:iCs/>
          <w:lang w:val="en-ID"/>
        </w:rPr>
      </w:pPr>
      <w:r w:rsidRPr="00230649">
        <w:rPr>
          <w:rFonts w:eastAsia="Times New Roman"/>
          <w:iCs/>
          <w:lang w:val="en-ID"/>
        </w:rPr>
        <w:t>Struktur Liturgis: Proklamasi, Pujian, dan Partisipasi Umat</w:t>
      </w:r>
    </w:p>
    <w:p w14:paraId="361A1469" w14:textId="77777777" w:rsidR="0010267E" w:rsidRPr="00230649" w:rsidRDefault="0010267E" w:rsidP="0010267E">
      <w:pPr>
        <w:jc w:val="center"/>
        <w:outlineLvl w:val="3"/>
        <w:rPr>
          <w:rFonts w:eastAsia="Times New Roman"/>
          <w:iCs/>
          <w:lang w:val="en-ID"/>
        </w:rPr>
      </w:pPr>
    </w:p>
    <w:p w14:paraId="218DC8E7" w14:textId="6327927A" w:rsidR="0010267E" w:rsidRPr="00230649" w:rsidRDefault="0010267E" w:rsidP="0010267E">
      <w:pPr>
        <w:ind w:firstLine="720"/>
        <w:jc w:val="both"/>
        <w:outlineLvl w:val="3"/>
        <w:rPr>
          <w:rFonts w:eastAsia="Times New Roman"/>
          <w:bCs/>
          <w:iCs/>
          <w:lang w:val="en-ID"/>
        </w:rPr>
      </w:pPr>
      <w:r w:rsidRPr="00230649">
        <w:rPr>
          <w:rFonts w:eastAsia="Times New Roman"/>
          <w:bCs/>
          <w:iCs/>
          <w:lang w:val="en-ID"/>
        </w:rPr>
        <w:t xml:space="preserve">Kidung Musa memiliki struktur liturgis khas yang terdiri dari tiga unsur utama: proklamasi karya Allah, pujian komunal, dan partisipasi umat. Unsur pertama tampak 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FootnoteReference"/>
        </w:rPr>
        <w:footnoteReference w:id="27"/>
      </w:r>
    </w:p>
    <w:p w14:paraId="576107B4" w14:textId="7934A4B3" w:rsidR="0010267E" w:rsidRDefault="0010267E" w:rsidP="009638FD">
      <w:pPr>
        <w:ind w:firstLine="720"/>
        <w:jc w:val="both"/>
        <w:outlineLvl w:val="3"/>
        <w:rPr>
          <w:rFonts w:eastAsia="Times New Roman"/>
          <w:bCs/>
          <w:iCs/>
          <w:lang w:val="en-ID"/>
        </w:rPr>
      </w:pPr>
      <w:r w:rsidRPr="00230649">
        <w:rPr>
          <w:rFonts w:eastAsia="Times New Roman"/>
          <w:bCs/>
          <w:iCs/>
          <w:lang w:val="en-ID"/>
        </w:rPr>
        <w:t>Unsur kedua, yaitu pujian komunal, terwujud dalam repetisi frasa-frasa liturgis yang menekankan tindakan Allah sebagai penyelamat. Struktur repetitif ini berfungsi untuk membentuk memori kolektif tentang kebebasan yang diberikan Allah. Seperti dicatat oleh</w:t>
      </w:r>
      <w:r w:rsidR="00B20610">
        <w:rPr>
          <w:rFonts w:eastAsia="Times New Roman"/>
          <w:bCs/>
          <w:iCs/>
          <w:lang w:val="en-ID"/>
        </w:rPr>
        <w:t xml:space="preserve"> </w:t>
      </w:r>
      <w:r w:rsidRPr="00230649">
        <w:rPr>
          <w:rFonts w:eastAsia="Times New Roman"/>
          <w:bCs/>
          <w:iCs/>
          <w:lang w:val="en-ID"/>
        </w:rPr>
        <w:t>Levin, “nyanyian ini bertindak sebagai memori ritual yang mengikat pengalaman sejarah dengan identitas iman.”</w:t>
      </w:r>
      <w:r w:rsidRPr="000C6E79">
        <w:rPr>
          <w:rStyle w:val="FootnoteReference"/>
        </w:rPr>
        <w:footnoteReference w:id="28"/>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w:t>
      </w:r>
      <w:r w:rsidRPr="00230649">
        <w:rPr>
          <w:rFonts w:eastAsia="Times New Roman"/>
          <w:bCs/>
          <w:iCs/>
          <w:lang w:val="en-ID"/>
        </w:rPr>
        <w:lastRenderedPageBreak/>
        <w:t xml:space="preserve">pemimpin (Musa) menjadi liturgi responsorial di mana seluruh komunitas terlibat. </w:t>
      </w:r>
      <w:r>
        <w:rPr>
          <w:rFonts w:eastAsia="Times New Roman"/>
          <w:bCs/>
          <w:iCs/>
          <w:lang w:val="en-ID"/>
        </w:rPr>
        <w:t>P</w:t>
      </w:r>
      <w:r w:rsidRPr="00230649">
        <w:rPr>
          <w:rFonts w:eastAsia="Times New Roman"/>
          <w:bCs/>
          <w:iCs/>
          <w:lang w:val="en-ID"/>
        </w:rPr>
        <w:t xml:space="preserve">ujian </w:t>
      </w:r>
      <w:r w:rsidR="00FC11A3">
        <w:rPr>
          <w:rFonts w:eastAsia="Times New Roman"/>
          <w:bCs/>
          <w:iCs/>
          <w:lang w:val="en-ID"/>
        </w:rPr>
        <w:t>ini merupakan</w:t>
      </w:r>
      <w:r w:rsidRPr="00230649">
        <w:rPr>
          <w:rFonts w:eastAsia="Times New Roman"/>
          <w:bCs/>
          <w:iCs/>
          <w:lang w:val="en-ID"/>
        </w:rPr>
        <w:t xml:space="preserve">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r w:rsidRPr="00230649">
        <w:rPr>
          <w:rFonts w:eastAsia="Times New Roman"/>
          <w:iCs/>
          <w:lang w:val="en-ID"/>
        </w:rPr>
        <w:t>Teologi Pembebasan: Allah sebagai Pejuang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008DCB11"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xml:space="preserve">, Keluaran 15:3). Dalam konteks dunia Timur Dekat kuno, motif dewa pejuang sering digunakan untuk menegaskan supremasi ilah tertentu atas ilah-ilah lain atau atas kekuatan kosmik. Namun, Kidung Musa memberikan reinterpretasi teologis yang radikal: kemenangan Yahweh </w:t>
      </w:r>
      <w:r w:rsidR="00FC11A3">
        <w:rPr>
          <w:rFonts w:eastAsia="Times New Roman"/>
          <w:bCs/>
          <w:iCs/>
          <w:lang w:val="en-ID"/>
        </w:rPr>
        <w:t>sebagai</w:t>
      </w:r>
      <w:r w:rsidRPr="00C57743">
        <w:rPr>
          <w:rFonts w:eastAsia="Times New Roman"/>
          <w:bCs/>
          <w:iCs/>
          <w:lang w:val="en-ID"/>
        </w:rPr>
        <w:t xml:space="preserve"> aksi pembebasan moral dan historis bagi umat yang tertindas. Dalam hal ini, kuasa Yahweh diarahkan untuk menegakkan keadilan, keselamatan, dan kebaikan bagi umat yang lemah dan teraniaya. Walton menekankan bahwa gambaran ilahi ini “menunjukkan tindakan Allah yang berpihak pada keadilan dan melawan penindasan,” menegaskan dimensi etis dan teologis dari kemenangan ilahi.</w:t>
      </w:r>
      <w:r w:rsidRPr="000C6E79">
        <w:rPr>
          <w:rStyle w:val="FootnoteReference"/>
        </w:rPr>
        <w:footnoteReference w:id="29"/>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5AB3F309"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w:t>
      </w:r>
      <w:r w:rsidR="00FC11A3">
        <w:rPr>
          <w:rFonts w:eastAsia="Times New Roman"/>
          <w:bCs/>
          <w:iCs/>
          <w:lang w:val="en-ID"/>
        </w:rPr>
        <w:t>ialah</w:t>
      </w:r>
      <w:r w:rsidRPr="00C57743">
        <w:rPr>
          <w:rFonts w:eastAsia="Times New Roman"/>
          <w:bCs/>
          <w:iCs/>
          <w:lang w:val="en-ID"/>
        </w:rPr>
        <w:t xml:space="preserve"> karya ilahi yang sengaja dan direncanakan dalam rencana keselamatan yang holistik.</w:t>
      </w:r>
      <w:r w:rsidRPr="000C6E79">
        <w:rPr>
          <w:rStyle w:val="FootnoteReference"/>
        </w:rPr>
        <w:footnoteReference w:id="30"/>
      </w:r>
      <w:r w:rsidRPr="00C57743">
        <w:rPr>
          <w:rFonts w:eastAsia="Times New Roman"/>
          <w:bCs/>
          <w:iCs/>
          <w:lang w:val="en-ID"/>
        </w:rPr>
        <w:t xml:space="preserve"> Dalam perspektif teologi biblika, hal ini menekankan bahwa Allah sebagai penyelamat moral, spiritual, dan kosmik, yang memanggil umat-Nya untuk hidup dalam kesetiaan, pujian, dan tanggapan etis terhadap karya-Nya. Kidung Musa menegaskan bahwa keadilan dan keselamatan adalah dua dimensi yang tak terpisahkan dari karakter Allah, sekaligus menjadi dasar panggilan teologis bagi umat untuk hidup sebagai komunitas yang setia, bersaksi, dan memuliakan Tuhan yang membebaskan.</w:t>
      </w:r>
    </w:p>
    <w:p w14:paraId="50B87195" w14:textId="77777777" w:rsidR="009C6D41" w:rsidRDefault="009C6D41" w:rsidP="00D113B5">
      <w:pPr>
        <w:outlineLvl w:val="3"/>
        <w:rPr>
          <w:rFonts w:eastAsia="Times New Roman"/>
          <w:iCs/>
          <w:lang w:val="en-ID"/>
        </w:rPr>
      </w:pPr>
    </w:p>
    <w:p w14:paraId="0CBF586E" w14:textId="77777777" w:rsidR="009C6D41" w:rsidRDefault="009C6D41" w:rsidP="0010267E">
      <w:pPr>
        <w:jc w:val="center"/>
        <w:outlineLvl w:val="3"/>
        <w:rPr>
          <w:rFonts w:eastAsia="Times New Roman"/>
          <w:iCs/>
          <w:lang w:val="en-ID"/>
        </w:rPr>
      </w:pPr>
    </w:p>
    <w:p w14:paraId="50E14854" w14:textId="4EEA4755" w:rsidR="0010267E" w:rsidRDefault="0010267E" w:rsidP="0010267E">
      <w:pPr>
        <w:jc w:val="center"/>
        <w:outlineLvl w:val="3"/>
        <w:rPr>
          <w:rFonts w:eastAsia="Times New Roman"/>
          <w:iCs/>
          <w:lang w:val="en-ID"/>
        </w:rPr>
      </w:pPr>
      <w:r w:rsidRPr="00230649">
        <w:rPr>
          <w:rFonts w:eastAsia="Times New Roman"/>
          <w:iCs/>
          <w:lang w:val="en-ID"/>
        </w:rPr>
        <w:t>Teologi Panggilan: Dari Pembebasan Menuju Penyembahan</w:t>
      </w:r>
    </w:p>
    <w:p w14:paraId="6DA0A1CB" w14:textId="77777777" w:rsidR="0010267E" w:rsidRPr="00230649" w:rsidRDefault="0010267E" w:rsidP="0010267E">
      <w:pPr>
        <w:ind w:firstLine="720"/>
        <w:jc w:val="center"/>
        <w:outlineLvl w:val="3"/>
        <w:rPr>
          <w:rFonts w:eastAsia="Times New Roman"/>
          <w:bCs/>
          <w:iCs/>
          <w:lang w:val="en-ID"/>
        </w:rPr>
      </w:pPr>
    </w:p>
    <w:p w14:paraId="466BDC6F" w14:textId="74CBE9A5"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Kidung Musa (Keluaran 15:1</w:t>
      </w:r>
      <w:r w:rsidR="00D617C7">
        <w:rPr>
          <w:rFonts w:eastAsia="Times New Roman"/>
          <w:bCs/>
          <w:iCs/>
          <w:lang w:val="en-ID"/>
        </w:rPr>
        <w:t>-</w:t>
      </w:r>
      <w:r w:rsidRPr="00CB5740">
        <w:rPr>
          <w:rFonts w:eastAsia="Times New Roman"/>
          <w:bCs/>
          <w:iCs/>
          <w:lang w:val="en-ID"/>
        </w:rPr>
        <w:t>21) secara teologis membentuk identitas umat sebagai komunitas terpanggil. Dalam konteks Kidung ini, tema panggilan (calling) berakar kuat pada tindakan pembebasan Allah (exodus) yang kemudian dipenuhi dengan penyembahan, ketaatan, dan kehidupan perjanjian.</w:t>
      </w:r>
      <w:r w:rsidR="002A03CA">
        <w:rPr>
          <w:rFonts w:eastAsia="Times New Roman"/>
          <w:bCs/>
          <w:iCs/>
          <w:lang w:val="en-ID"/>
        </w:rPr>
        <w:t xml:space="preserve"> </w:t>
      </w:r>
      <w:r w:rsidR="002A03CA" w:rsidRPr="002A03CA">
        <w:rPr>
          <w:rFonts w:eastAsia="Times New Roman"/>
          <w:bCs/>
          <w:iCs/>
        </w:rPr>
        <w:t>Dalam Kidung Musa, pembebasan adalah prasyarat panggilan, dan panggilan adalah telos pembebasan</w:t>
      </w:r>
      <w:r w:rsidR="002A03CA">
        <w:rPr>
          <w:rFonts w:eastAsia="Times New Roman"/>
          <w:bCs/>
          <w:iCs/>
        </w:rPr>
        <w:t>.</w:t>
      </w:r>
    </w:p>
    <w:p w14:paraId="32F4798C" w14:textId="24A8099F"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Kata Ibrani ḥesed (</w:t>
      </w:r>
      <w:r w:rsidRPr="00CB5740">
        <w:rPr>
          <w:rFonts w:ascii="Ezra SIL" w:eastAsia="Times New Roman" w:hAnsi="Ezra SIL" w:cs="Ezra SIL"/>
          <w:bCs/>
          <w:iCs/>
          <w:lang w:val="en-ID"/>
        </w:rPr>
        <w:t>חֶסֶד</w:t>
      </w:r>
      <w:r w:rsidRPr="00CB5740">
        <w:rPr>
          <w:rFonts w:eastAsia="Times New Roman"/>
          <w:bCs/>
          <w:iCs/>
          <w:lang w:val="en-ID"/>
        </w:rPr>
        <w:t>) sering diterjemahkan sebagai kasih setia, kesetiaan perjanjian, atau kasih yang berkomitmen. Dalam teologi Perjanjian Lama kontemporer, ḥesed dipahami sebagai komitmen moral ilahi yang menuntun tindakan Tuhan dalam sejarah umat-Nya.</w:t>
      </w:r>
      <w:r>
        <w:rPr>
          <w:rFonts w:eastAsia="Times New Roman"/>
          <w:bCs/>
          <w:iCs/>
          <w:lang w:val="en-ID"/>
        </w:rPr>
        <w:t xml:space="preserve"> </w:t>
      </w:r>
      <w:r w:rsidR="002A03CA" w:rsidRPr="002A03CA">
        <w:rPr>
          <w:rFonts w:eastAsia="Times New Roman"/>
          <w:bCs/>
          <w:iCs/>
        </w:rPr>
        <w:t xml:space="preserve">Dalam logika perjanjian Perjanjian Lama, </w:t>
      </w:r>
      <w:r w:rsidR="002A03CA" w:rsidRPr="002A03CA">
        <w:rPr>
          <w:rFonts w:eastAsia="Times New Roman"/>
          <w:bCs/>
          <w:i/>
          <w:iCs/>
        </w:rPr>
        <w:t>ḥesed</w:t>
      </w:r>
      <w:r w:rsidR="002A03CA" w:rsidRPr="002A03CA">
        <w:rPr>
          <w:rFonts w:eastAsia="Times New Roman"/>
          <w:bCs/>
          <w:iCs/>
        </w:rPr>
        <w:t xml:space="preserve"> Allah tidak bersifat sepihak. </w:t>
      </w:r>
      <w:r w:rsidR="002A03CA" w:rsidRPr="002A03CA">
        <w:rPr>
          <w:rFonts w:eastAsia="Times New Roman"/>
          <w:bCs/>
          <w:i/>
          <w:iCs/>
        </w:rPr>
        <w:t>Ḥesed</w:t>
      </w:r>
      <w:r w:rsidR="002A03CA" w:rsidRPr="002A03CA">
        <w:rPr>
          <w:rFonts w:eastAsia="Times New Roman"/>
          <w:bCs/>
          <w:iCs/>
        </w:rPr>
        <w:t xml:space="preserve"> ilahi yang dinyatakan dalam pembebasan menuntut </w:t>
      </w:r>
      <w:r w:rsidR="002A03CA" w:rsidRPr="002A03CA">
        <w:rPr>
          <w:rFonts w:eastAsia="Times New Roman"/>
          <w:bCs/>
          <w:i/>
          <w:iCs/>
        </w:rPr>
        <w:t>ḥesed</w:t>
      </w:r>
      <w:r w:rsidR="002A03CA" w:rsidRPr="002A03CA">
        <w:rPr>
          <w:rFonts w:eastAsia="Times New Roman"/>
          <w:bCs/>
          <w:iCs/>
        </w:rPr>
        <w:t xml:space="preserve"> balik dari umat dalam bentuk ketaatan dan penyembahan. Inilah yang sesungguhnya melahirkan panggilan</w:t>
      </w:r>
      <w:r w:rsidR="002A03CA">
        <w:rPr>
          <w:rFonts w:eastAsia="Times New Roman"/>
          <w:bCs/>
          <w:iCs/>
        </w:rPr>
        <w:t xml:space="preserve"> </w:t>
      </w:r>
      <w:r w:rsidR="002A03CA" w:rsidRPr="002A03CA">
        <w:rPr>
          <w:rFonts w:eastAsia="Times New Roman"/>
          <w:bCs/>
          <w:iCs/>
        </w:rPr>
        <w:t xml:space="preserve">karena Allah telah bertindak setia, umat dipanggil untuk merespons dengan kesetiaan yang sama. </w:t>
      </w:r>
      <w:r w:rsidR="002A03CA" w:rsidRPr="002A03CA">
        <w:rPr>
          <w:rFonts w:eastAsia="Times New Roman"/>
          <w:bCs/>
          <w:iCs/>
        </w:rPr>
        <w:lastRenderedPageBreak/>
        <w:t>Pembebasan tanpa respons penyembahan adalah pembebasan yang belum selesai secara teologis.</w:t>
      </w:r>
      <w:r w:rsidR="002A03CA">
        <w:rPr>
          <w:rFonts w:eastAsia="Times New Roman"/>
          <w:bCs/>
          <w:iCs/>
        </w:rPr>
        <w:t xml:space="preserve"> </w:t>
      </w:r>
      <w:r w:rsidRPr="00CB5740">
        <w:rPr>
          <w:rFonts w:eastAsia="Times New Roman"/>
          <w:bCs/>
          <w:iCs/>
          <w:lang w:val="en-ID"/>
        </w:rPr>
        <w:t xml:space="preserve">Pembebasan di Laut Teberau </w:t>
      </w:r>
      <w:r w:rsidR="00D617C7">
        <w:rPr>
          <w:rFonts w:eastAsia="Times New Roman"/>
          <w:bCs/>
          <w:iCs/>
          <w:lang w:val="en-ID"/>
        </w:rPr>
        <w:t>merupakan</w:t>
      </w:r>
      <w:r w:rsidRPr="00CB5740">
        <w:rPr>
          <w:rFonts w:eastAsia="Times New Roman"/>
          <w:bCs/>
          <w:iCs/>
          <w:lang w:val="en-ID"/>
        </w:rPr>
        <w:t xml:space="preserve"> pemulihan relasi perjanjian: Allah menunjukkan ḥesed kepada umat-Nya, mengukuhkan bahwa tindakan penyelamatan-Nya bagian dari rencana keselamatan jangka panjang. Teolog seperti Morales menekankan bahwa tujuan eksodus </w:t>
      </w:r>
      <w:r w:rsidR="00D617C7">
        <w:rPr>
          <w:rFonts w:eastAsia="Times New Roman"/>
          <w:bCs/>
          <w:iCs/>
          <w:lang w:val="en-ID"/>
        </w:rPr>
        <w:t>merupakan</w:t>
      </w:r>
      <w:r w:rsidRPr="00CB5740">
        <w:rPr>
          <w:rFonts w:eastAsia="Times New Roman"/>
          <w:bCs/>
          <w:iCs/>
          <w:lang w:val="en-ID"/>
        </w:rPr>
        <w:t xml:space="preserve"> restorasi hubungan antara Allah dan umat sebagai landasan redemptif..”</w:t>
      </w:r>
      <w:r>
        <w:rPr>
          <w:rFonts w:eastAsia="Times New Roman"/>
          <w:bCs/>
          <w:iCs/>
          <w:lang w:val="en-ID"/>
        </w:rPr>
        <w:t xml:space="preserve"> T</w:t>
      </w:r>
      <w:r w:rsidRPr="00CB5740">
        <w:rPr>
          <w:rFonts w:eastAsia="Times New Roman"/>
          <w:bCs/>
          <w:iCs/>
          <w:lang w:val="en-ID"/>
        </w:rPr>
        <w:t xml:space="preserve">eologi panggilan yang muncul dari pembebasan </w:t>
      </w:r>
      <w:r w:rsidR="00FC11A3">
        <w:rPr>
          <w:rFonts w:eastAsia="Times New Roman"/>
          <w:bCs/>
          <w:iCs/>
          <w:lang w:val="en-ID"/>
        </w:rPr>
        <w:t xml:space="preserve">merupakan </w:t>
      </w:r>
      <w:r w:rsidRPr="00CB5740">
        <w:rPr>
          <w:rFonts w:eastAsia="Times New Roman"/>
          <w:bCs/>
          <w:iCs/>
          <w:lang w:val="en-ID"/>
        </w:rPr>
        <w:t>panggilan untuk menjadi umat setia yang hidup dalam kasih perjanjian.</w:t>
      </w:r>
    </w:p>
    <w:p w14:paraId="67E7C6ED" w14:textId="5F836960"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 xml:space="preserve">Mu.” Ungkapan ini menunjukkan dimensi teleologis (tujuan) dari eksodus: Allah membebaskan umat agar mereka ditanam dalam relasi perjanjian yang lebih dalam. Kebebasan yang diberikan </w:t>
      </w:r>
      <w:r w:rsidR="00FC11A3">
        <w:rPr>
          <w:rFonts w:eastAsia="Times New Roman"/>
          <w:bCs/>
          <w:iCs/>
          <w:lang w:val="en-ID"/>
        </w:rPr>
        <w:t>adalah</w:t>
      </w:r>
      <w:r w:rsidRPr="00CB5740">
        <w:rPr>
          <w:rFonts w:eastAsia="Times New Roman"/>
          <w:bCs/>
          <w:iCs/>
          <w:lang w:val="en-ID"/>
        </w:rPr>
        <w:t xml:space="preserve"> sarana menuju identitas umat Allah yang dipanggil untuk menyembah dan tinggal di kehadiran ilahi.</w:t>
      </w:r>
      <w:r>
        <w:rPr>
          <w:rFonts w:eastAsia="Times New Roman"/>
          <w:bCs/>
          <w:iCs/>
          <w:lang w:val="en-ID"/>
        </w:rPr>
        <w:t xml:space="preserve"> </w:t>
      </w:r>
      <w:r w:rsidRPr="00CB5740">
        <w:rPr>
          <w:rFonts w:eastAsia="Times New Roman"/>
          <w:bCs/>
          <w:iCs/>
          <w:lang w:val="en-ID"/>
        </w:rPr>
        <w:t xml:space="preserve">Walton,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xml:space="preserve">. Meski dia lebih banyak menulis tentang konteks kuno dan kosmologi, pemikirannya menggemakan ide bahwa pembebasan </w:t>
      </w:r>
      <w:r w:rsidR="00D617C7">
        <w:rPr>
          <w:rFonts w:eastAsia="Times New Roman"/>
          <w:bCs/>
          <w:iCs/>
          <w:lang w:val="en-ID"/>
        </w:rPr>
        <w:t xml:space="preserve">ialah </w:t>
      </w:r>
      <w:r w:rsidRPr="00CB5740">
        <w:rPr>
          <w:rFonts w:eastAsia="Times New Roman"/>
          <w:bCs/>
          <w:iCs/>
          <w:lang w:val="en-ID"/>
        </w:rPr>
        <w:t>bagian dari panggilan perjanjian yang membentuk umat sebagai “rumah Allah” dan komunitas penyembahan.</w:t>
      </w:r>
      <w:r w:rsidRPr="000C6E79">
        <w:rPr>
          <w:rStyle w:val="FootnoteReference"/>
        </w:rPr>
        <w:footnoteReference w:id="31"/>
      </w:r>
      <w:r>
        <w:rPr>
          <w:rFonts w:eastAsia="Times New Roman"/>
          <w:bCs/>
          <w:iCs/>
          <w:lang w:val="en-ID"/>
        </w:rPr>
        <w:t xml:space="preserve"> E</w:t>
      </w:r>
      <w:r w:rsidRPr="00CB5740">
        <w:rPr>
          <w:rFonts w:eastAsia="Times New Roman"/>
          <w:bCs/>
          <w:iCs/>
          <w:lang w:val="en-ID"/>
        </w:rPr>
        <w:t xml:space="preserve">ksodus menetapkan umat sebagai mereka yang dipanggil </w:t>
      </w:r>
      <w:r>
        <w:rPr>
          <w:rFonts w:eastAsia="Times New Roman"/>
          <w:bCs/>
          <w:iCs/>
          <w:lang w:val="en-ID"/>
        </w:rPr>
        <w:t xml:space="preserve"> </w:t>
      </w:r>
      <w:r w:rsidRPr="00CB5740">
        <w:rPr>
          <w:rFonts w:eastAsia="Times New Roman"/>
          <w:bCs/>
          <w:iCs/>
          <w:lang w:val="en-ID"/>
        </w:rPr>
        <w:t>untuk hidup dalam relasi dengan Allah, dalam persekutuan dan penyembahan.</w:t>
      </w:r>
    </w:p>
    <w:p w14:paraId="41C74E7C" w14:textId="57CCEA35" w:rsidR="0010267E" w:rsidRDefault="0010267E" w:rsidP="0010267E">
      <w:pPr>
        <w:ind w:firstLine="720"/>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w:t>
      </w:r>
      <w:r w:rsidR="00D617C7">
        <w:rPr>
          <w:rFonts w:eastAsia="Times New Roman"/>
          <w:bCs/>
          <w:iCs/>
          <w:lang w:val="en-ID"/>
        </w:rPr>
        <w:t>ialah</w:t>
      </w:r>
      <w:r w:rsidRPr="00CB5740">
        <w:rPr>
          <w:rFonts w:eastAsia="Times New Roman"/>
          <w:bCs/>
          <w:iCs/>
          <w:lang w:val="en-ID"/>
        </w:rPr>
        <w:t xml:space="preserve">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21), di mana komunitas perempuan memimpin nyanyian, mencerminkan bahwa panggilan untuk menyembah adalah inklusif dan kolektif.</w:t>
      </w:r>
      <w:r w:rsidRPr="000C6E79">
        <w:rPr>
          <w:rStyle w:val="FootnoteReference"/>
        </w:rPr>
        <w:footnoteReference w:id="32"/>
      </w:r>
      <w:r>
        <w:rPr>
          <w:rFonts w:eastAsia="Times New Roman"/>
          <w:bCs/>
          <w:iCs/>
          <w:lang w:val="en-ID"/>
        </w:rPr>
        <w:t xml:space="preserve"> </w:t>
      </w:r>
      <w:r w:rsidRPr="00CB5740">
        <w:rPr>
          <w:rFonts w:eastAsia="Times New Roman"/>
          <w:bCs/>
          <w:iCs/>
          <w:lang w:val="en-ID"/>
        </w:rPr>
        <w:t>Pandangan ini selaras dengan interpretasi teologi pembebasan kontemporer, yang menyoroti bahwa eksodus adalah tindakan Allah yang “memihak kepada yang tertindas” dan membentuk identitas etis serta spiritual umat. Dalam artikel teranyar, Tambun menyoroti bagaimana Kidung Musa (Exodus 15) menegaskan bahwa Tuhan "melawan penindasan" dan memanggil umat-Nya menjadi saksi kasih perjanjian melalui nyanyian pujian.</w:t>
      </w:r>
      <w:r w:rsidRPr="000C6E79">
        <w:rPr>
          <w:rStyle w:val="FootnoteReference"/>
        </w:rPr>
        <w:footnoteReference w:id="33"/>
      </w:r>
    </w:p>
    <w:p w14:paraId="406D4837" w14:textId="307753DD" w:rsidR="008E1C00" w:rsidRPr="00CB5740" w:rsidRDefault="008E1C00" w:rsidP="0010267E">
      <w:pPr>
        <w:ind w:firstLine="720"/>
        <w:jc w:val="both"/>
        <w:outlineLvl w:val="3"/>
        <w:rPr>
          <w:rFonts w:eastAsia="Times New Roman"/>
          <w:bCs/>
          <w:iCs/>
          <w:lang w:val="en-ID"/>
        </w:rPr>
      </w:pPr>
      <w:r w:rsidRPr="008E1C00">
        <w:rPr>
          <w:rFonts w:eastAsia="Times New Roman"/>
          <w:bCs/>
          <w:iCs/>
        </w:rPr>
        <w:t xml:space="preserve">Kidung Musa </w:t>
      </w:r>
      <w:r>
        <w:rPr>
          <w:rFonts w:eastAsia="Times New Roman"/>
          <w:bCs/>
          <w:iCs/>
        </w:rPr>
        <w:t>merupakan</w:t>
      </w:r>
      <w:r w:rsidRPr="008E1C00">
        <w:rPr>
          <w:rFonts w:eastAsia="Times New Roman"/>
          <w:bCs/>
          <w:iCs/>
        </w:rPr>
        <w:t xml:space="preserve"> manifesto teologis yang menegaskan bahwa setiap tindakan pembebasan Allah memiliki tujuan yang melampaui kebebasan itu sendiri  yaitu pembentukan umat yang menyembah, taat, dan hidup dalam kasih perjanjian. Dari Laut Teberau hingga gunung kudus Allah, perjalanan Israel adalah perjalanan dari pembebasan menuju penyembahan, dari objek kasih ilahi menuju subjek panggilan ilahi</w:t>
      </w:r>
    </w:p>
    <w:p w14:paraId="161AC377" w14:textId="77777777" w:rsidR="0010267E" w:rsidRDefault="0010267E" w:rsidP="0010267E">
      <w:pPr>
        <w:jc w:val="both"/>
        <w:outlineLvl w:val="3"/>
        <w:rPr>
          <w:rFonts w:eastAsia="Times New Roman"/>
          <w:bCs/>
          <w:iCs/>
          <w:lang w:val="en-ID"/>
        </w:rPr>
      </w:pPr>
    </w:p>
    <w:p w14:paraId="29DF92B5" w14:textId="77777777" w:rsidR="009C6D41" w:rsidRPr="00230649" w:rsidRDefault="009C6D41"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Nada yang Membebaskan: Dimensi Liturgis dan Spiritual</w:t>
      </w:r>
    </w:p>
    <w:p w14:paraId="1957DE2F" w14:textId="77777777" w:rsidR="0010267E" w:rsidRPr="00230649" w:rsidRDefault="0010267E" w:rsidP="0010267E">
      <w:pPr>
        <w:jc w:val="center"/>
        <w:outlineLvl w:val="3"/>
        <w:rPr>
          <w:rFonts w:eastAsia="Times New Roman"/>
          <w:iCs/>
          <w:lang w:val="en-ID"/>
        </w:rPr>
      </w:pPr>
    </w:p>
    <w:p w14:paraId="5AF3782E" w14:textId="41411DE8"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 / 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xml:space="preserve">, menonjol sebagai teks liturgis yang sangat kaya secara teologis dan spiritual. Nyanyian ini </w:t>
      </w:r>
      <w:r w:rsidR="00D617C7">
        <w:rPr>
          <w:rFonts w:eastAsia="Times New Roman"/>
          <w:bCs/>
          <w:iCs/>
          <w:lang w:val="en-ID"/>
        </w:rPr>
        <w:t>merupakan</w:t>
      </w:r>
      <w:r w:rsidRPr="00307628">
        <w:rPr>
          <w:rFonts w:eastAsia="Times New Roman"/>
          <w:bCs/>
          <w:iCs/>
          <w:lang w:val="en-ID"/>
        </w:rPr>
        <w:t xml:space="preserve"> alat liturgis yang membentuk memori kolektif, identitas iman, dan misi umat Israel.</w:t>
      </w:r>
      <w:r w:rsidR="00EC45E8">
        <w:rPr>
          <w:rStyle w:val="FootnoteReference"/>
          <w:rFonts w:eastAsia="Times New Roman"/>
          <w:bCs/>
          <w:iCs/>
          <w:lang w:val="en-ID"/>
        </w:rPr>
        <w:footnoteReference w:id="34"/>
      </w:r>
      <w:r w:rsidRPr="00307628">
        <w:rPr>
          <w:rFonts w:eastAsia="Times New Roman"/>
          <w:bCs/>
          <w:iCs/>
          <w:lang w:val="en-ID"/>
        </w:rPr>
        <w:t xml:space="preserve"> Dalam perspektif teologi liturgi, Kidung Musa merepresentasikan harmoni antara pengalaman historis (“pembebasan”), formasi spiritual (“memori”), dan </w:t>
      </w:r>
      <w:r w:rsidRPr="00307628">
        <w:rPr>
          <w:rFonts w:eastAsia="Times New Roman"/>
          <w:bCs/>
          <w:iCs/>
          <w:lang w:val="en-ID"/>
        </w:rPr>
        <w:lastRenderedPageBreak/>
        <w:t>panggilan misi (“misi”), menjadikannya “nada yang membebaskan” yang terus bergema dalam kehidupan iman.</w:t>
      </w:r>
    </w:p>
    <w:p w14:paraId="49566503" w14:textId="731AA1CD"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Sebagai sebuah lagu kemenangan, Kidung Musa berfungsi sebagai liturgi memori (liturgical memory). Memori kolektif ini menanamkan narasi pembebasan dalam struktur liturgi mereka agar menjadi bagian dari identitas iman bersama.  Gillingham menyatakan bahwa tradisi eksodus secara ritual tercermin kembali dalam Mazmur dan ibadat Israel selanjutnya, menunjukkan bagaimana pengalaman eksodus “diolah kembali” dalam liturgi umat melalui nyanyian dan pujian.</w:t>
      </w:r>
      <w:r w:rsidRPr="000C6E79">
        <w:rPr>
          <w:rStyle w:val="FootnoteReference"/>
        </w:rPr>
        <w:footnoteReference w:id="35"/>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w:t>
      </w:r>
      <w:r w:rsidR="003A2E9E">
        <w:rPr>
          <w:rFonts w:eastAsia="Times New Roman"/>
          <w:bCs/>
          <w:iCs/>
          <w:lang w:val="en-ID"/>
        </w:rPr>
        <w:t xml:space="preserve">. </w:t>
      </w:r>
      <w:r w:rsidRPr="00307628">
        <w:rPr>
          <w:rFonts w:eastAsia="Times New Roman"/>
          <w:bCs/>
          <w:iCs/>
          <w:lang w:val="en-ID"/>
        </w:rPr>
        <w:t>Dua bagian lagu ini (Musa dan nyanyian Miryam) memperlihatkan dimensi inklusif dalam liturgi</w:t>
      </w:r>
      <w:r w:rsidR="00D617C7">
        <w:rPr>
          <w:rFonts w:eastAsia="Times New Roman"/>
          <w:bCs/>
          <w:iCs/>
          <w:lang w:val="en-ID"/>
        </w:rPr>
        <w:t xml:space="preserve"> dimana </w:t>
      </w:r>
      <w:r w:rsidRPr="00307628">
        <w:rPr>
          <w:rFonts w:eastAsia="Times New Roman"/>
          <w:bCs/>
          <w:iCs/>
          <w:lang w:val="en-ID"/>
        </w:rPr>
        <w:t>seluruh komunitas terlibat.</w:t>
      </w:r>
      <w:r w:rsidR="00EC45E8">
        <w:rPr>
          <w:rStyle w:val="FootnoteReference"/>
          <w:rFonts w:eastAsia="Times New Roman"/>
          <w:bCs/>
          <w:iCs/>
          <w:lang w:val="en-ID"/>
        </w:rPr>
        <w:footnoteReference w:id="36"/>
      </w:r>
    </w:p>
    <w:p w14:paraId="126DF7F0" w14:textId="4D516523"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Teolog liturgi modern menekankan bahwa musik liturgis </w:t>
      </w:r>
      <w:r w:rsidR="00D617C7">
        <w:rPr>
          <w:rFonts w:eastAsia="Times New Roman"/>
          <w:bCs/>
          <w:iCs/>
          <w:lang w:val="en-ID"/>
        </w:rPr>
        <w:t>menjadi</w:t>
      </w:r>
      <w:r w:rsidRPr="00307628">
        <w:rPr>
          <w:rFonts w:eastAsia="Times New Roman"/>
          <w:bCs/>
          <w:iCs/>
          <w:lang w:val="en-ID"/>
        </w:rPr>
        <w:t xml:space="preserve"> sarana formasi spiritual yang mendalam. Dalam konteks Kidung Musa, musik menjadi medium teologis</w:t>
      </w:r>
      <w:r w:rsidR="00D617C7">
        <w:rPr>
          <w:rFonts w:eastAsia="Times New Roman"/>
          <w:bCs/>
          <w:iCs/>
          <w:lang w:val="en-ID"/>
        </w:rPr>
        <w:t xml:space="preserve"> </w:t>
      </w:r>
      <w:r w:rsidRPr="00307628">
        <w:rPr>
          <w:rFonts w:eastAsia="Times New Roman"/>
          <w:bCs/>
          <w:iCs/>
          <w:lang w:val="en-ID"/>
        </w:rPr>
        <w:t>melalui nyanyian, umat memproklamasikan kuasa Allah, mengalami keterlibatan-Nya dalam sejarah, dan mengokohkan iman mereka dalam pertalian perjanjian. Penelitian prakt</w:t>
      </w:r>
      <w:r w:rsidR="00B20610">
        <w:rPr>
          <w:rFonts w:eastAsia="Times New Roman"/>
          <w:bCs/>
          <w:iCs/>
          <w:lang w:val="en-ID"/>
        </w:rPr>
        <w:t>i</w:t>
      </w:r>
      <w:r w:rsidRPr="00307628">
        <w:rPr>
          <w:rFonts w:eastAsia="Times New Roman"/>
          <w:bCs/>
          <w:iCs/>
          <w:lang w:val="en-ID"/>
        </w:rPr>
        <w:t>k teologi kontemporer menunjukan bahwa ungkapan emosional dan liturgis dalam pujian kolektif sangat berpengaruh dalam membangun kohesi komunitas iman dan kedalaman spiritual individu.</w:t>
      </w:r>
      <w:r w:rsidRPr="000C6E79">
        <w:rPr>
          <w:rStyle w:val="FootnoteReference"/>
        </w:rPr>
        <w:footnoteReference w:id="37"/>
      </w:r>
    </w:p>
    <w:p w14:paraId="1FCD6F7B" w14:textId="579DCD8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rakkan respons afektif dan etis dimana</w:t>
      </w:r>
      <w:r w:rsidRPr="00307628">
        <w:rPr>
          <w:rFonts w:eastAsia="Times New Roman"/>
          <w:bCs/>
          <w:iCs/>
          <w:lang w:val="en-ID"/>
        </w:rPr>
        <w:t xml:space="preserve"> pujian </w:t>
      </w:r>
      <w:r w:rsidR="00081319">
        <w:rPr>
          <w:rFonts w:eastAsia="Times New Roman"/>
          <w:bCs/>
          <w:iCs/>
          <w:lang w:val="en-ID"/>
        </w:rPr>
        <w:t xml:space="preserve">merupakan </w:t>
      </w:r>
      <w:r w:rsidRPr="00307628">
        <w:rPr>
          <w:rFonts w:eastAsia="Times New Roman"/>
          <w:bCs/>
          <w:iCs/>
          <w:lang w:val="en-ID"/>
        </w:rPr>
        <w:t xml:space="preserve">tindakan iman yang mengundang ketaatan, kesetiaan, dan komitmen lebih jauh terhadap panggilan ilahi. Dalam hal ini, Kidung Musa </w:t>
      </w:r>
      <w:r w:rsidR="00081319">
        <w:rPr>
          <w:rFonts w:eastAsia="Times New Roman"/>
          <w:bCs/>
          <w:iCs/>
          <w:lang w:val="en-ID"/>
        </w:rPr>
        <w:t>dapat</w:t>
      </w:r>
      <w:r w:rsidRPr="00307628">
        <w:rPr>
          <w:rFonts w:eastAsia="Times New Roman"/>
          <w:bCs/>
          <w:iCs/>
          <w:lang w:val="en-ID"/>
        </w:rPr>
        <w:t xml:space="preserve"> mentransformasikan umat secara spiritual agar hidup dalam kesetiaan kepada Allah yang membebaskan.</w:t>
      </w:r>
    </w:p>
    <w:p w14:paraId="273A8B7D" w14:textId="714D5CD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Nada pembebasan dalam Kidung Musa juga memiliki dimensi misi </w:t>
      </w:r>
      <w:r w:rsidR="00081319">
        <w:rPr>
          <w:rFonts w:eastAsia="Times New Roman"/>
          <w:bCs/>
          <w:iCs/>
          <w:lang w:val="en-ID"/>
        </w:rPr>
        <w:t xml:space="preserve">yang </w:t>
      </w:r>
      <w:r w:rsidRPr="00307628">
        <w:rPr>
          <w:rFonts w:eastAsia="Times New Roman"/>
          <w:bCs/>
          <w:iCs/>
          <w:lang w:val="en-ID"/>
        </w:rPr>
        <w:t>melangkah maju sebagai deklarasi identitas dan panggilan. Hamilton menunjukkan dalam studinya bahwa struktur chi</w:t>
      </w:r>
      <w:r>
        <w:rPr>
          <w:rFonts w:eastAsia="Times New Roman"/>
          <w:bCs/>
          <w:iCs/>
          <w:lang w:val="en-ID"/>
        </w:rPr>
        <w:t>astik dari Kidung Musa (</w:t>
      </w:r>
      <w:r w:rsidR="00B20610">
        <w:rPr>
          <w:rFonts w:eastAsia="Times New Roman"/>
          <w:bCs/>
          <w:iCs/>
          <w:lang w:val="en-ID"/>
        </w:rPr>
        <w:t>Kel</w:t>
      </w:r>
      <w:r>
        <w:rPr>
          <w:rFonts w:eastAsia="Times New Roman"/>
          <w:bCs/>
          <w:iCs/>
          <w:lang w:val="en-ID"/>
        </w:rPr>
        <w:t xml:space="preserve"> 15:1-</w:t>
      </w:r>
      <w:r w:rsidRPr="00307628">
        <w:rPr>
          <w:rFonts w:eastAsia="Times New Roman"/>
          <w:bCs/>
          <w:iCs/>
          <w:lang w:val="en-ID"/>
        </w:rPr>
        <w:t xml:space="preserve">21) dimaksudkan oleh Musa sebagai tipologi apa yang Allah lakukan di </w:t>
      </w:r>
      <w:r w:rsidR="00B20610">
        <w:rPr>
          <w:rFonts w:eastAsia="Times New Roman"/>
          <w:bCs/>
          <w:iCs/>
          <w:lang w:val="en-ID"/>
        </w:rPr>
        <w:t>Keluaran</w:t>
      </w:r>
      <w:r w:rsidRPr="00307628">
        <w:rPr>
          <w:rFonts w:eastAsia="Times New Roman"/>
          <w:bCs/>
          <w:iCs/>
          <w:lang w:val="en-ID"/>
        </w:rPr>
        <w:t xml:space="preserve"> diposisikan sebagai pola (type) bagi kemenangan dan panggilan masa depan umat Israel (misalnya penaklukan tanah perjanjian).</w:t>
      </w:r>
      <w:r w:rsidRPr="000C6E79">
        <w:rPr>
          <w:rStyle w:val="FootnoteReference"/>
        </w:rPr>
        <w:footnoteReference w:id="38"/>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7A145A02" w:rsidR="0010267E" w:rsidRDefault="0010267E" w:rsidP="00CC68EC">
      <w:pPr>
        <w:ind w:firstLine="720"/>
        <w:jc w:val="both"/>
        <w:outlineLvl w:val="3"/>
        <w:rPr>
          <w:rFonts w:eastAsia="Times New Roman"/>
          <w:bCs/>
          <w:iCs/>
          <w:lang w:val="en-ID"/>
        </w:rPr>
      </w:pPr>
      <w:r w:rsidRPr="00307628">
        <w:rPr>
          <w:rFonts w:eastAsia="Times New Roman"/>
          <w:bCs/>
          <w:iCs/>
          <w:lang w:val="en-ID"/>
        </w:rPr>
        <w:t xml:space="preserve">Secara teologis, “nada yang membebaskan” dari Kidung Musa mengandung ajakan aktif: pembebasan Allah menuntut respons iman berupa pujian, ketaatan, dan kesetiaan. Melalui nyanyian, umat menyatakan bahwa pembebasan </w:t>
      </w:r>
      <w:r w:rsidR="00D617C7">
        <w:rPr>
          <w:rFonts w:eastAsia="Times New Roman"/>
          <w:bCs/>
          <w:iCs/>
          <w:lang w:val="en-ID"/>
        </w:rPr>
        <w:t xml:space="preserve">adalah </w:t>
      </w:r>
      <w:r w:rsidRPr="00307628">
        <w:rPr>
          <w:rFonts w:eastAsia="Times New Roman"/>
          <w:bCs/>
          <w:iCs/>
          <w:lang w:val="en-ID"/>
        </w:rPr>
        <w:t>realitas hidup yang terus dijalani. Pujian Musa dan seluruh umat adalah 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untuk hidup dalam relasi yang kudus dengan Allah, sebagai saksi kuasa-Nya di dalam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r>
        <w:rPr>
          <w:rFonts w:eastAsia="Times New Roman"/>
          <w:b/>
          <w:bCs/>
          <w:iCs/>
          <w:lang w:val="en-ID"/>
        </w:rPr>
        <w:t>Implikasi Masa Kini</w:t>
      </w:r>
    </w:p>
    <w:p w14:paraId="750C2821" w14:textId="77777777" w:rsidR="0010267E" w:rsidRDefault="0010267E" w:rsidP="0010267E">
      <w:pPr>
        <w:jc w:val="center"/>
        <w:outlineLvl w:val="3"/>
        <w:rPr>
          <w:rFonts w:eastAsia="Times New Roman"/>
          <w:b/>
          <w:bCs/>
          <w:iCs/>
          <w:lang w:val="en-ID"/>
        </w:rPr>
      </w:pPr>
    </w:p>
    <w:p w14:paraId="1671696A" w14:textId="7F69A0A1" w:rsidR="00EE44E6" w:rsidRP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 xml:space="preserve">Kidung Musa dalam Keluaran 15:1-21 menghadirkan sebuah paradigma teologis yang tetap relevan bagi gereja masa kini, karena nyanyian ini menegaskan bahwa identitas umat </w:t>
      </w:r>
      <w:r w:rsidR="00FC11A3">
        <w:rPr>
          <w:rFonts w:eastAsia="Times New Roman"/>
          <w:lang w:val="en-ID"/>
        </w:rPr>
        <w:t>adalah</w:t>
      </w:r>
      <w:r w:rsidRPr="00EE44E6">
        <w:rPr>
          <w:rFonts w:eastAsia="Times New Roman"/>
          <w:lang w:val="en-ID"/>
        </w:rPr>
        <w:t xml:space="preserve"> tindakan pembebasan Allah. Respons liturgis Israel terhadap karya Allah menunjukkan bahwa pembebasan merupakan fondasi identitas umat. Dalam konteks modern, gereja pun dipanggil untuk memahami dirinya sebagai komunitas yang telah mengalami pembebasan Kristus. Kesadaran ini menuntun gereja untuk menempatkan narasi penyelamatan Allah sebagai pusat teologi dan praksis hidup. Sehingga, seluruh pelayanan, ibadah, dan orientasi kehidupan Kristen harus berakar pada keyakinan bahwa Allah adalah Pribadi yang memulai dan memelihara relasi perjanjian melalui karya penyelamatan-Nya.</w:t>
      </w:r>
    </w:p>
    <w:p w14:paraId="17E5C062" w14:textId="7093FEA6" w:rsidR="00EE44E6" w:rsidRP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 xml:space="preserve">Dimensi liturgis Kidung Musa juga menekankan bahwa ibadah </w:t>
      </w:r>
      <w:r>
        <w:rPr>
          <w:rFonts w:eastAsia="Times New Roman"/>
          <w:lang w:val="en-ID"/>
        </w:rPr>
        <w:t xml:space="preserve">sebagai </w:t>
      </w:r>
      <w:r w:rsidRPr="00EE44E6">
        <w:rPr>
          <w:rFonts w:eastAsia="Times New Roman"/>
          <w:lang w:val="en-ID"/>
        </w:rPr>
        <w:t>respons sadar terhadap tindakan Allah di dalam sejarah. Hal ini menjadi kritik penting bagi model ibadah modern yang sering bergeser menjadi pengalaman subjektif dan berpusat pada suasana emosional. Kidung Musa memperlihatkan bahwa ibadah yang sejati menghidupkan kembali memori teologis umat  yang Allah telah lakukan. Karena itu, gereja masa kini perlu menata ibadah yang berfokus pada narasi besar keselamatan. Liturgi harus memampukan jemaat untuk mengalami kembali karya agung Allah, sehingga pujian lahir dari pengenalan teologis yang mendalam</w:t>
      </w:r>
      <w:r w:rsidR="00081319">
        <w:rPr>
          <w:rFonts w:eastAsia="Times New Roman"/>
          <w:lang w:val="en-ID"/>
        </w:rPr>
        <w:t>.</w:t>
      </w:r>
    </w:p>
    <w:p w14:paraId="64121DE8" w14:textId="3853BD77" w:rsidR="00EE44E6" w:rsidRP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Musik dalam Kidung Musa berfungsi sebagai sarana pembentukan rohani</w:t>
      </w:r>
      <w:r w:rsidR="00081319">
        <w:rPr>
          <w:rFonts w:eastAsia="Times New Roman"/>
          <w:lang w:val="en-ID"/>
        </w:rPr>
        <w:t xml:space="preserve">. </w:t>
      </w:r>
      <w:r w:rsidRPr="00EE44E6">
        <w:rPr>
          <w:rFonts w:eastAsia="Times New Roman"/>
          <w:lang w:val="en-ID"/>
        </w:rPr>
        <w:t>Dalam Keluaran 15, musik menjadi alat pedagogi ilahi yang menghubungkan pengalaman pembebasan dengan memori kolektif umat. Namun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pemahaman iman. Melalui musik yang berteologi kuat, umat dipupuk menjadi komunitas yang mengingat karya Allah dan diarahkan hidup setia kepada-Nya.</w:t>
      </w:r>
    </w:p>
    <w:p w14:paraId="261230DD" w14:textId="6F521B47" w:rsidR="00EE44E6" w:rsidRP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 xml:space="preserve">Kidung Musa juga mengandung implikasi etis yang tidak dapat diabaikan. Pembebasan yang Allah kerjakan menuntut transformasi cara hidup secara konkret. Jika Allah adalah Pribadi yang memihak kepada yang tertindas dan melawan ketidakadilan sebagaimana nyata dalam penghancuran sistem penindasan Firaun maka umat yang telah dibebaskan dipanggil untuk mencerminkan karakter Allah itu dalam kehidupan sosial mereka. Gereja masa kini tidak dapat memisahkan penyembahan dari keadilan. Ibadah yang sejati, dalam terang Kidung Musa, harus mengalir keluar menjadi kepedulian terhadap yang lemah, perlawanan terhadap penindasan, dan komitmen terhadap keadilan sosial. </w:t>
      </w:r>
    </w:p>
    <w:p w14:paraId="22E95120" w14:textId="29091266" w:rsidR="00EE44E6" w:rsidRP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 xml:space="preserve">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berakar pada memori keselamatan dan berbuah dalam pengharapan kepada Allah. </w:t>
      </w:r>
    </w:p>
    <w:p w14:paraId="6BD9ECFF" w14:textId="6707805E" w:rsidR="00EE44E6" w:rsidRDefault="00EE44E6"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EE44E6">
        <w:rPr>
          <w:rFonts w:eastAsia="Times New Roman"/>
          <w:lang w:val="en-ID"/>
        </w:rPr>
        <w:t xml:space="preserve">Dimensi misiologis Kidung Musa terlihat jelas dalam ayat 14–16, di mana bangsa-bangsa Filistea, Edom, Moab, Kanaan  mendengar dan gemetar. Tindakan pembebasan Allah </w:t>
      </w:r>
      <w:r>
        <w:rPr>
          <w:rFonts w:eastAsia="Times New Roman"/>
          <w:lang w:val="en-ID"/>
        </w:rPr>
        <w:t>menyatakan</w:t>
      </w:r>
      <w:r w:rsidRPr="00EE44E6">
        <w:rPr>
          <w:rFonts w:eastAsia="Times New Roman"/>
          <w:lang w:val="en-ID"/>
        </w:rPr>
        <w:t xml:space="preserve"> kesaksian terbuka kepada dunia tentang siapa Allah itu. Ini mengandung implikasi misiologis yang kuat bagi gereja masa kini: komunitas yang telah mengalami pembebasan Kristus dipanggil untuk menjadi kesaksian hidup di tengah dunia. Misi </w:t>
      </w:r>
      <w:r>
        <w:rPr>
          <w:rFonts w:eastAsia="Times New Roman"/>
          <w:lang w:val="en-ID"/>
        </w:rPr>
        <w:t xml:space="preserve">adalah </w:t>
      </w:r>
      <w:r w:rsidRPr="00EE44E6">
        <w:rPr>
          <w:rFonts w:eastAsia="Times New Roman"/>
          <w:lang w:val="en-ID"/>
        </w:rPr>
        <w:t xml:space="preserve">konsekuensi alami dari pembebasan sebagaimana Israel yang diselamatkan secara otomatis menjadi tanda bagi bangsa-bangsa. Gereja yang benar-benar memahami dirinya sebagai </w:t>
      </w:r>
      <w:r w:rsidRPr="00EE44E6">
        <w:rPr>
          <w:rFonts w:eastAsia="Times New Roman"/>
          <w:lang w:val="en-ID"/>
        </w:rPr>
        <w:lastRenderedPageBreak/>
        <w:t>umat yang dibebaskan akan secara organik memancarkan kesaksian itu ke luar, mengundang bangsa-bangsa untuk mengenal Allah yang sama yang melemparkan kuda dan penunggangnya ke dalam laut.</w:t>
      </w:r>
    </w:p>
    <w:p w14:paraId="65B70676" w14:textId="1A86DD32" w:rsidR="000D655B" w:rsidRPr="00EE44E6" w:rsidRDefault="000D655B" w:rsidP="00EE44E6">
      <w:pPr>
        <w:tabs>
          <w:tab w:val="left" w:pos="284"/>
        </w:tabs>
        <w:jc w:val="both"/>
        <w:rPr>
          <w:rFonts w:eastAsia="Times New Roman"/>
          <w:lang w:val="en-ID"/>
        </w:rPr>
      </w:pPr>
      <w:r>
        <w:rPr>
          <w:rFonts w:eastAsia="Times New Roman"/>
          <w:lang w:val="en-ID"/>
        </w:rPr>
        <w:tab/>
      </w:r>
      <w:r>
        <w:rPr>
          <w:rFonts w:eastAsia="Times New Roman"/>
          <w:lang w:val="en-ID"/>
        </w:rPr>
        <w:tab/>
      </w:r>
      <w:r w:rsidRPr="000D655B">
        <w:rPr>
          <w:rFonts w:eastAsia="Times New Roman"/>
        </w:rPr>
        <w:t>Selain itu, Kidung Musa memperlihatkan hubungan erat antara memori dan pengharapan. Israel mengingat karya penyelamatan Allah di masa lalu sebagai dasar keyakinan bahwa Allah akan terus memimpin mereka pada masa mendatang. Dalam dunia modern yang sarat ketidakpastian dan penderitaan, gereja perlu diingatkan bahwa Allah tidak pernah absen sebagaimana Saputro dan Baskoro tunjukkan, Allah senantiasa bekerja di balik layar penderitaan umat sebagai ekspresi kesetiaan-Nya pada perjanjian.</w:t>
      </w:r>
      <w:r>
        <w:rPr>
          <w:rStyle w:val="FootnoteReference"/>
          <w:rFonts w:eastAsia="Times New Roman"/>
        </w:rPr>
        <w:footnoteReference w:id="39"/>
      </w:r>
      <w:r>
        <w:rPr>
          <w:rFonts w:eastAsia="Times New Roman"/>
        </w:rPr>
        <w:t xml:space="preserve"> </w:t>
      </w:r>
      <w:r w:rsidRPr="000D655B">
        <w:rPr>
          <w:rFonts w:eastAsia="Times New Roman"/>
        </w:rPr>
        <w:t xml:space="preserve">Ibadah yang menghidupkan kembali tindakan Allah </w:t>
      </w:r>
      <w:r w:rsidR="00081319">
        <w:rPr>
          <w:rFonts w:eastAsia="Times New Roman"/>
        </w:rPr>
        <w:t>berfungsi untuk</w:t>
      </w:r>
      <w:r w:rsidRPr="000D655B">
        <w:rPr>
          <w:rFonts w:eastAsia="Times New Roman"/>
        </w:rPr>
        <w:t xml:space="preserve"> meneguhkan mereka dalam menghadapi penderitaan dan tantangan hidup.</w:t>
      </w:r>
    </w:p>
    <w:p w14:paraId="2265F191" w14:textId="124446FD" w:rsidR="00EE44E6" w:rsidRDefault="009B60E5" w:rsidP="00EE44E6">
      <w:pPr>
        <w:tabs>
          <w:tab w:val="left" w:pos="284"/>
        </w:tabs>
        <w:jc w:val="both"/>
        <w:rPr>
          <w:rFonts w:eastAsia="Times New Roman"/>
          <w:lang w:val="en-ID"/>
        </w:rPr>
      </w:pPr>
      <w:r>
        <w:rPr>
          <w:rFonts w:eastAsia="Times New Roman"/>
          <w:lang w:val="en-ID"/>
        </w:rPr>
        <w:tab/>
      </w:r>
      <w:r>
        <w:rPr>
          <w:rFonts w:eastAsia="Times New Roman"/>
          <w:lang w:val="en-ID"/>
        </w:rPr>
        <w:tab/>
      </w:r>
      <w:r w:rsidR="00EE44E6" w:rsidRPr="00EE44E6">
        <w:rPr>
          <w:rFonts w:eastAsia="Times New Roman"/>
          <w:lang w:val="en-ID"/>
        </w:rPr>
        <w:t xml:space="preserve">Akhirnya, Kidung Musa menunjukkan bahwa Israel </w:t>
      </w:r>
      <w:r>
        <w:rPr>
          <w:rFonts w:eastAsia="Times New Roman"/>
          <w:lang w:val="en-ID"/>
        </w:rPr>
        <w:t>dipanggil</w:t>
      </w:r>
      <w:r w:rsidR="00EE44E6" w:rsidRPr="00EE44E6">
        <w:rPr>
          <w:rFonts w:eastAsia="Times New Roman"/>
          <w:lang w:val="en-ID"/>
        </w:rPr>
        <w:t xml:space="preserve"> untuk "masuk ke" relasi yang lebih dalam dengan Allah. Teologi ini memiliki implikasi besar bagi masa kini yakni iman Kristen harus bertumbuh menuju kehidupan yang berakar dalam penyembahan, kekudusan, dan kesetiaan perjanjian. Gereja perlu membimbing jemaat untuk hidup dalam hadirat Allah</w:t>
      </w:r>
      <w:r>
        <w:rPr>
          <w:rFonts w:eastAsia="Times New Roman"/>
          <w:lang w:val="en-ID"/>
        </w:rPr>
        <w:t xml:space="preserve"> </w:t>
      </w:r>
      <w:r w:rsidR="00EE44E6" w:rsidRPr="00EE44E6">
        <w:rPr>
          <w:rFonts w:eastAsia="Times New Roman"/>
          <w:lang w:val="en-ID"/>
        </w:rPr>
        <w:t xml:space="preserve">sebagai umat yang ditanam dalam kasih setia Tuhan dan membangun hidupnya di atas relasi perjanjian yang kokoh. Kidung Musa </w:t>
      </w:r>
      <w:r>
        <w:rPr>
          <w:rFonts w:eastAsia="Times New Roman"/>
          <w:lang w:val="en-ID"/>
        </w:rPr>
        <w:t>adalah</w:t>
      </w:r>
      <w:r w:rsidR="00EE44E6" w:rsidRPr="00EE44E6">
        <w:rPr>
          <w:rFonts w:eastAsia="Times New Roman"/>
          <w:lang w:val="en-ID"/>
        </w:rPr>
        <w:t xml:space="preserve"> undangan teologis yang terus berbicara kepada gereja di setiap zaman: dibebaskan untuk menyembah, disembuhkan untuk berlaku adil, dan diselamatkan untuk menjadi saksi bagi bangsa-bangsa.</w:t>
      </w:r>
    </w:p>
    <w:p w14:paraId="77FA2A80" w14:textId="77777777" w:rsidR="00EE44E6" w:rsidRPr="00EE44E6" w:rsidRDefault="00EE44E6" w:rsidP="00EE44E6">
      <w:pPr>
        <w:tabs>
          <w:tab w:val="left" w:pos="284"/>
        </w:tabs>
        <w:jc w:val="both"/>
        <w:rPr>
          <w:rFonts w:eastAsia="Times New Roman"/>
          <w:lang w:val="en-ID"/>
        </w:rPr>
      </w:pPr>
    </w:p>
    <w:p w14:paraId="1B7C2636" w14:textId="3F3C63A0" w:rsidR="00C30472" w:rsidRDefault="00A615EA">
      <w:pPr>
        <w:tabs>
          <w:tab w:val="left" w:pos="284"/>
        </w:tabs>
        <w:jc w:val="both"/>
        <w:rPr>
          <w:b/>
        </w:rPr>
      </w:pPr>
      <w:r>
        <w:rPr>
          <w:b/>
        </w:rPr>
        <w:t>KESIMPULAN</w:t>
      </w:r>
      <w:r w:rsidR="0010267E">
        <w:rPr>
          <w:b/>
        </w:rPr>
        <w:br/>
      </w:r>
    </w:p>
    <w:p w14:paraId="7ECF2D8B" w14:textId="0FEB9795" w:rsidR="0010267E" w:rsidRPr="00E43878" w:rsidRDefault="0010267E" w:rsidP="0010267E">
      <w:pPr>
        <w:ind w:firstLine="720"/>
        <w:jc w:val="both"/>
        <w:rPr>
          <w:bCs/>
          <w:lang w:val="en-ID"/>
        </w:rPr>
      </w:pPr>
      <w:r w:rsidRPr="00E43878">
        <w:rPr>
          <w:bCs/>
          <w:lang w:val="en-ID"/>
        </w:rPr>
        <w:t>K</w:t>
      </w:r>
      <w:r>
        <w:rPr>
          <w:bCs/>
          <w:lang w:val="en-ID"/>
        </w:rPr>
        <w:t>idung Musa (Keluaran 15:1-</w:t>
      </w:r>
      <w:r w:rsidRPr="00E43878">
        <w:rPr>
          <w:bCs/>
          <w:lang w:val="en-ID"/>
        </w:rPr>
        <w:t xml:space="preserve">21) menegaskan bahwa tindakan pembebasan Allah atas umat Israel </w:t>
      </w:r>
      <w:r w:rsidR="00FC11A3">
        <w:rPr>
          <w:bCs/>
          <w:lang w:val="en-ID"/>
        </w:rPr>
        <w:t>merupakan</w:t>
      </w:r>
      <w:r w:rsidRPr="00E43878">
        <w:rPr>
          <w:bCs/>
          <w:lang w:val="en-ID"/>
        </w:rPr>
        <w:t xml:space="preserve"> pengalaman liturgis dan teologis yang membentuk identitas serta panggilan umat. Kajian terhadap struktur liturgis menunjukkan bahwa nyanyian ini tersusun dengan teratur: proklamasi karya Allah, pujian bersama, dan respons umat melalui partisipasi aktif, termasuk keterlibatan Miryam dan perempuan Israel, yang menekankan dimensi inklusif dan komunal dari liturgi.</w:t>
      </w:r>
    </w:p>
    <w:p w14:paraId="6D131B90" w14:textId="42E090AB" w:rsidR="0010267E" w:rsidRPr="00E43878" w:rsidRDefault="0010267E" w:rsidP="0010267E">
      <w:pPr>
        <w:ind w:firstLine="720"/>
        <w:jc w:val="both"/>
        <w:rPr>
          <w:bCs/>
          <w:lang w:val="en-ID"/>
        </w:rPr>
      </w:pP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p>
    <w:p w14:paraId="11155D13" w14:textId="33ABB476" w:rsidR="0010267E" w:rsidRDefault="0010267E" w:rsidP="0010267E">
      <w:pPr>
        <w:ind w:firstLine="720"/>
        <w:jc w:val="both"/>
        <w:rPr>
          <w:bCs/>
          <w:lang w:val="en-ID"/>
        </w:rPr>
      </w:pPr>
      <w:r w:rsidRPr="00E43878">
        <w:rPr>
          <w:bCs/>
          <w:lang w:val="en-ID"/>
        </w:rPr>
        <w:t xml:space="preserve">Kidung Musa berperan sebagai “nada yang membebaskan,” di mana musik, memori, dan misi bersatu untuk membentuk komunitas iman yang sadar akan panggilan ilahi. Pembebasan Allah </w:t>
      </w:r>
      <w:r w:rsidR="00FC11A3">
        <w:rPr>
          <w:bCs/>
          <w:lang w:val="en-ID"/>
        </w:rPr>
        <w:t>merupakan</w:t>
      </w:r>
      <w:r w:rsidRPr="00E43878">
        <w:rPr>
          <w:bCs/>
          <w:lang w:val="en-ID"/>
        </w:rPr>
        <w:t xml:space="preserve"> awal dari relasi perjanjian yang menuntut pujian, ketaatan, dan kesetiaan. Kidung ini tetap relevan sebagai model liturgi teologis yang menginternalisasi pengalaman keselamatan, membentuk identitas umat, dan menyiapkan panggilan misi sepanjang sejarah.</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558D9CEE" w14:textId="77777777" w:rsidR="0010267E" w:rsidRPr="0010267E" w:rsidRDefault="0010267E" w:rsidP="0010267E">
      <w:pPr>
        <w:ind w:left="360" w:hanging="360"/>
        <w:jc w:val="both"/>
        <w:rPr>
          <w:b/>
        </w:rPr>
      </w:pPr>
    </w:p>
    <w:p w14:paraId="19536D3E" w14:textId="77777777" w:rsidR="000D655B" w:rsidRPr="000D655B" w:rsidRDefault="00D87771" w:rsidP="000D655B">
      <w:pPr>
        <w:pStyle w:val="Bibliography"/>
      </w:pPr>
      <w:r>
        <w:fldChar w:fldCharType="begin"/>
      </w:r>
      <w:r w:rsidR="000D655B">
        <w:instrText xml:space="preserve"> ADDIN ZOTERO_BIBL {"uncited":[],"omitted":[],"custom":[]} CSL_BIBLIOGRAPHY </w:instrText>
      </w:r>
      <w:r>
        <w:fldChar w:fldCharType="separate"/>
      </w:r>
      <w:r w:rsidR="000D655B" w:rsidRPr="000D655B">
        <w:t xml:space="preserve">Aa, Sitompul. </w:t>
      </w:r>
      <w:r w:rsidR="000D655B" w:rsidRPr="000D655B">
        <w:rPr>
          <w:i/>
          <w:iCs/>
        </w:rPr>
        <w:t>Metode Penafsiran Alkitab</w:t>
      </w:r>
      <w:r w:rsidR="000D655B" w:rsidRPr="000D655B">
        <w:t>. BPK Gunung Mulia, 2008.</w:t>
      </w:r>
    </w:p>
    <w:p w14:paraId="3092B379" w14:textId="77777777" w:rsidR="000D655B" w:rsidRPr="000D655B" w:rsidRDefault="000D655B" w:rsidP="000D655B">
      <w:pPr>
        <w:pStyle w:val="Bibliography"/>
      </w:pPr>
      <w:r w:rsidRPr="000D655B">
        <w:t xml:space="preserve">Banda, Collium. “Whatever Happened to God’s Holiness? The Holiness of God and the Theological Authenticity of the South African Neo-Pentecostal Prophetic Activities.” </w:t>
      </w:r>
      <w:r w:rsidRPr="000D655B">
        <w:rPr>
          <w:i/>
          <w:iCs/>
        </w:rPr>
        <w:t>Verbum et Ecclesia</w:t>
      </w:r>
      <w:r w:rsidRPr="000D655B">
        <w:t xml:space="preserve"> 42, no. 1 (2021): 1–10.</w:t>
      </w:r>
    </w:p>
    <w:p w14:paraId="06FBFB88" w14:textId="77777777" w:rsidR="000D655B" w:rsidRPr="000D655B" w:rsidRDefault="000D655B" w:rsidP="000D655B">
      <w:pPr>
        <w:pStyle w:val="Bibliography"/>
      </w:pPr>
      <w:r w:rsidRPr="000D655B">
        <w:t xml:space="preserve">Barmash, Pamela. “Through the Kaleidoscope of Literary Imagery in Exodus 15: Poetics and Historiography in Service to Religious Exuberance.” </w:t>
      </w:r>
      <w:r w:rsidRPr="000D655B">
        <w:rPr>
          <w:i/>
          <w:iCs/>
        </w:rPr>
        <w:t>Hebrew Studies</w:t>
      </w:r>
      <w:r w:rsidRPr="000D655B">
        <w:t xml:space="preserve"> 58, no. 1 (2017): 145–72.</w:t>
      </w:r>
    </w:p>
    <w:p w14:paraId="0BED4A54" w14:textId="77777777" w:rsidR="000D655B" w:rsidRPr="000D655B" w:rsidRDefault="000D655B" w:rsidP="000D655B">
      <w:pPr>
        <w:pStyle w:val="Bibliography"/>
      </w:pPr>
      <w:r w:rsidRPr="000D655B">
        <w:t xml:space="preserve">Brueggemann, Walter. “Theology of the Old Testament: Testimony, Dispute, Advocacy Revisited.” </w:t>
      </w:r>
      <w:r w:rsidRPr="000D655B">
        <w:rPr>
          <w:i/>
          <w:iCs/>
        </w:rPr>
        <w:t>The Catholic Biblical Quarterly</w:t>
      </w:r>
      <w:r w:rsidRPr="000D655B">
        <w:t xml:space="preserve"> 74, no. 1 (2012): 28–38.</w:t>
      </w:r>
    </w:p>
    <w:p w14:paraId="29493BA7" w14:textId="77777777" w:rsidR="000D655B" w:rsidRPr="000D655B" w:rsidRDefault="000D655B" w:rsidP="000D655B">
      <w:pPr>
        <w:pStyle w:val="Bibliography"/>
      </w:pPr>
      <w:r w:rsidRPr="000D655B">
        <w:t xml:space="preserve">Brueggemann, Walter. “Theology of the Old Testament: Testimony, Dispute, Advocacy Revisited.” </w:t>
      </w:r>
      <w:r w:rsidRPr="000D655B">
        <w:rPr>
          <w:i/>
          <w:iCs/>
        </w:rPr>
        <w:t>The Catholic Biblical Quarterly</w:t>
      </w:r>
      <w:r w:rsidRPr="000D655B">
        <w:t xml:space="preserve"> 74, no. 1 (2012): 28–38.</w:t>
      </w:r>
    </w:p>
    <w:p w14:paraId="798245EA" w14:textId="77777777" w:rsidR="000D655B" w:rsidRPr="000D655B" w:rsidRDefault="000D655B" w:rsidP="000D655B">
      <w:pPr>
        <w:pStyle w:val="Bibliography"/>
      </w:pPr>
      <w:r w:rsidRPr="000D655B">
        <w:t xml:space="preserve">Chia, Philip Suciadi, and Juanda Juanda. “How Does Song of Moses in the Exodus 15: 8-14, Teach Education?(LXX-Rahlfs).” </w:t>
      </w:r>
      <w:r w:rsidRPr="000D655B">
        <w:rPr>
          <w:i/>
          <w:iCs/>
        </w:rPr>
        <w:t>Journal Didaskalia</w:t>
      </w:r>
      <w:r w:rsidRPr="000D655B">
        <w:t xml:space="preserve"> 5, no. 2 (2022): 67–73.</w:t>
      </w:r>
    </w:p>
    <w:p w14:paraId="15C11074" w14:textId="77777777" w:rsidR="000D655B" w:rsidRPr="000D655B" w:rsidRDefault="000D655B" w:rsidP="000D655B">
      <w:pPr>
        <w:pStyle w:val="Bibliography"/>
      </w:pPr>
      <w:r w:rsidRPr="000D655B">
        <w:t xml:space="preserve">Chia, Philip Suciadi, and Juanda Juanda. “How Does Song of Moses in the Exodus 15: 8-14, Teach Education?(LXX-Rahlfs).” </w:t>
      </w:r>
      <w:r w:rsidRPr="000D655B">
        <w:rPr>
          <w:i/>
          <w:iCs/>
        </w:rPr>
        <w:t>Journal Didaskalia</w:t>
      </w:r>
      <w:r w:rsidRPr="000D655B">
        <w:t xml:space="preserve"> 5, no. 2 (2022): 67–73.</w:t>
      </w:r>
    </w:p>
    <w:p w14:paraId="2AA10217" w14:textId="77777777" w:rsidR="000D655B" w:rsidRPr="000D655B" w:rsidRDefault="000D655B" w:rsidP="000D655B">
      <w:pPr>
        <w:pStyle w:val="Bibliography"/>
      </w:pPr>
      <w:r w:rsidRPr="000D655B">
        <w:t xml:space="preserve">Davis, Ruth F. “From Wax Cylinder to Metal Disc: Transplanting Robert Lachmann’s ‘Oriental Music’ Project from Berlin to Jerusalem on the Eve of World War II.” </w:t>
      </w:r>
      <w:r w:rsidRPr="000D655B">
        <w:rPr>
          <w:i/>
          <w:iCs/>
        </w:rPr>
        <w:t>The World of Music (New Series)</w:t>
      </w:r>
      <w:r w:rsidRPr="000D655B">
        <w:t xml:space="preserve"> 12, no. 2 (2023).</w:t>
      </w:r>
    </w:p>
    <w:p w14:paraId="7DD9FEEC" w14:textId="77777777" w:rsidR="000D655B" w:rsidRPr="000D655B" w:rsidRDefault="000D655B" w:rsidP="000D655B">
      <w:pPr>
        <w:pStyle w:val="Bibliography"/>
      </w:pPr>
      <w:r w:rsidRPr="000D655B">
        <w:t xml:space="preserve">Evans, Craig A. “Celebrating Victory from the Sea of Reeds to the Eschatological Battle Field: Miriam’s Timbrels and Dances in Exodus 15 and Beyond.” </w:t>
      </w:r>
      <w:r w:rsidRPr="000D655B">
        <w:rPr>
          <w:i/>
          <w:iCs/>
        </w:rPr>
        <w:t>Biblical Theology Bulletin</w:t>
      </w:r>
      <w:r w:rsidRPr="000D655B">
        <w:t xml:space="preserve"> 51, no. 4 (2021): 206–14.</w:t>
      </w:r>
    </w:p>
    <w:p w14:paraId="2F15AA62" w14:textId="77777777" w:rsidR="000D655B" w:rsidRPr="000D655B" w:rsidRDefault="000D655B" w:rsidP="000D655B">
      <w:pPr>
        <w:pStyle w:val="Bibliography"/>
      </w:pPr>
      <w:r w:rsidRPr="000D655B">
        <w:t xml:space="preserve">Firnando, Krisna, Yanto Hermanto, and Ferry Purnama. “Pemilihan Jenis Musik Dalam Peribadatan Kristen.” </w:t>
      </w:r>
      <w:r w:rsidRPr="000D655B">
        <w:rPr>
          <w:i/>
          <w:iCs/>
        </w:rPr>
        <w:t>Clef: Jurnal Musik Dan Pendidikan Musik</w:t>
      </w:r>
      <w:r w:rsidRPr="000D655B">
        <w:t xml:space="preserve"> 1, no. 2 (2020): 56–66.</w:t>
      </w:r>
    </w:p>
    <w:p w14:paraId="6D3634CF" w14:textId="77777777" w:rsidR="000D655B" w:rsidRPr="000D655B" w:rsidRDefault="000D655B" w:rsidP="000D655B">
      <w:pPr>
        <w:pStyle w:val="Bibliography"/>
      </w:pPr>
      <w:r w:rsidRPr="000D655B">
        <w:t xml:space="preserve">Fretheim, Terence E. “Exodus: Interpretation, A Bible Commentary for Teaching and Preaching.” </w:t>
      </w:r>
      <w:r w:rsidRPr="000D655B">
        <w:rPr>
          <w:i/>
          <w:iCs/>
        </w:rPr>
        <w:t>Louisville, Ky.: Knox, Publication</w:t>
      </w:r>
      <w:r w:rsidRPr="000D655B">
        <w:t>, 1991.</w:t>
      </w:r>
    </w:p>
    <w:p w14:paraId="5394E6C7" w14:textId="77777777" w:rsidR="000D655B" w:rsidRPr="000D655B" w:rsidRDefault="000D655B" w:rsidP="000D655B">
      <w:pPr>
        <w:pStyle w:val="Bibliography"/>
      </w:pPr>
      <w:r w:rsidRPr="000D655B">
        <w:t xml:space="preserve">Gillingham, Susan E. “The Reception of the Exodus Tradition in the Psalter.” </w:t>
      </w:r>
      <w:r w:rsidRPr="000D655B">
        <w:rPr>
          <w:i/>
          <w:iCs/>
        </w:rPr>
        <w:t>The Reception of Exodus Motifs in Jewish and Christian Literature</w:t>
      </w:r>
      <w:r w:rsidRPr="000D655B">
        <w:t>, 2022, 36.</w:t>
      </w:r>
    </w:p>
    <w:p w14:paraId="12664A9F" w14:textId="77777777" w:rsidR="000D655B" w:rsidRPr="000D655B" w:rsidRDefault="000D655B" w:rsidP="000D655B">
      <w:pPr>
        <w:pStyle w:val="Bibliography"/>
      </w:pPr>
      <w:r w:rsidRPr="000D655B">
        <w:t xml:space="preserve">Haglund, Kevin Lloyd. </w:t>
      </w:r>
      <w:r w:rsidRPr="000D655B">
        <w:rPr>
          <w:i/>
          <w:iCs/>
        </w:rPr>
        <w:t>A Practical Theology of the Role of Emotion in Corporate Musical Worship: A Case Study</w:t>
      </w:r>
      <w:r w:rsidRPr="000D655B">
        <w:t>. Columbia International University, 2024.</w:t>
      </w:r>
    </w:p>
    <w:p w14:paraId="79495F92" w14:textId="77777777" w:rsidR="000D655B" w:rsidRPr="000D655B" w:rsidRDefault="000D655B" w:rsidP="000D655B">
      <w:pPr>
        <w:pStyle w:val="Bibliography"/>
      </w:pPr>
      <w:r w:rsidRPr="000D655B">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0EE44B85" w14:textId="77777777" w:rsidR="000D655B" w:rsidRPr="000D655B" w:rsidRDefault="000D655B" w:rsidP="000D655B">
      <w:pPr>
        <w:pStyle w:val="Bibliography"/>
      </w:pPr>
      <w:r w:rsidRPr="000D655B">
        <w:lastRenderedPageBreak/>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6731DAF2" w14:textId="77777777" w:rsidR="000D655B" w:rsidRPr="000D655B" w:rsidRDefault="000D655B" w:rsidP="000D655B">
      <w:pPr>
        <w:pStyle w:val="Bibliography"/>
      </w:pPr>
      <w:r w:rsidRPr="000D655B">
        <w:t xml:space="preserve">HAMILTON JR, JAMES M. “AUTHOR-INTENDED TYPOLOGY IN THE CHIASTIC STRUCTURE OF THE SONG OF THE SEA (EXODUS 15: 1–21).” </w:t>
      </w:r>
      <w:r w:rsidRPr="000D655B">
        <w:rPr>
          <w:i/>
          <w:iCs/>
        </w:rPr>
        <w:t>Journal of the Evangelical Theological Society</w:t>
      </w:r>
      <w:r w:rsidRPr="000D655B">
        <w:t xml:space="preserve"> 67, no. 3 (2024): 463–74.</w:t>
      </w:r>
    </w:p>
    <w:p w14:paraId="7EA96780" w14:textId="77777777" w:rsidR="000D655B" w:rsidRPr="000D655B" w:rsidRDefault="000D655B" w:rsidP="000D655B">
      <w:pPr>
        <w:pStyle w:val="Bibliography"/>
      </w:pPr>
      <w:r w:rsidRPr="000D655B">
        <w:t xml:space="preserve">Hamilton, Victor P. </w:t>
      </w:r>
      <w:r w:rsidRPr="000D655B">
        <w:rPr>
          <w:i/>
          <w:iCs/>
        </w:rPr>
        <w:t>Exodus: An Exegetical Commentary</w:t>
      </w:r>
      <w:r w:rsidRPr="000D655B">
        <w:t>. Baker Academic, 2011.</w:t>
      </w:r>
    </w:p>
    <w:p w14:paraId="43F4A7CA" w14:textId="77777777" w:rsidR="000D655B" w:rsidRPr="000D655B" w:rsidRDefault="000D655B" w:rsidP="000D655B">
      <w:pPr>
        <w:pStyle w:val="Bibliography"/>
      </w:pPr>
      <w:r w:rsidRPr="000D655B">
        <w:t xml:space="preserve">Hermanus, Kenezia. “Signifikansi Nyanyian Rohani Berdasarkan Narasi Injil.” </w:t>
      </w:r>
      <w:r w:rsidRPr="000D655B">
        <w:rPr>
          <w:i/>
          <w:iCs/>
        </w:rPr>
        <w:t>Logon Zoes: Jurnal Teologi, Sosial, Dan Budaya</w:t>
      </w:r>
      <w:r w:rsidRPr="000D655B">
        <w:t xml:space="preserve"> 8, no. 1 (2025): 1–17.</w:t>
      </w:r>
    </w:p>
    <w:p w14:paraId="1BD5C7D4" w14:textId="77777777" w:rsidR="000D655B" w:rsidRPr="000D655B" w:rsidRDefault="000D655B" w:rsidP="000D655B">
      <w:pPr>
        <w:pStyle w:val="Bibliography"/>
      </w:pPr>
      <w:r w:rsidRPr="000D655B">
        <w:t xml:space="preserve">Juma, Dorcas Chebet. “The Theology of Music in African Spiritualities: A Post-COVID-19 Lens to Psalm 121 through Jerusalema.” </w:t>
      </w:r>
      <w:r w:rsidRPr="000D655B">
        <w:rPr>
          <w:i/>
          <w:iCs/>
        </w:rPr>
        <w:t>African Theological Journal for Church and Society, Vol. 6, No. 1 Pp. 264-284</w:t>
      </w:r>
      <w:r w:rsidRPr="000D655B">
        <w:t>, 2025.</w:t>
      </w:r>
    </w:p>
    <w:p w14:paraId="735FC284" w14:textId="77777777" w:rsidR="000D655B" w:rsidRPr="000D655B" w:rsidRDefault="000D655B" w:rsidP="000D655B">
      <w:pPr>
        <w:pStyle w:val="Bibliography"/>
      </w:pPr>
      <w:r w:rsidRPr="000D655B">
        <w:t xml:space="preserve">Levin, Christoph. </w:t>
      </w:r>
      <w:r w:rsidRPr="000D655B">
        <w:rPr>
          <w:i/>
          <w:iCs/>
        </w:rPr>
        <w:t>The Old Testament: A Brief Introduction</w:t>
      </w:r>
      <w:r w:rsidRPr="000D655B">
        <w:t>. Princeton University Press, 2005.</w:t>
      </w:r>
    </w:p>
    <w:p w14:paraId="3BB62C21" w14:textId="77777777" w:rsidR="000D655B" w:rsidRPr="000D655B" w:rsidRDefault="000D655B" w:rsidP="000D655B">
      <w:pPr>
        <w:pStyle w:val="Bibliography"/>
      </w:pPr>
      <w:r w:rsidRPr="000D655B">
        <w:t xml:space="preserve">Martasudjita, Emanuel. </w:t>
      </w:r>
      <w:r w:rsidRPr="000D655B">
        <w:rPr>
          <w:i/>
          <w:iCs/>
        </w:rPr>
        <w:t>Liturgi: Pengantar Untuk Studi Dan Praksis Liturgi</w:t>
      </w:r>
      <w:r w:rsidRPr="000D655B">
        <w:t>. PT Kanisius, 2011.</w:t>
      </w:r>
    </w:p>
    <w:p w14:paraId="56C7B04C" w14:textId="77777777" w:rsidR="000D655B" w:rsidRPr="000D655B" w:rsidRDefault="000D655B" w:rsidP="000D655B">
      <w:pPr>
        <w:pStyle w:val="Bibliography"/>
      </w:pPr>
      <w:r w:rsidRPr="000D655B">
        <w:t xml:space="preserve">Neril, Rabbi Yonatan, and Rabbi Leo Dee. “Eco Bible, Vol. 1: An Ecological Commentary on Genesis and Exodus.” </w:t>
      </w:r>
      <w:r w:rsidRPr="000D655B">
        <w:rPr>
          <w:i/>
          <w:iCs/>
        </w:rPr>
        <w:t>Norderstedt: The Interfaith Center for Sustainable Development</w:t>
      </w:r>
      <w:r w:rsidRPr="000D655B">
        <w:t>, 2020.</w:t>
      </w:r>
    </w:p>
    <w:p w14:paraId="45C34A4C" w14:textId="77777777" w:rsidR="000D655B" w:rsidRPr="000D655B" w:rsidRDefault="000D655B" w:rsidP="000D655B">
      <w:pPr>
        <w:pStyle w:val="Bibliography"/>
      </w:pPr>
      <w:r w:rsidRPr="000D655B">
        <w:t xml:space="preserve">Saputro, Anon Dwi, and Paulus Kunto Baskoro. “Allah Berperan Di Belakang Layar Dalam Penderitaan Orang Percaya: Teodisi Dalam Narasi Keluaran 1-2.” </w:t>
      </w:r>
      <w:r w:rsidRPr="000D655B">
        <w:rPr>
          <w:i/>
          <w:iCs/>
        </w:rPr>
        <w:t>Sanctum Domine: Jurnal Teologi</w:t>
      </w:r>
      <w:r w:rsidRPr="000D655B">
        <w:t xml:space="preserve"> 12, no. 2 (2023): 133–52.</w:t>
      </w:r>
    </w:p>
    <w:p w14:paraId="700614A8" w14:textId="77777777" w:rsidR="000D655B" w:rsidRPr="000D655B" w:rsidRDefault="000D655B" w:rsidP="000D655B">
      <w:pPr>
        <w:pStyle w:val="Bibliography"/>
      </w:pPr>
      <w:r w:rsidRPr="000D655B">
        <w:t xml:space="preserve">Schnittjer, G. E. </w:t>
      </w:r>
      <w:r w:rsidRPr="000D655B">
        <w:rPr>
          <w:i/>
          <w:iCs/>
        </w:rPr>
        <w:t>The Torah Story: An Apprenticeship on the Pentateuch</w:t>
      </w:r>
      <w:r w:rsidRPr="000D655B">
        <w:t>. Zondervan Academic, 2010. https://books.google.co.id/books?id=oDUaY1M5UcQC.</w:t>
      </w:r>
    </w:p>
    <w:p w14:paraId="34536313" w14:textId="77777777" w:rsidR="000D655B" w:rsidRPr="000D655B" w:rsidRDefault="000D655B" w:rsidP="000D655B">
      <w:pPr>
        <w:pStyle w:val="Bibliography"/>
      </w:pPr>
      <w:r w:rsidRPr="000D655B">
        <w:t xml:space="preserve">Sinaga, Janes, Raden Deddy Kurniawan, and Juita Lusiana Sinambela. “Bukti Penyertaan Tuhan Melalui Perjalanan Bangsa Israel Menyeberangi Laut Teberau Berdasarkan Keluaran 13: 17–14: 1-31.” </w:t>
      </w:r>
      <w:r w:rsidRPr="000D655B">
        <w:rPr>
          <w:i/>
          <w:iCs/>
        </w:rPr>
        <w:t>Logos</w:t>
      </w:r>
      <w:r w:rsidRPr="000D655B">
        <w:t>, 2022, 143–52.</w:t>
      </w:r>
    </w:p>
    <w:p w14:paraId="7E0C950F" w14:textId="77777777" w:rsidR="000D655B" w:rsidRPr="000D655B" w:rsidRDefault="000D655B" w:rsidP="000D655B">
      <w:pPr>
        <w:pStyle w:val="Bibliography"/>
      </w:pPr>
      <w:r w:rsidRPr="000D655B">
        <w:t xml:space="preserve">Smith, Mark S. </w:t>
      </w:r>
      <w:r w:rsidRPr="000D655B">
        <w:rPr>
          <w:i/>
          <w:iCs/>
        </w:rPr>
        <w:t>The Early History of God: Yahweh and the Other Deities in Ancient Israel</w:t>
      </w:r>
      <w:r w:rsidRPr="000D655B">
        <w:t>. Wm. B. Eerdmans Publishing, 2002.</w:t>
      </w:r>
    </w:p>
    <w:p w14:paraId="43BF5364" w14:textId="77777777" w:rsidR="000D655B" w:rsidRPr="000D655B" w:rsidRDefault="000D655B" w:rsidP="000D655B">
      <w:pPr>
        <w:pStyle w:val="Bibliography"/>
      </w:pPr>
      <w:r w:rsidRPr="000D655B">
        <w:t xml:space="preserve">Tambun, Roy Haries Ifraldo. “God Fights to Save the Nation of Israel: A Historical-Critical Review of Exodus 15: 1-21.” </w:t>
      </w:r>
      <w:r w:rsidRPr="000D655B">
        <w:rPr>
          <w:i/>
          <w:iCs/>
        </w:rPr>
        <w:t>Theological Journal Kerugma</w:t>
      </w:r>
      <w:r w:rsidRPr="000D655B">
        <w:t xml:space="preserve"> 7, no. 2 (2024): 73–83.</w:t>
      </w:r>
    </w:p>
    <w:p w14:paraId="1DEEEF62" w14:textId="77777777" w:rsidR="000D655B" w:rsidRPr="000D655B" w:rsidRDefault="000D655B" w:rsidP="000D655B">
      <w:pPr>
        <w:pStyle w:val="Bibliography"/>
      </w:pPr>
      <w:r w:rsidRPr="000D655B">
        <w:t xml:space="preserve">Walker, M. Justin. “Historical Narrativity in the Song of the Sea (Exodus 15: 1-18) and the Throneroom Reliefs of Ashurnasirpal II.” </w:t>
      </w:r>
      <w:r w:rsidRPr="000D655B">
        <w:rPr>
          <w:i/>
          <w:iCs/>
        </w:rPr>
        <w:t>Hebrew Bible and Ancient Israel</w:t>
      </w:r>
      <w:r w:rsidRPr="000D655B">
        <w:t xml:space="preserve"> 13, no. 1 (2024): 1–29.</w:t>
      </w:r>
    </w:p>
    <w:p w14:paraId="72624416" w14:textId="77777777" w:rsidR="000D655B" w:rsidRPr="000D655B" w:rsidRDefault="000D655B" w:rsidP="000D655B">
      <w:pPr>
        <w:pStyle w:val="Bibliography"/>
      </w:pPr>
      <w:r w:rsidRPr="000D655B">
        <w:t xml:space="preserve">Walton, John. </w:t>
      </w:r>
      <w:r w:rsidRPr="000D655B">
        <w:rPr>
          <w:i/>
          <w:iCs/>
        </w:rPr>
        <w:t>Ancient Near Eastern Thought and the Old Testament</w:t>
      </w:r>
      <w:r w:rsidRPr="000D655B">
        <w:t>. Baker, 2019.</w:t>
      </w:r>
    </w:p>
    <w:p w14:paraId="3EDAF6C1" w14:textId="77777777" w:rsidR="000D655B" w:rsidRPr="000D655B" w:rsidRDefault="000D655B" w:rsidP="000D655B">
      <w:pPr>
        <w:pStyle w:val="Bibliography"/>
      </w:pPr>
      <w:r w:rsidRPr="000D655B">
        <w:t xml:space="preserve">Wright, Christopher JH. </w:t>
      </w:r>
      <w:r w:rsidRPr="000D655B">
        <w:rPr>
          <w:i/>
          <w:iCs/>
        </w:rPr>
        <w:t>Exodus</w:t>
      </w:r>
      <w:r w:rsidRPr="000D655B">
        <w:t>. Zondervan Academic, 2021.</w:t>
      </w:r>
    </w:p>
    <w:p w14:paraId="71392034" w14:textId="77777777" w:rsidR="000D655B" w:rsidRPr="000D655B" w:rsidRDefault="000D655B" w:rsidP="000D655B">
      <w:pPr>
        <w:pStyle w:val="Bibliography"/>
      </w:pPr>
      <w:r w:rsidRPr="000D655B">
        <w:lastRenderedPageBreak/>
        <w:t xml:space="preserve">Zai, Vinus, Daniel Zalukhu, and Yohanes Dewanto. “MISI ALLAH BERDASARKAN KITAB KELUARAN.” </w:t>
      </w:r>
      <w:r w:rsidRPr="000D655B">
        <w:rPr>
          <w:i/>
          <w:iCs/>
        </w:rPr>
        <w:t>THEOLOGIA INSANI: Jurnal Theologia, Pendidikan, Dan Misiologia Integratif</w:t>
      </w:r>
      <w:r w:rsidRPr="000D655B">
        <w:t xml:space="preserve"> 4, no. 2 (2025): 93–106.</w:t>
      </w:r>
    </w:p>
    <w:p w14:paraId="6B71F03F" w14:textId="78883CEA" w:rsidR="00C30472" w:rsidRDefault="00D87771" w:rsidP="006A238E">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98C0D" w14:textId="77777777" w:rsidR="00306C11" w:rsidRDefault="00306C11">
      <w:r>
        <w:separator/>
      </w:r>
    </w:p>
  </w:endnote>
  <w:endnote w:type="continuationSeparator" w:id="0">
    <w:p w14:paraId="62042A82" w14:textId="77777777" w:rsidR="00306C11" w:rsidRDefault="00306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0B4886B-D475-4F8A-A595-CE199882978E}"/>
    <w:embedBold r:id="rId2" w:fontKey="{6D68E29E-012D-4A99-9E07-477F9843ED03}"/>
  </w:font>
  <w:font w:name="Calibri">
    <w:panose1 w:val="020F0502020204030204"/>
    <w:charset w:val="00"/>
    <w:family w:val="swiss"/>
    <w:pitch w:val="variable"/>
    <w:sig w:usb0="E4002EFF" w:usb1="C200247B" w:usb2="00000009" w:usb3="00000000" w:csb0="000001FF" w:csb1="00000000"/>
    <w:embedRegular r:id="rId3" w:fontKey="{3BDE4AC8-334F-4683-96A5-B8B2E23EB379}"/>
    <w:embedBold r:id="rId4" w:fontKey="{4471A502-E46D-4580-8435-3A56DC4EF840}"/>
    <w:embedItalic r:id="rId5" w:fontKey="{60042DD4-6F21-406C-80E2-FA48DB1A9023}"/>
  </w:font>
  <w:font w:name="Calisto MT">
    <w:panose1 w:val="02040603050505030304"/>
    <w:charset w:val="00"/>
    <w:family w:val="roman"/>
    <w:pitch w:val="variable"/>
    <w:sig w:usb0="00000003" w:usb1="00000000" w:usb2="00000000" w:usb3="00000000" w:csb0="00000001" w:csb1="00000000"/>
    <w:embedRegular r:id="rId6" w:fontKey="{E4DA1A2A-C9ED-49B9-9E8C-3E56021AF06C}"/>
    <w:embedBold r:id="rId7" w:fontKey="{E2C66392-5587-454A-9F07-38F43A2884AF}"/>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8CC8D631-ABDE-4059-A106-1DF23CF5B7C3}"/>
    <w:embedItalic r:id="rId9" w:fontKey="{230F29CA-350C-430E-BFD8-4D6EFBA9494E}"/>
  </w:font>
  <w:font w:name="Lustria">
    <w:altName w:val="Cambria"/>
    <w:charset w:val="00"/>
    <w:family w:val="auto"/>
    <w:pitch w:val="default"/>
    <w:embedRegular r:id="rId10" w:fontKey="{F84CB7EE-4CE3-4D0F-BCB5-907D65B87334}"/>
    <w:embedBold r:id="rId11" w:fontKey="{19CF4D17-714C-45ED-B855-5B38AF7B8C34}"/>
    <w:embedItalic r:id="rId12" w:fontKey="{B34B55D1-823B-4FCB-82FC-6143F8F3D17E}"/>
  </w:font>
  <w:font w:name="EB Garamond">
    <w:charset w:val="00"/>
    <w:family w:val="auto"/>
    <w:pitch w:val="variable"/>
    <w:sig w:usb0="E00002FF" w:usb1="02000413" w:usb2="00000000" w:usb3="00000000" w:csb0="0000019F" w:csb1="00000000"/>
    <w:embedRegular r:id="rId13" w:fontKey="{69B9450D-D527-4FC2-8AFD-EB2491CC6F26}"/>
  </w:font>
  <w:font w:name="Cambria">
    <w:panose1 w:val="02040503050406030204"/>
    <w:charset w:val="00"/>
    <w:family w:val="roman"/>
    <w:pitch w:val="variable"/>
    <w:sig w:usb0="E00006FF" w:usb1="420024FF" w:usb2="02000000" w:usb3="00000000" w:csb0="0000019F" w:csb1="00000000"/>
    <w:embedRegular r:id="rId14" w:fontKey="{4769C0A0-3DDB-4A0D-9630-F7404DA39EA8}"/>
    <w:embedBoldItalic r:id="rId15" w:fontKey="{65860ED0-8D55-454D-9BC6-2D34ADAB0F68}"/>
  </w:font>
  <w:font w:name="Garamond">
    <w:panose1 w:val="02020404030301010803"/>
    <w:charset w:val="00"/>
    <w:family w:val="roman"/>
    <w:pitch w:val="variable"/>
    <w:sig w:usb0="00000287" w:usb1="00000000" w:usb2="00000000" w:usb3="00000000" w:csb0="0000009F" w:csb1="00000000"/>
    <w:embedRegular r:id="rId16" w:fontKey="{8A58839E-87BD-41CD-AE2C-0394C97A8710}"/>
  </w:font>
  <w:font w:name="Corben">
    <w:charset w:val="00"/>
    <w:family w:val="auto"/>
    <w:pitch w:val="default"/>
    <w:embedRegular r:id="rId17" w:fontKey="{97789047-FAF5-4BE9-85C7-DEFEB946A170}"/>
  </w:font>
  <w:font w:name="Verdana">
    <w:panose1 w:val="020B0604030504040204"/>
    <w:charset w:val="00"/>
    <w:family w:val="swiss"/>
    <w:pitch w:val="variable"/>
    <w:sig w:usb0="A00006FF" w:usb1="4000205B" w:usb2="00000010" w:usb3="00000000" w:csb0="0000019F" w:csb1="00000000"/>
    <w:embedRegular r:id="rId18" w:fontKey="{4823DD97-C377-4033-BA1B-31E1E445379D}"/>
    <w:embedBold r:id="rId19" w:fontKey="{01A3BB7E-4428-47C5-9340-BD9E8CBDFECD}"/>
  </w:font>
  <w:font w:name="Arial">
    <w:panose1 w:val="020B0604020202020204"/>
    <w:charset w:val="00"/>
    <w:family w:val="swiss"/>
    <w:pitch w:val="variable"/>
    <w:sig w:usb0="E0002EFF" w:usb1="C000785B" w:usb2="00000009" w:usb3="00000000" w:csb0="000001FF" w:csb1="00000000"/>
  </w:font>
  <w:font w:name="Ezra SIL">
    <w:panose1 w:val="02000400000000000000"/>
    <w:charset w:val="00"/>
    <w:family w:val="auto"/>
    <w:pitch w:val="variable"/>
    <w:sig w:usb0="00000803" w:usb1="40000000" w:usb2="00000000" w:usb3="00000000" w:csb0="00000021" w:csb1="00000000"/>
    <w:embedRegular r:id="rId20" w:fontKey="{C5702FE2-7EFC-4B79-B82C-53AEA5615AB9}"/>
    <w:embedBold r:id="rId21" w:fontKey="{E397E825-BCC0-40CD-89D9-70568DBC1E45}"/>
    <w:embedBoldItalic r:id="rId22" w:fontKey="{88188005-7B6D-4FC0-A4CD-9F9DEFDD23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4</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A238E">
      <w:rPr>
        <w:rFonts w:eastAsia="Times New Roman"/>
        <w:noProof/>
        <w:color w:val="000000"/>
        <w:sz w:val="22"/>
        <w:szCs w:val="22"/>
      </w:rPr>
      <w:t>3</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8E2DA" w14:textId="77777777" w:rsidR="00306C11" w:rsidRDefault="00306C11">
      <w:r>
        <w:separator/>
      </w:r>
    </w:p>
  </w:footnote>
  <w:footnote w:type="continuationSeparator" w:id="0">
    <w:p w14:paraId="4DC422B5" w14:textId="77777777" w:rsidR="00306C11" w:rsidRDefault="00306C11">
      <w:r>
        <w:continuationSeparator/>
      </w:r>
    </w:p>
  </w:footnote>
  <w:footnote w:id="1">
    <w:p w14:paraId="4408BC71" w14:textId="729B255C" w:rsidR="00CC68EC" w:rsidRPr="008559D1" w:rsidRDefault="00CC68EC" w:rsidP="00CC68EC">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463–74.","dontUpdate":true,"noteIndex":1},"citationItems":[{"id":"zIwcRjke/emhcLG71","uris":["http://zotero.org/users/local/kfAXQwMK/items/JCDYBEKV"],"itemData":{"id":110,"type":"article-journal","container-title":"Journal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James M Hamilton Jr, “Author-Intended Typology </w:t>
      </w:r>
      <w:r w:rsidR="00356B83">
        <w:rPr>
          <w:rFonts w:ascii="Times New Roman" w:hAnsi="Times New Roman" w:cs="Times New Roman"/>
          <w:szCs w:val="24"/>
        </w:rPr>
        <w:t>i</w:t>
      </w:r>
      <w:r w:rsidR="006A238E" w:rsidRPr="008559D1">
        <w:rPr>
          <w:rFonts w:ascii="Times New Roman" w:hAnsi="Times New Roman" w:cs="Times New Roman"/>
          <w:szCs w:val="24"/>
        </w:rPr>
        <w:t xml:space="preserve">n </w:t>
      </w:r>
      <w:r w:rsidR="00356B83">
        <w:rPr>
          <w:rFonts w:ascii="Times New Roman" w:hAnsi="Times New Roman" w:cs="Times New Roman"/>
          <w:szCs w:val="24"/>
        </w:rPr>
        <w:t>t</w:t>
      </w:r>
      <w:r w:rsidR="006A238E" w:rsidRPr="008559D1">
        <w:rPr>
          <w:rFonts w:ascii="Times New Roman" w:hAnsi="Times New Roman" w:cs="Times New Roman"/>
          <w:szCs w:val="24"/>
        </w:rPr>
        <w:t xml:space="preserve">he Chiastic Structure </w:t>
      </w:r>
      <w:r w:rsidR="00356B83">
        <w:rPr>
          <w:rFonts w:ascii="Times New Roman" w:hAnsi="Times New Roman" w:cs="Times New Roman"/>
          <w:szCs w:val="24"/>
        </w:rPr>
        <w:t>o</w:t>
      </w:r>
      <w:r w:rsidR="006A238E" w:rsidRPr="008559D1">
        <w:rPr>
          <w:rFonts w:ascii="Times New Roman" w:hAnsi="Times New Roman" w:cs="Times New Roman"/>
          <w:szCs w:val="24"/>
        </w:rPr>
        <w:t xml:space="preserve">f </w:t>
      </w:r>
      <w:r w:rsidR="00356B83">
        <w:rPr>
          <w:rFonts w:ascii="Times New Roman" w:hAnsi="Times New Roman" w:cs="Times New Roman"/>
          <w:szCs w:val="24"/>
        </w:rPr>
        <w:t>t</w:t>
      </w:r>
      <w:r w:rsidR="006A238E" w:rsidRPr="008559D1">
        <w:rPr>
          <w:rFonts w:ascii="Times New Roman" w:hAnsi="Times New Roman" w:cs="Times New Roman"/>
          <w:szCs w:val="24"/>
        </w:rPr>
        <w:t xml:space="preserve">he Song Of The Sea (Exodus 15: 1–21),” </w:t>
      </w:r>
      <w:r w:rsidR="006A238E" w:rsidRPr="008559D1">
        <w:rPr>
          <w:rFonts w:ascii="Times New Roman" w:hAnsi="Times New Roman" w:cs="Times New Roman"/>
          <w:i/>
          <w:iCs/>
          <w:szCs w:val="24"/>
        </w:rPr>
        <w:t xml:space="preserve">Journal </w:t>
      </w:r>
      <w:r w:rsidR="00356B83">
        <w:rPr>
          <w:rFonts w:ascii="Times New Roman" w:hAnsi="Times New Roman" w:cs="Times New Roman"/>
          <w:i/>
          <w:iCs/>
          <w:szCs w:val="24"/>
        </w:rPr>
        <w:t>o</w:t>
      </w:r>
      <w:r w:rsidR="006A238E" w:rsidRPr="008559D1">
        <w:rPr>
          <w:rFonts w:ascii="Times New Roman" w:hAnsi="Times New Roman" w:cs="Times New Roman"/>
          <w:i/>
          <w:iCs/>
          <w:szCs w:val="24"/>
        </w:rPr>
        <w:t xml:space="preserve">f </w:t>
      </w:r>
      <w:r w:rsidR="00356B83">
        <w:rPr>
          <w:rFonts w:ascii="Times New Roman" w:hAnsi="Times New Roman" w:cs="Times New Roman"/>
          <w:i/>
          <w:iCs/>
          <w:szCs w:val="24"/>
        </w:rPr>
        <w:t>t</w:t>
      </w:r>
      <w:r w:rsidR="006A238E" w:rsidRPr="008559D1">
        <w:rPr>
          <w:rFonts w:ascii="Times New Roman" w:hAnsi="Times New Roman" w:cs="Times New Roman"/>
          <w:i/>
          <w:iCs/>
          <w:szCs w:val="24"/>
        </w:rPr>
        <w:t>he Evangelical Theological Society</w:t>
      </w:r>
      <w:r w:rsidR="006A238E" w:rsidRPr="008559D1">
        <w:rPr>
          <w:rFonts w:ascii="Times New Roman" w:hAnsi="Times New Roman" w:cs="Times New Roman"/>
          <w:szCs w:val="24"/>
        </w:rPr>
        <w:t xml:space="preserve"> 67, No. 3 (2024): 463–74.</w:t>
      </w:r>
      <w:r w:rsidRPr="008559D1">
        <w:rPr>
          <w:rFonts w:ascii="Times New Roman" w:hAnsi="Times New Roman" w:cs="Times New Roman"/>
        </w:rPr>
        <w:fldChar w:fldCharType="end"/>
      </w:r>
    </w:p>
  </w:footnote>
  <w:footnote w:id="2">
    <w:p w14:paraId="1F75887A" w14:textId="0CCD9EE3" w:rsidR="00883E68" w:rsidRPr="008559D1" w:rsidRDefault="00883E68" w:rsidP="00883E68">
      <w:pPr>
        <w:pStyle w:val="FootnoteText"/>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206–14.","noteIndex":2},"citationItems":[{"id":"zIwcRjke/6n0fIt0M","uris":["http://zotero.org/users/local/kfAXQwMK/items/Z9AAPRJS"],"itemData":{"id":111,"type":"article-journal","container-title":"Biblical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Craig A. Evans, “Celebrating Victory from the Sea of Reeds to the Eschatological Battle Field: Miriam’s Timbrels and Dances in Exodus 15 and Beyond,” </w:t>
      </w:r>
      <w:r w:rsidR="00A149B1" w:rsidRPr="00A149B1">
        <w:rPr>
          <w:rFonts w:ascii="Times New Roman" w:hAnsi="Times New Roman" w:cs="Times New Roman"/>
          <w:i/>
          <w:iCs/>
        </w:rPr>
        <w:t>Biblical Theology Bulletin</w:t>
      </w:r>
      <w:r w:rsidR="00A149B1" w:rsidRPr="00A149B1">
        <w:rPr>
          <w:rFonts w:ascii="Times New Roman" w:hAnsi="Times New Roman" w:cs="Times New Roman"/>
        </w:rPr>
        <w:t xml:space="preserve"> 51, no. 4 (2021): 206–14.</w:t>
      </w:r>
      <w:r w:rsidRPr="008559D1">
        <w:rPr>
          <w:rFonts w:ascii="Times New Roman" w:hAnsi="Times New Roman" w:cs="Times New Roman"/>
        </w:rPr>
        <w:fldChar w:fldCharType="end"/>
      </w:r>
    </w:p>
  </w:footnote>
  <w:footnote w:id="3">
    <w:p w14:paraId="7B017540" w14:textId="44F54185" w:rsidR="00883E68" w:rsidRPr="008559D1" w:rsidRDefault="00883E68" w:rsidP="00883E68">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2025.","noteIndex":3},"citationItems":[{"id":"zIwcRjke/VTB8OjL1","uris":["http://zotero.org/users/local/kfAXQwMK/items/MCH4J97W"],"itemData":{"id":113,"type":"article-journal","container-title":"African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Dorcas Chebet Juma, “The Theology of Music in African Spiritualities: A Post-COVID-19 Lens to Psalm 121 through Jerusalem,” </w:t>
      </w:r>
      <w:r w:rsidRPr="008559D1">
        <w:rPr>
          <w:rFonts w:ascii="Times New Roman" w:hAnsi="Times New Roman" w:cs="Times New Roman"/>
          <w:i/>
          <w:iCs/>
          <w:szCs w:val="24"/>
        </w:rPr>
        <w:t>African Theological Journal for Church and Society, Vol. 6, No. 1 Pp. 264-284</w:t>
      </w:r>
      <w:r w:rsidRPr="008559D1">
        <w:rPr>
          <w:rFonts w:ascii="Times New Roman" w:hAnsi="Times New Roman" w:cs="Times New Roman"/>
          <w:szCs w:val="24"/>
        </w:rPr>
        <w:t>, 2025.</w:t>
      </w:r>
      <w:r w:rsidRPr="008559D1">
        <w:rPr>
          <w:rFonts w:ascii="Times New Roman" w:hAnsi="Times New Roman" w:cs="Times New Roman"/>
        </w:rPr>
        <w:fldChar w:fldCharType="end"/>
      </w:r>
    </w:p>
  </w:footnote>
  <w:footnote w:id="4">
    <w:p w14:paraId="01FC1CA7" w14:textId="5F8AB865" w:rsidR="00883E68" w:rsidRPr="008559D1" w:rsidRDefault="00883E68" w:rsidP="00883E68">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1–29.","noteIndex":4},"citationItems":[{"id":"zIwcRjke/W2sX5n7N","uris":["http://zotero.org/users/local/kfAXQwMK/items/E5F79TVR"],"itemData":{"id":114,"type":"article-journal","container-title":"Hebrew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M. Justin Walker, “Historical Narrativity in the Song of the Sea (Exodus 15: 1-18) and the Throneroom Reliefs of Ashurnasirpal II,” </w:t>
      </w:r>
      <w:r w:rsidR="00A149B1" w:rsidRPr="00A149B1">
        <w:rPr>
          <w:rFonts w:ascii="Times New Roman" w:hAnsi="Times New Roman" w:cs="Times New Roman"/>
          <w:i/>
          <w:iCs/>
        </w:rPr>
        <w:t>Hebrew Bible and Ancient Israel</w:t>
      </w:r>
      <w:r w:rsidR="00A149B1" w:rsidRPr="00A149B1">
        <w:rPr>
          <w:rFonts w:ascii="Times New Roman" w:hAnsi="Times New Roman" w:cs="Times New Roman"/>
        </w:rPr>
        <w:t xml:space="preserve"> 13, no. 1 (2024): 1–29.</w:t>
      </w:r>
      <w:r w:rsidRPr="008559D1">
        <w:rPr>
          <w:rFonts w:ascii="Times New Roman" w:hAnsi="Times New Roman" w:cs="Times New Roman"/>
        </w:rPr>
        <w:fldChar w:fldCharType="end"/>
      </w:r>
    </w:p>
  </w:footnote>
  <w:footnote w:id="5">
    <w:p w14:paraId="3FE3E4A5" w14:textId="0FDF51FA" w:rsidR="00883E68" w:rsidRPr="008559D1" w:rsidRDefault="00883E68" w:rsidP="00883E68">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67–73.","noteIndex":5},"citationItems":[{"id":"zIwcRjke/HDzyAWYJ","uris":["http://zotero.org/users/local/kfAXQwMK/items/BK92J5EG"],"itemData":{"id":115,"type":"article-journal","container-title":"Journal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Philip Suciadi Chia and Juanda Juanda, “How Does Song of Moses in the Exodus 15: 8-14, Teach Education(LXX-Rahlfs),” </w:t>
      </w:r>
      <w:r w:rsidRPr="008559D1">
        <w:rPr>
          <w:rFonts w:ascii="Times New Roman" w:hAnsi="Times New Roman" w:cs="Times New Roman"/>
          <w:i/>
          <w:iCs/>
          <w:szCs w:val="24"/>
        </w:rPr>
        <w:t>Journal Didaskalia</w:t>
      </w:r>
      <w:r w:rsidRPr="008559D1">
        <w:rPr>
          <w:rFonts w:ascii="Times New Roman" w:hAnsi="Times New Roman" w:cs="Times New Roman"/>
          <w:szCs w:val="24"/>
        </w:rPr>
        <w:t xml:space="preserve"> 5, no. 2 (2022): 67–73.</w:t>
      </w:r>
      <w:r w:rsidRPr="008559D1">
        <w:rPr>
          <w:rFonts w:ascii="Times New Roman" w:hAnsi="Times New Roman" w:cs="Times New Roman"/>
        </w:rPr>
        <w:fldChar w:fldCharType="end"/>
      </w:r>
    </w:p>
  </w:footnote>
  <w:footnote w:id="6">
    <w:p w14:paraId="24C76DB4" w14:textId="1891D5A4" w:rsidR="00883E68" w:rsidRPr="008559D1" w:rsidRDefault="00883E68" w:rsidP="00883E68">
      <w:pPr>
        <w:pStyle w:val="FootnoteText"/>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(2023).","dontUpdate":true,"noteIndex":6},"citationItems":[{"id":"zIwcRjke/skxGgkdk","uris":["http://zotero.org/users/local/kfAXQwMK/items/U9UEBWGJ"],"itemData":{"id":116,"type":"article-journal","container-title":"the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8559D1">
        <w:rPr>
          <w:rFonts w:ascii="Times New Roman" w:hAnsi="Times New Roman" w:cs="Times New Roman"/>
          <w:i/>
          <w:iCs/>
          <w:szCs w:val="24"/>
        </w:rPr>
        <w:t>The World of Music (New Series)</w:t>
      </w:r>
      <w:r w:rsidRPr="008559D1">
        <w:rPr>
          <w:rFonts w:ascii="Times New Roman" w:hAnsi="Times New Roman" w:cs="Times New Roman"/>
          <w:szCs w:val="24"/>
        </w:rPr>
        <w:t xml:space="preserve"> 12, no. 2 (2023)</w:t>
      </w:r>
      <w:r w:rsidR="006C5D82" w:rsidRPr="008559D1">
        <w:rPr>
          <w:rFonts w:ascii="Times New Roman" w:hAnsi="Times New Roman" w:cs="Times New Roman"/>
          <w:szCs w:val="24"/>
        </w:rPr>
        <w:t xml:space="preserve"> 22</w:t>
      </w:r>
      <w:r w:rsidRPr="008559D1">
        <w:rPr>
          <w:rFonts w:ascii="Times New Roman" w:hAnsi="Times New Roman" w:cs="Times New Roman"/>
          <w:szCs w:val="24"/>
        </w:rPr>
        <w:t>.</w:t>
      </w:r>
      <w:r w:rsidRPr="008559D1">
        <w:rPr>
          <w:rFonts w:ascii="Times New Roman" w:hAnsi="Times New Roman" w:cs="Times New Roman"/>
        </w:rPr>
        <w:fldChar w:fldCharType="end"/>
      </w:r>
      <w:r w:rsidR="002A52B9" w:rsidRPr="008559D1">
        <w:rPr>
          <w:rFonts w:ascii="Times New Roman" w:hAnsi="Times New Roman" w:cs="Times New Roman"/>
        </w:rPr>
        <w:t xml:space="preserve"> </w:t>
      </w:r>
    </w:p>
  </w:footnote>
  <w:footnote w:id="7">
    <w:p w14:paraId="1B78D9B9" w14:textId="13DC419D" w:rsidR="005C72EE" w:rsidRPr="008559D1" w:rsidRDefault="005C72EE">
      <w:pPr>
        <w:pStyle w:val="FootnoteText"/>
        <w:rPr>
          <w:rFonts w:ascii="Times New Roman" w:hAnsi="Times New Roman" w:cs="Times New Roman"/>
        </w:rPr>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{"citationID":"umh9C2Tu","properties":{"formattedCitation":"Sitompul Aa, {\\i{}Metode Penafsiran Alkitab} (BPK Gunung Mulia, 2008).","plainCitation":"Sitompul Aa, Metode Penafsiran Alkitab (BPK Gunung Mulia, 2008).","dontUpdate":true,"noteIndex":7},"citationItems":[{"id":"zIwcRjke/yUZfbrDo","uris":["http://zotero.org/users/local/kfAXQwMK/items/Z6XAMFV6"],"itemData":{"id":143,"type":"book","ISBN":"979-415-556-X","publisher":"BPK Gunung Mulia","title":"Metode Penafsiran Alkitab","author":[{"family":"Aa","given":"Sitompul"}],"issued":{"date-parts":[["2008"]]}}}],"schema":"https://github.com/citation-style-language/schema/raw/master/csl-citation.json"}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Sitompul A, </w:t>
      </w:r>
      <w:r w:rsidRPr="008559D1">
        <w:rPr>
          <w:rFonts w:ascii="Times New Roman" w:hAnsi="Times New Roman" w:cs="Times New Roman"/>
          <w:i/>
          <w:iCs/>
          <w:szCs w:val="24"/>
        </w:rPr>
        <w:t>Metode Penafsiran Alkitab</w:t>
      </w:r>
      <w:r w:rsidRPr="008559D1">
        <w:rPr>
          <w:rFonts w:ascii="Times New Roman" w:hAnsi="Times New Roman" w:cs="Times New Roman"/>
          <w:szCs w:val="24"/>
        </w:rPr>
        <w:t xml:space="preserve"> (BPK Gunung Mulia, 2008), 27.</w:t>
      </w:r>
      <w:r w:rsidRPr="008559D1">
        <w:rPr>
          <w:rFonts w:ascii="Times New Roman" w:hAnsi="Times New Roman" w:cs="Times New Roman"/>
        </w:rPr>
        <w:fldChar w:fldCharType="end"/>
      </w:r>
    </w:p>
  </w:footnote>
  <w:footnote w:id="8">
    <w:p w14:paraId="67724EAD" w14:textId="1D2106FA" w:rsidR="005C72EE" w:rsidRPr="008559D1" w:rsidRDefault="005C72EE">
      <w:pPr>
        <w:pStyle w:val="FootnoteText"/>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{"citationID":"7Ax5iZ7V","properties":{"formattedCitation":"Emanuel Martasudjita, {\\i{}Liturgi: Pengantar Untuk Studi Dan Praksis Liturgi} (PT Kanisius, 2011).","plainCitation":"Emanuel Martasudjita, Liturgi: Pengantar Untuk Studi Dan Praksis Liturgi (PT Kanisius, 2011).","noteIndex":8},"citationItems":[{"id":"zIwcRjke/WuSVD6ss","uris":["http://zotero.org/users/local/kfAXQwMK/items/7J4BU7VF"],"itemData":{"id":144,"type":"book","ISBN":"979-21-4523-0","publisher":"PT Kanisius","title":"Liturgi: Pengantar untuk Studi dan Praksis Liturgi","author":[{"family":"Martasudjita","given":"Emanuel"}],"issued":{"date-parts":[["2011"]]}}}],"schema":"https://github.com/citation-style-language/schema/raw/master/csl-citation.json"}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Emanuel Martasudjita, </w:t>
      </w:r>
      <w:r w:rsidRPr="008559D1">
        <w:rPr>
          <w:rFonts w:ascii="Times New Roman" w:hAnsi="Times New Roman" w:cs="Times New Roman"/>
          <w:i/>
          <w:iCs/>
          <w:szCs w:val="24"/>
        </w:rPr>
        <w:t xml:space="preserve">Liturgi: Pengantar </w:t>
      </w:r>
      <w:r w:rsidR="00356B83">
        <w:rPr>
          <w:rFonts w:ascii="Times New Roman" w:hAnsi="Times New Roman" w:cs="Times New Roman"/>
          <w:i/>
          <w:iCs/>
          <w:szCs w:val="24"/>
        </w:rPr>
        <w:t>u</w:t>
      </w:r>
      <w:r w:rsidRPr="008559D1">
        <w:rPr>
          <w:rFonts w:ascii="Times New Roman" w:hAnsi="Times New Roman" w:cs="Times New Roman"/>
          <w:i/>
          <w:iCs/>
          <w:szCs w:val="24"/>
        </w:rPr>
        <w:t xml:space="preserve">ntuk Studi </w:t>
      </w:r>
      <w:r w:rsidR="00356B83">
        <w:rPr>
          <w:rFonts w:ascii="Times New Roman" w:hAnsi="Times New Roman" w:cs="Times New Roman"/>
          <w:i/>
          <w:iCs/>
          <w:szCs w:val="24"/>
        </w:rPr>
        <w:t>d</w:t>
      </w:r>
      <w:r w:rsidRPr="008559D1">
        <w:rPr>
          <w:rFonts w:ascii="Times New Roman" w:hAnsi="Times New Roman" w:cs="Times New Roman"/>
          <w:i/>
          <w:iCs/>
          <w:szCs w:val="24"/>
        </w:rPr>
        <w:t>an Praksis Liturgi</w:t>
      </w:r>
      <w:r w:rsidRPr="008559D1">
        <w:rPr>
          <w:rFonts w:ascii="Times New Roman" w:hAnsi="Times New Roman" w:cs="Times New Roman"/>
          <w:szCs w:val="24"/>
        </w:rPr>
        <w:t xml:space="preserve"> (PT Kanisius, 2011).</w:t>
      </w:r>
      <w:r w:rsidRPr="008559D1">
        <w:rPr>
          <w:rFonts w:ascii="Times New Roman" w:hAnsi="Times New Roman" w:cs="Times New Roman"/>
        </w:rPr>
        <w:fldChar w:fldCharType="end"/>
      </w:r>
    </w:p>
  </w:footnote>
  <w:footnote w:id="9">
    <w:p w14:paraId="4E157A04" w14:textId="2DDC5F41" w:rsidR="00EB1DEC" w:rsidRPr="008559D1" w:rsidRDefault="00EB1DEC">
      <w:pPr>
        <w:pStyle w:val="FootnoteText"/>
      </w:pPr>
      <w:r w:rsidRPr="008559D1">
        <w:rPr>
          <w:rStyle w:val="FootnoteReference"/>
        </w:rPr>
        <w:footnoteRef/>
      </w:r>
      <w:r w:rsidRPr="008559D1">
        <w:t xml:space="preserve"> </w:t>
      </w:r>
      <w:r w:rsidRPr="008559D1">
        <w:fldChar w:fldCharType="begin"/>
      </w:r>
      <w:r w:rsidR="00A149B1">
        <w:instrText xml:space="preserve"> ADDIN ZOTERO_ITEM CSL_CITATION {"citationID":"a1i6b1uf7kb","properties":{"formattedCitation":"Pamela Barmash, \\uc0\\u8220{}Through the Kaleidoscope of Literary Imagery in Exodus 15: Poetics and Historiography in Service to Religious Exuberance,\\uc0\\u8221{} {\\i{}Hebrew Studies} 58, no. 1 (2017): 145\\uc0\\u8211{}72.","plainCitation":"Pamela Barmash, “Through the Kaleidoscope of Literary Imagery in Exodus 15: Poetics and Historiography in Service to Religious Exuberance,” Hebrew Studies 58, no. 1 (2017): 145–72.","noteIndex":9},"citationItems":[{"id":6459,"uris":["http://zotero.org/users/7331749/items/IRJA9HH2"],"itemData":{"id":6459,"type":"article-journal","container-title":"Hebrew Studies","ISSN":"2158-1681","issue":"1","journalAbbreviation":"Hebrew Studies","page":"145-172","publisher":"National Association of Professors of Hebrew","title":"Through the Kaleidoscope of Literary Imagery in Exodus 15: Poetics and Historiography in Service to Religious Exuberance","volume":"58","author":[{"family":"Barmash","given":"Pamela"}],"issued":{"date-parts":[["2017"]]}}}],"schema":"https://github.com/citation-style-language/schema/raw/master/csl-citation.json"} </w:instrText>
      </w:r>
      <w:r w:rsidRPr="008559D1">
        <w:fldChar w:fldCharType="separate"/>
      </w:r>
      <w:r w:rsidR="00A149B1" w:rsidRPr="00A149B1">
        <w:rPr>
          <w:rFonts w:ascii="Calibri" w:hAnsi="Calibri" w:cs="Calibri"/>
        </w:rPr>
        <w:t xml:space="preserve">Pamela Barmash, “Through the Kaleidoscope of Literary Imagery in Exodus 15: Poetics and Historiography in Service to Religious Exuberance,” </w:t>
      </w:r>
      <w:r w:rsidR="00A149B1" w:rsidRPr="00A149B1">
        <w:rPr>
          <w:rFonts w:ascii="Calibri" w:hAnsi="Calibri" w:cs="Calibri"/>
          <w:i/>
          <w:iCs/>
        </w:rPr>
        <w:t>Hebrew Studies</w:t>
      </w:r>
      <w:r w:rsidR="00A149B1" w:rsidRPr="00A149B1">
        <w:rPr>
          <w:rFonts w:ascii="Calibri" w:hAnsi="Calibri" w:cs="Calibri"/>
        </w:rPr>
        <w:t xml:space="preserve"> 58, no. 1 (2017): 145–72.</w:t>
      </w:r>
      <w:r w:rsidRPr="008559D1">
        <w:fldChar w:fldCharType="end"/>
      </w:r>
    </w:p>
  </w:footnote>
  <w:footnote w:id="10">
    <w:p w14:paraId="3A5F90DE" w14:textId="496357F5" w:rsidR="008559D1" w:rsidRPr="00356B83" w:rsidRDefault="008559D1">
      <w:pPr>
        <w:pStyle w:val="FootnoteText"/>
        <w:rPr>
          <w:rFonts w:ascii="Times New Roman" w:hAnsi="Times New Roman" w:cs="Times New Roman"/>
        </w:rPr>
      </w:pPr>
      <w:r w:rsidRPr="00356B83">
        <w:rPr>
          <w:rStyle w:val="FootnoteReference"/>
          <w:rFonts w:ascii="Times New Roman" w:hAnsi="Times New Roman" w:cs="Times New Roman"/>
        </w:rPr>
        <w:footnoteRef/>
      </w:r>
      <w:r w:rsidRPr="00356B83">
        <w:rPr>
          <w:rFonts w:ascii="Times New Roman" w:hAnsi="Times New Roman" w:cs="Times New Roman"/>
        </w:rP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{"citationID":"ak5dptc1da","properties":{"formattedCitation":"Philip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67–73.","noteIndex":10},"citationItems":[{"id":6460,"uris":["http://zotero.org/users/7331749/items/CPEZC5CB"],"itemData":{"id":6460,"type":"article-journal","container-title":"Journal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Philip Suciadi Chia and Juanda Juanda, “How Does Song of Moses in the Exodus 15: 8-14, Teach Education(LXX-Rahlfs),” </w:t>
      </w:r>
      <w:r w:rsidR="00A149B1" w:rsidRPr="00356B83">
        <w:rPr>
          <w:rFonts w:ascii="Times New Roman" w:hAnsi="Times New Roman" w:cs="Times New Roman"/>
          <w:i/>
          <w:iCs/>
        </w:rPr>
        <w:t>Journal Didaskalia</w:t>
      </w:r>
      <w:r w:rsidR="00A149B1" w:rsidRPr="00356B83">
        <w:rPr>
          <w:rFonts w:ascii="Times New Roman" w:hAnsi="Times New Roman" w:cs="Times New Roman"/>
        </w:rPr>
        <w:t xml:space="preserve"> 5, no. 2 (2022): 67–73.</w:t>
      </w:r>
      <w:r w:rsidRPr="00356B83">
        <w:rPr>
          <w:rFonts w:ascii="Times New Roman" w:hAnsi="Times New Roman" w:cs="Times New Roman"/>
        </w:rPr>
        <w:fldChar w:fldCharType="end"/>
      </w:r>
    </w:p>
  </w:footnote>
  <w:footnote w:id="11">
    <w:p w14:paraId="753D2FC2" w14:textId="5B02B6BB"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28–38.","noteIndex":11},"citationItems":[{"id":"zIwcRjke/UN3Y1WYi","uris":["http://zotero.org/users/local/kfAXQwMK/items/L4M3279P"],"itemData":{"id":117,"type":"article-journal","container-title":"The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Walter Brueggemann, “Theology of the Old Testament: Testimony, Dispute, Advocacy Revisited,” </w:t>
      </w:r>
      <w:r w:rsidRPr="008559D1">
        <w:rPr>
          <w:rFonts w:ascii="Times New Roman" w:hAnsi="Times New Roman" w:cs="Times New Roman"/>
          <w:i/>
          <w:iCs/>
          <w:szCs w:val="24"/>
        </w:rPr>
        <w:t>The Catholic Biblical Quarterly</w:t>
      </w:r>
      <w:r w:rsidRPr="008559D1">
        <w:rPr>
          <w:rFonts w:ascii="Times New Roman" w:hAnsi="Times New Roman" w:cs="Times New Roman"/>
          <w:szCs w:val="24"/>
        </w:rPr>
        <w:t xml:space="preserve"> 74, no. 1 (2012): 28–38.</w:t>
      </w:r>
      <w:r w:rsidRPr="008559D1">
        <w:rPr>
          <w:rFonts w:ascii="Times New Roman" w:hAnsi="Times New Roman" w:cs="Times New Roman"/>
        </w:rPr>
        <w:fldChar w:fldCharType="end"/>
      </w:r>
    </w:p>
  </w:footnote>
  <w:footnote w:id="12">
    <w:p w14:paraId="4F4841AA" w14:textId="7D9BBEB0" w:rsidR="003A2E9E" w:rsidRPr="008559D1" w:rsidRDefault="003A2E9E">
      <w:pPr>
        <w:pStyle w:val="FootnoteText"/>
        <w:rPr>
          <w:rFonts w:ascii="Times New Roman" w:hAnsi="Times New Roman" w:cs="Times New Roman"/>
        </w:rPr>
      </w:pPr>
      <w:r w:rsidRPr="008559D1">
        <w:rPr>
          <w:rStyle w:val="FootnoteReference"/>
        </w:rPr>
        <w:footnoteRef/>
      </w:r>
      <w:r w:rsidR="00617C10"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{"citationID":"TzJyVOCF","properties":{"formattedCitation":"Vinus Zai et al., \\uc0\\u8220{}MISI ALLAH BERDASARKAN KITAB KELUARAN,\\uc0\\u8221{} {\\i{}THEOLOGIA INSANI: Jurnal Theologia, Pendidikan, Dan Misiologia Integratif} 4, no. 2 (2025): 93\\uc0\\u8211{}106.","plainCitation":"Vinus Zai et al., “MISI ALLAH BERDASARKAN KITAB KELUARAN,” THEOLOGIA INSANI: Jurnal Theologia, Pendidikan, Dan Misiologia Integratif 4, no. 2 (2025): 93–106.","dontUpdate":true,"noteIndex":12},"citationItems":[{"id":"zIwcRjke/JhURVnaL","uris":["http://zotero.org/users/local/kfAXQwMK/items/ZW9HRPTZ"],"itemData":{"id":145,"type":"article-journal","container-title":"THEOLOGIA INSANI: Jurnal Theologia, Pendidikan, dan Misiologia Integratif","ISSN":"2810-0778","issue":"2","journalAbbreviation":"THEOLOGIA INSANI: Jurnal Theologia, Pendidikan, dan Misiologia Integratif","page":"93-106","title":"MISI ALLAH BERDASARKAN KITAB KELUARAN","volume":"4","author":[{"family":"Zai","given":"Vinus"},{"family":"Zalukhu","given":"Daniel"},{"family":"Dewanto","given":"Yohanes"}],"issued":{"date-parts":[["2025"]]}}}],"schema":"https://github.com/citation-style-language/schema/raw/master/csl-citation.json"} </w:instrText>
      </w:r>
      <w:r w:rsidRPr="008559D1">
        <w:rPr>
          <w:rFonts w:ascii="Times New Roman" w:hAnsi="Times New Roman" w:cs="Times New Roman"/>
        </w:rPr>
        <w:fldChar w:fldCharType="separate"/>
      </w:r>
      <w:r w:rsidR="00617C10" w:rsidRPr="008559D1">
        <w:rPr>
          <w:rFonts w:ascii="Times New Roman" w:hAnsi="Times New Roman" w:cs="Times New Roman"/>
          <w:szCs w:val="24"/>
        </w:rPr>
        <w:t xml:space="preserve">Vinus Zai Et Al., “Misi Allah Berdasarkan Kitab Keluaran,” </w:t>
      </w:r>
      <w:r w:rsidR="00617C10" w:rsidRPr="008559D1">
        <w:rPr>
          <w:rFonts w:ascii="Times New Roman" w:hAnsi="Times New Roman" w:cs="Times New Roman"/>
          <w:i/>
          <w:iCs/>
          <w:szCs w:val="24"/>
        </w:rPr>
        <w:t>Theologia Insani: Jurnal Theologia, Pendidikan, Dan Misiologia Integratif</w:t>
      </w:r>
      <w:r w:rsidR="00617C10" w:rsidRPr="008559D1">
        <w:rPr>
          <w:rFonts w:ascii="Times New Roman" w:hAnsi="Times New Roman" w:cs="Times New Roman"/>
          <w:szCs w:val="24"/>
        </w:rPr>
        <w:t xml:space="preserve"> 4, No. 2 (2025): 93–106.</w:t>
      </w:r>
      <w:r w:rsidRPr="008559D1">
        <w:rPr>
          <w:rFonts w:ascii="Times New Roman" w:hAnsi="Times New Roman" w:cs="Times New Roman"/>
        </w:rPr>
        <w:fldChar w:fldCharType="end"/>
      </w:r>
    </w:p>
  </w:footnote>
  <w:footnote w:id="13">
    <w:p w14:paraId="486E3DFC" w14:textId="493468F5" w:rsidR="0085223B" w:rsidRPr="00356B83" w:rsidRDefault="0085223B">
      <w:pPr>
        <w:pStyle w:val="FootnoteText"/>
        <w:rPr>
          <w:rFonts w:ascii="Times New Roman" w:hAnsi="Times New Roman" w:cs="Times New Roman"/>
        </w:rPr>
      </w:pPr>
      <w:r>
        <w:rPr>
          <w:rStyle w:val="FootnoteReference"/>
        </w:rPr>
        <w:footnoteRef/>
      </w:r>
      <w: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{"citationID":"agbdk5jv7t","properties":{"formattedCitation":"Janes Sinaga et al., \\uc0\\u8220{}Bukti Penyertaan Tuhan Melalui Perjalanan Bangsa Israel Menyeberangi Laut Teberau Berdasarkan Keluaran 13: 17\\uc0\\u8211{}14: 1-31,\\uc0\\u8221{} {\\i{}Logos}, 2022, 143\\uc0\\u8211{}52.","plainCitation":"Janes Sinaga et al., “Bukti Penyertaan Tuhan Melalui Perjalanan Bangsa Israel Menyeberangi Laut Teberau Berdasarkan Keluaran 13: 17–14: 1-31,” Logos, 2022, 143–52.","noteIndex":13},"citationItems":[{"id":6463,"uris":["http://zotero.org/users/7331749/items/CX62YJA8"],"itemData":{"id":6463,"type":"article-journal","container-title":"Logos","ISSN":"2776-7485","journalAbbreviation":"Logos","page":"143-152","title":"Bukti Penyertaan Tuhan Melalui Perjalanan Bangsa Israel Menyeberangi Laut Teberau Berdasarkan Keluaran 13: 17–14: 1-31","author":[{"family":"Sinaga","given":"Janes"},{"family":"Kurniawan","given":"Raden Deddy"},{"family":"Sinambela","given":"Juita Lusiana"}],"issued":{"date-parts":[["2022"]]}}}],"schema":"https://github.com/citation-style-language/schema/raw/master/csl-citation.json"}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Janes Sinaga et al., “Bukti Penyertaan Tuhan Melalui Perjalanan Bangsa Israel Menyeberangi Laut Teberau Berdasarkan Keluaran 13: 17–14: 1-31,” </w:t>
      </w:r>
      <w:r w:rsidR="00A149B1" w:rsidRPr="00356B83">
        <w:rPr>
          <w:rFonts w:ascii="Times New Roman" w:hAnsi="Times New Roman" w:cs="Times New Roman"/>
          <w:i/>
          <w:iCs/>
        </w:rPr>
        <w:t>Logos</w:t>
      </w:r>
      <w:r w:rsidR="00A149B1" w:rsidRPr="00356B83">
        <w:rPr>
          <w:rFonts w:ascii="Times New Roman" w:hAnsi="Times New Roman" w:cs="Times New Roman"/>
        </w:rPr>
        <w:t>, 2022, 143–52.</w:t>
      </w:r>
      <w:r w:rsidRPr="00356B83">
        <w:rPr>
          <w:rFonts w:ascii="Times New Roman" w:hAnsi="Times New Roman" w:cs="Times New Roman"/>
        </w:rPr>
        <w:fldChar w:fldCharType="end"/>
      </w:r>
    </w:p>
  </w:footnote>
  <w:footnote w:id="14">
    <w:p w14:paraId="3676CC57" w14:textId="40CA7CC2" w:rsidR="0085223B" w:rsidRPr="00356B83" w:rsidRDefault="0085223B">
      <w:pPr>
        <w:pStyle w:val="FootnoteText"/>
        <w:rPr>
          <w:rFonts w:ascii="Times New Roman" w:hAnsi="Times New Roman" w:cs="Times New Roman"/>
        </w:rPr>
      </w:pPr>
      <w:r w:rsidRPr="00356B83">
        <w:rPr>
          <w:rStyle w:val="FootnoteReference"/>
          <w:rFonts w:ascii="Times New Roman" w:hAnsi="Times New Roman" w:cs="Times New Roman"/>
        </w:rPr>
        <w:footnoteRef/>
      </w:r>
      <w:r w:rsidRPr="00356B83">
        <w:rPr>
          <w:rFonts w:ascii="Times New Roman" w:hAnsi="Times New Roman" w:cs="Times New Roman"/>
        </w:rPr>
        <w:t xml:space="preserve"> </w:t>
      </w:r>
      <w:r w:rsidRPr="00356B83">
        <w:rPr>
          <w:rFonts w:ascii="Times New Roman" w:hAnsi="Times New Roman" w:cs="Times New Roman"/>
        </w:rPr>
        <w:fldChar w:fldCharType="begin"/>
      </w:r>
      <w:r w:rsidR="00A149B1" w:rsidRPr="00356B83">
        <w:rPr>
          <w:rFonts w:ascii="Times New Roman" w:hAnsi="Times New Roman" w:cs="Times New Roman"/>
        </w:rPr>
        <w:instrText xml:space="preserve"> ADDIN ZOTERO_ITEM CSL_CITATION {"citationID":"a2gop6emfqs","properties":{"formattedCitation":"James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463–74.","noteIndex":14},"citationItems":[{"id":6462,"uris":["http://zotero.org/users/7331749/items/R7UCGUL5"],"itemData":{"id":6462,"type":"article-journal","container-title":"Journal of the Evangelical Theological Society","ISSN":"0360-8808","issue":"3","journalAbbreviation":"Journal of the Evangelical Theological Society","page":"463-474","publisher":"Evangelical Theological Society","title":"AUTHOR-INTENDED TYPOLOGY IN THE CHIASTIC STRUCTURE OF THE SONG OF THE SEA (EXODUS 15: 1–21)","volume":"67","author":[{"family":"Hamilton Jr","given":"James M"}],"issued":{"date-parts":[["2024"]]}}}],"schema":"https://github.com/citation-style-language/schema/raw/master/csl-citation.json"} </w:instrText>
      </w:r>
      <w:r w:rsidRPr="00356B83">
        <w:rPr>
          <w:rFonts w:ascii="Times New Roman" w:hAnsi="Times New Roman" w:cs="Times New Roman"/>
        </w:rPr>
        <w:fldChar w:fldCharType="separate"/>
      </w:r>
      <w:r w:rsidR="00A149B1" w:rsidRPr="00356B83">
        <w:rPr>
          <w:rFonts w:ascii="Times New Roman" w:hAnsi="Times New Roman" w:cs="Times New Roman"/>
        </w:rPr>
        <w:t xml:space="preserve">James M. Hamilton Jr, </w:t>
      </w:r>
      <w:r w:rsidR="00356B83" w:rsidRPr="00356B83">
        <w:rPr>
          <w:rFonts w:ascii="Times New Roman" w:hAnsi="Times New Roman" w:cs="Times New Roman"/>
        </w:rPr>
        <w:t xml:space="preserve">“Author-Intended Typology </w:t>
      </w:r>
      <w:r w:rsidR="00356B83">
        <w:rPr>
          <w:rFonts w:ascii="Times New Roman" w:hAnsi="Times New Roman" w:cs="Times New Roman"/>
        </w:rPr>
        <w:t>i</w:t>
      </w:r>
      <w:r w:rsidR="00356B83" w:rsidRPr="00356B83">
        <w:rPr>
          <w:rFonts w:ascii="Times New Roman" w:hAnsi="Times New Roman" w:cs="Times New Roman"/>
        </w:rPr>
        <w:t xml:space="preserve">n </w:t>
      </w:r>
      <w:r w:rsidR="00356B83">
        <w:rPr>
          <w:rFonts w:ascii="Times New Roman" w:hAnsi="Times New Roman" w:cs="Times New Roman"/>
        </w:rPr>
        <w:t>t</w:t>
      </w:r>
      <w:r w:rsidR="00356B83" w:rsidRPr="00356B83">
        <w:rPr>
          <w:rFonts w:ascii="Times New Roman" w:hAnsi="Times New Roman" w:cs="Times New Roman"/>
        </w:rPr>
        <w:t xml:space="preserve">he Chiastic Structure </w:t>
      </w:r>
      <w:r w:rsidR="00356B83">
        <w:rPr>
          <w:rFonts w:ascii="Times New Roman" w:hAnsi="Times New Roman" w:cs="Times New Roman"/>
        </w:rPr>
        <w:t>o</w:t>
      </w:r>
      <w:r w:rsidR="00356B83" w:rsidRPr="00356B83">
        <w:rPr>
          <w:rFonts w:ascii="Times New Roman" w:hAnsi="Times New Roman" w:cs="Times New Roman"/>
        </w:rPr>
        <w:t xml:space="preserve">f </w:t>
      </w:r>
      <w:r w:rsidR="00356B83">
        <w:rPr>
          <w:rFonts w:ascii="Times New Roman" w:hAnsi="Times New Roman" w:cs="Times New Roman"/>
        </w:rPr>
        <w:t>t</w:t>
      </w:r>
      <w:r w:rsidR="00356B83" w:rsidRPr="00356B83">
        <w:rPr>
          <w:rFonts w:ascii="Times New Roman" w:hAnsi="Times New Roman" w:cs="Times New Roman"/>
        </w:rPr>
        <w:t xml:space="preserve">he Song </w:t>
      </w:r>
      <w:r w:rsidR="00356B83">
        <w:rPr>
          <w:rFonts w:ascii="Times New Roman" w:hAnsi="Times New Roman" w:cs="Times New Roman"/>
        </w:rPr>
        <w:t>o</w:t>
      </w:r>
      <w:r w:rsidR="00356B83" w:rsidRPr="00356B83">
        <w:rPr>
          <w:rFonts w:ascii="Times New Roman" w:hAnsi="Times New Roman" w:cs="Times New Roman"/>
        </w:rPr>
        <w:t xml:space="preserve">f </w:t>
      </w:r>
      <w:r w:rsidR="00356B83">
        <w:rPr>
          <w:rFonts w:ascii="Times New Roman" w:hAnsi="Times New Roman" w:cs="Times New Roman"/>
        </w:rPr>
        <w:t>t</w:t>
      </w:r>
      <w:r w:rsidR="00356B83" w:rsidRPr="00356B83">
        <w:rPr>
          <w:rFonts w:ascii="Times New Roman" w:hAnsi="Times New Roman" w:cs="Times New Roman"/>
        </w:rPr>
        <w:t>he Sea (Exodus 15: 1–21),</w:t>
      </w:r>
      <w:r w:rsidR="00A149B1" w:rsidRPr="00356B83">
        <w:rPr>
          <w:rFonts w:ascii="Times New Roman" w:hAnsi="Times New Roman" w:cs="Times New Roman"/>
        </w:rPr>
        <w:t xml:space="preserve">” </w:t>
      </w:r>
      <w:r w:rsidR="00A149B1" w:rsidRPr="00356B83">
        <w:rPr>
          <w:rFonts w:ascii="Times New Roman" w:hAnsi="Times New Roman" w:cs="Times New Roman"/>
          <w:i/>
          <w:iCs/>
        </w:rPr>
        <w:t>Journal of the Evangelical Theological Society</w:t>
      </w:r>
      <w:r w:rsidR="00A149B1" w:rsidRPr="00356B83">
        <w:rPr>
          <w:rFonts w:ascii="Times New Roman" w:hAnsi="Times New Roman" w:cs="Times New Roman"/>
        </w:rPr>
        <w:t xml:space="preserve"> 67, no. 3 (2024): 463–74.</w:t>
      </w:r>
      <w:r w:rsidRPr="00356B83">
        <w:rPr>
          <w:rFonts w:ascii="Times New Roman" w:hAnsi="Times New Roman" w:cs="Times New Roman"/>
        </w:rPr>
        <w:fldChar w:fldCharType="end"/>
      </w:r>
    </w:p>
  </w:footnote>
  <w:footnote w:id="15">
    <w:p w14:paraId="0D61F2A6" w14:textId="40C78345" w:rsidR="002F3114" w:rsidRPr="008559D1" w:rsidRDefault="002F3114">
      <w:pPr>
        <w:pStyle w:val="FootnoteText"/>
        <w:rPr>
          <w:rFonts w:ascii="Times New Roman" w:hAnsi="Times New Roman" w:cs="Times New Roman"/>
        </w:rPr>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{"citationID":"a1c36lbkfc8","properties":{"formattedCitation":"Chia and Juanda, \\uc0\\u8220{}How Does Song of Moses in the Exodus 15: 8-14, Teach Education?(LXX-Rahlfs),\\uc0\\u8221{} 2022.","plainCitation":"Chia and Juanda, “How Does Song of Moses in the Exodus 15: 8-14, Teach Education?(LXX-Rahlfs),” 2022.","noteIndex":15},"citationItems":[{"id":"zIwcRjke/HDzyAWYJ","uris":["http://zotero.org/users/local/kfAXQwMK/items/BK92J5EG"],"itemData":{"id":115,"type":"article-journal","container-title":"Journal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Chia and Juanda, “How Does Song of Moses in the Exodus 15: 8-14, Teach Education?(LXX-Rahlfs),” 2022.</w:t>
      </w:r>
      <w:r w:rsidRPr="008559D1">
        <w:rPr>
          <w:rFonts w:ascii="Times New Roman" w:hAnsi="Times New Roman" w:cs="Times New Roman"/>
        </w:rPr>
        <w:fldChar w:fldCharType="end"/>
      </w:r>
    </w:p>
  </w:footnote>
  <w:footnote w:id="16">
    <w:p w14:paraId="56B202BC" w14:textId="46EC7965" w:rsidR="00463070" w:rsidRPr="008559D1" w:rsidRDefault="00463070">
      <w:pPr>
        <w:pStyle w:val="FootnoteText"/>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{"citationID":"a21mrs8sd4k","properties":{"formattedCitation":"Collium Banda, \\uc0\\u8220{}Whatever Happened to God\\uc0\\u8217{}s Holiness? The Holiness of God and the Theological Authenticity of the South African Neo-Pentecostal Prophetic Activities,\\uc0\\u8221{} {\\i{}Verbum et Ecclesia} 42, no. 1 (2021): 1\\uc0\\u8211{}10.","plainCitation":"Collium Banda, “Whatever Happened to God’s Holiness? The Holiness of God and the Theological Authenticity of the South African Neo-Pentecostal Prophetic Activities,” Verbum et Ecclesia 42, no. 1 (2021): 1–10.","noteIndex":16},"citationItems":[{"id":"zIwcRjke/17M47HBP","uris":["http://zotero.org/users/local/kfAXQwMK/items/Y7XBFPCC"],"itemData":{"id":150,"type":"article-journal","container-title":"Verbum et Ecclesia","ISSN":"2074-7705","issue":"1","journalAbbreviation":"Verbum et Ecclesia","note":"publisher: AOSIS Publishing","page":"1-10","title":"Whatever happened to God's holiness? The holiness of God and the theological authenticity of the South African neo-Pentecostal prophetic activities","volume":"42","author":[{"family":"Banda","given":"Collium"}],"issued":{"date-parts":[["2021"]]}}}],"schema":"https://github.com/citation-style-language/schema/raw/master/csl-citation.json"}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Collium Banda, “Whatever Happened to God’s Holiness? The Holiness of God and the Theological Authenticity of the South African Neo-Pentecostal Prophetic Activities,” </w:t>
      </w:r>
      <w:r w:rsidR="006A238E" w:rsidRPr="008559D1">
        <w:rPr>
          <w:rFonts w:ascii="Times New Roman" w:hAnsi="Times New Roman" w:cs="Times New Roman"/>
          <w:i/>
          <w:iCs/>
          <w:szCs w:val="24"/>
        </w:rPr>
        <w:t>Verbum et Ecclesia</w:t>
      </w:r>
      <w:r w:rsidR="006A238E" w:rsidRPr="008559D1">
        <w:rPr>
          <w:rFonts w:ascii="Times New Roman" w:hAnsi="Times New Roman" w:cs="Times New Roman"/>
          <w:szCs w:val="24"/>
        </w:rPr>
        <w:t xml:space="preserve"> 42, no. 1 (2021): 1–10.</w:t>
      </w:r>
      <w:r w:rsidRPr="008559D1">
        <w:rPr>
          <w:rFonts w:ascii="Times New Roman" w:hAnsi="Times New Roman" w:cs="Times New Roman"/>
        </w:rPr>
        <w:fldChar w:fldCharType="end"/>
      </w:r>
    </w:p>
  </w:footnote>
  <w:footnote w:id="17">
    <w:p w14:paraId="56705154" w14:textId="136CB93D" w:rsidR="0041226C" w:rsidRPr="008559D1" w:rsidRDefault="0041226C">
      <w:pPr>
        <w:pStyle w:val="FootnoteText"/>
        <w:rPr>
          <w:rFonts w:ascii="Times New Roman" w:hAnsi="Times New Roman" w:cs="Times New Roman"/>
        </w:rPr>
      </w:pPr>
      <w:r w:rsidRPr="008559D1">
        <w:rPr>
          <w:rStyle w:val="FootnoteReference"/>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{"citationID":"a1r58u6p2n4","properties":{"formattedCitation":"Rabbi Yonatan Neril and Rabbi Leo Dee, \\uc0\\u8220{}Eco Bible, Vol. 1: An Ecological Commentary on Genesis and Exodus,\\uc0\\u8221{} {\\i{}Norderstedt: The Interfaith Center for Sustainable Development}, 2020.","plainCitation":"Rabbi Yonatan Neril and Rabbi Leo Dee, “Eco Bible, Vol. 1: An Ecological Commentary on Genesis and Exodus,” Norderstedt: The Interfaith Center for Sustainable Development, 2020.","noteIndex":17},"citationItems":[{"id":"zIwcRjke/r2pH1rBT","uris":["http://zotero.org/users/local/kfAXQwMK/items/JQ9FXHT5"],"itemData":{"id":152,"type":"article-journal","container-title":"Norderstedt: The Interfaith Center for Sustainable Development","journalAbbreviation":"Norderstedt: The Interfaith Center for Sustainable Development","title":"Eco Bible, Vol. 1: An Ecological Commentary on Genesis and Exodus","author":[{"family":"Neril","given":"Rabbi Yonatan"},{"family":"Dee","given":"Rabbi Leo"}],"issued":{"date-parts":[["2020"]]}}}],"schema":"https://github.com/citation-style-language/schema/raw/master/csl-citation.json"}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Rabbi Yonatan Neril and Rabbi Leo Dee, “Eco Bible, Vol. 1: An Ecological Commentary on Genesis and Exodus,” </w:t>
      </w:r>
      <w:r w:rsidR="006A238E" w:rsidRPr="008559D1">
        <w:rPr>
          <w:rFonts w:ascii="Times New Roman" w:hAnsi="Times New Roman" w:cs="Times New Roman"/>
          <w:i/>
          <w:iCs/>
          <w:szCs w:val="24"/>
        </w:rPr>
        <w:t>Norderstedt: The Interfaith Center for Sustainable Development</w:t>
      </w:r>
      <w:r w:rsidR="006A238E" w:rsidRPr="008559D1">
        <w:rPr>
          <w:rFonts w:ascii="Times New Roman" w:hAnsi="Times New Roman" w:cs="Times New Roman"/>
          <w:szCs w:val="24"/>
        </w:rPr>
        <w:t>, 2020.</w:t>
      </w:r>
      <w:r w:rsidRPr="008559D1">
        <w:rPr>
          <w:rFonts w:ascii="Times New Roman" w:hAnsi="Times New Roman" w:cs="Times New Roman"/>
        </w:rPr>
        <w:fldChar w:fldCharType="end"/>
      </w:r>
    </w:p>
  </w:footnote>
  <w:footnote w:id="18">
    <w:p w14:paraId="7BCB0DBE" w14:textId="3E7A2D3E"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{"citationID":"UYWDbkil","properties":{"formattedCitation":"Terence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1991.","noteIndex":18},"citationItems":[{"id":"zIwcRjke/xUrVxoNM","uris":["http://zotero.org/users/local/kfAXQwMK/items/7IWT3GS7"],"itemData":{"id":119,"type":"article-journal","container-title":"Louisville,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Terence E. Fretheim, “Exodus: Interpretation, A Bible Commentary for Teaching and Preaching,” </w:t>
      </w:r>
      <w:r w:rsidR="00A149B1" w:rsidRPr="00A149B1">
        <w:rPr>
          <w:rFonts w:ascii="Times New Roman" w:hAnsi="Times New Roman" w:cs="Times New Roman"/>
          <w:i/>
          <w:iCs/>
        </w:rPr>
        <w:t>Louisville, Ky.: Knox, Publication</w:t>
      </w:r>
      <w:r w:rsidR="00A149B1" w:rsidRPr="00A149B1">
        <w:rPr>
          <w:rFonts w:ascii="Times New Roman" w:hAnsi="Times New Roman" w:cs="Times New Roman"/>
        </w:rPr>
        <w:t>, 1991.</w:t>
      </w:r>
      <w:r w:rsidRPr="008559D1">
        <w:rPr>
          <w:rFonts w:ascii="Times New Roman" w:hAnsi="Times New Roman" w:cs="Times New Roman"/>
        </w:rPr>
        <w:fldChar w:fldCharType="end"/>
      </w:r>
    </w:p>
  </w:footnote>
  <w:footnote w:id="19">
    <w:p w14:paraId="078A247E" w14:textId="5F55AAE9" w:rsidR="00DC1DDC" w:rsidRPr="008559D1" w:rsidRDefault="00DC1DDC">
      <w:pPr>
        <w:pStyle w:val="FootnoteText"/>
        <w:rPr>
          <w:rFonts w:ascii="Times New Roman" w:hAnsi="Times New Roman" w:cs="Times New Roman"/>
        </w:rPr>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{"citationID":"a32b5l56ag","properties":{"formattedCitation":"\\uldash{Victor P Hamilton, {\\i{}Exodus: An Exegetical Commentary} (Baker Academic, 2011).}","plainCitation":"Victor P Hamilton, Exodus: An Exegetical Commentary (Baker Academic, 2011).","dontUpdate":true,"noteIndex":19},"citationItems":[{"id":"zIwcRjke/rAfJLI67","uris":["http://zotero.org/users/local/kfAXQwMK/items/5MVFKC44"],"itemData":{"id":153,"type":"book","ISBN":"0-8010-3183-4","publisher":"Baker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 252.</w:t>
      </w:r>
      <w:r w:rsidRPr="008559D1">
        <w:rPr>
          <w:rFonts w:ascii="Times New Roman" w:hAnsi="Times New Roman" w:cs="Times New Roman"/>
        </w:rPr>
        <w:fldChar w:fldCharType="end"/>
      </w:r>
    </w:p>
  </w:footnote>
  <w:footnote w:id="20">
    <w:p w14:paraId="53E3075B" w14:textId="0D5FBBC2" w:rsidR="00E33216" w:rsidRPr="008559D1" w:rsidRDefault="00E33216">
      <w:pPr>
        <w:pStyle w:val="FootnoteText"/>
        <w:rPr>
          <w:rFonts w:ascii="Times New Roman" w:hAnsi="Times New Roman" w:cs="Times New Roman"/>
        </w:rPr>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{"citationID":"a1uq1u99a5","properties":{"formattedCitation":"\\uldash{Christopher JH Wright, {\\i{}Exodus} (Zondervan Academic, 2021).}","plainCitation":"Christopher JH Wright, Exodus (Zondervan Academic, 2021).","dontUpdate":true,"noteIndex":20},"citationItems":[{"id":"zIwcRjke/l30LmyT2","uris":["http://zotero.org/users/local/kfAXQwMK/items/XCFX63SV"],"itemData":{"id":155,"type":"book","ISBN":"0-310-49071-5","publisher":"Zondervan Academic","title":"Exodus","author":[{"family":"Wright","given":"Christopher JH"}],"issued":{"date-parts":[["2021"]]}}}],"schema":"https://github.com/citation-style-language/schema/raw/master/csl-citation.json"}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Christopher JH Wright, </w:t>
      </w:r>
      <w:r w:rsidRPr="008559D1">
        <w:rPr>
          <w:rFonts w:ascii="Times New Roman" w:hAnsi="Times New Roman" w:cs="Times New Roman"/>
          <w:i/>
          <w:iCs/>
          <w:szCs w:val="24"/>
        </w:rPr>
        <w:t>Exodus</w:t>
      </w:r>
      <w:r w:rsidRPr="008559D1">
        <w:rPr>
          <w:rFonts w:ascii="Times New Roman" w:hAnsi="Times New Roman" w:cs="Times New Roman"/>
          <w:szCs w:val="24"/>
        </w:rPr>
        <w:t xml:space="preserve"> (Zondervan Academic, 2021), 296.</w:t>
      </w:r>
      <w:r w:rsidRPr="008559D1">
        <w:rPr>
          <w:rFonts w:ascii="Times New Roman" w:hAnsi="Times New Roman" w:cs="Times New Roman"/>
        </w:rPr>
        <w:fldChar w:fldCharType="end"/>
      </w:r>
    </w:p>
  </w:footnote>
  <w:footnote w:id="21">
    <w:p w14:paraId="66693A21" w14:textId="276F9054" w:rsidR="00E33216" w:rsidRPr="008559D1" w:rsidRDefault="00E33216">
      <w:pPr>
        <w:pStyle w:val="FootnoteText"/>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{"citationID":"a1d44t8k5hh","properties":{"formattedCitation":"\\uldash{Victor P Hamilton, {\\i{}Exodus: An Exegetical Commentary} (Baker Academic, 2011).}","plainCitation":"Victor P Hamilton, Exodus: An Exegetical Commentary (Baker Academic, 2011).","dontUpdate":true,"noteIndex":21},"citationItems":[{"id":"zIwcRjke/rAfJLI67","uris":["http://zotero.org/users/local/kfAXQwMK/items/5MVFKC44"],"itemData":{"id":153,"type":"book","ISBN":"0-8010-3183-4","publisher":"Baker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w:t>
      </w:r>
      <w:r w:rsidR="006A238E" w:rsidRPr="008559D1">
        <w:rPr>
          <w:rFonts w:ascii="Times New Roman" w:hAnsi="Times New Roman" w:cs="Times New Roman"/>
          <w:szCs w:val="24"/>
        </w:rPr>
        <w:t>, 264</w:t>
      </w:r>
      <w:r w:rsidRPr="008559D1">
        <w:rPr>
          <w:rFonts w:ascii="Times New Roman" w:hAnsi="Times New Roman" w:cs="Times New Roman"/>
          <w:szCs w:val="24"/>
        </w:rPr>
        <w:t>.</w:t>
      </w:r>
      <w:r w:rsidRPr="008559D1">
        <w:rPr>
          <w:rFonts w:ascii="Times New Roman" w:hAnsi="Times New Roman" w:cs="Times New Roman"/>
        </w:rPr>
        <w:fldChar w:fldCharType="end"/>
      </w:r>
    </w:p>
  </w:footnote>
  <w:footnote w:id="22">
    <w:p w14:paraId="00A182D0" w14:textId="67D45FA4" w:rsidR="00E33216" w:rsidRPr="008559D1" w:rsidRDefault="00E33216">
      <w:pPr>
        <w:pStyle w:val="FootnoteText"/>
      </w:pPr>
      <w:r w:rsidRPr="008559D1">
        <w:rPr>
          <w:rStyle w:val="FootnoteReference"/>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{"citationID":"a1ru7cd1npl","properties":{"formattedCitation":"Hamilton, {\\i{}Exodus: An Exegetical Commentary}.","plainCitation":"Hamilton, Exodus: An Exegetical Commentary.","noteIndex":22},"citationItems":[{"id":"zIwcRjke/rAfJLI67","uris":["http://zotero.org/users/local/kfAXQwMK/items/5MVFKC44"],"itemData":{"id":153,"type":"book","ISBN":"0-8010-3183-4","publisher":"Baker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Hamilton, </w:t>
      </w:r>
      <w:r w:rsidR="006A238E" w:rsidRPr="008559D1">
        <w:rPr>
          <w:rFonts w:ascii="Times New Roman" w:hAnsi="Times New Roman" w:cs="Times New Roman"/>
          <w:i/>
          <w:iCs/>
          <w:szCs w:val="24"/>
        </w:rPr>
        <w:t>Exodus: An Exegetical Commentary</w:t>
      </w:r>
      <w:r w:rsidR="006A238E" w:rsidRPr="008559D1">
        <w:rPr>
          <w:rFonts w:ascii="Times New Roman" w:hAnsi="Times New Roman" w:cs="Times New Roman"/>
          <w:szCs w:val="24"/>
        </w:rPr>
        <w:t>.</w:t>
      </w:r>
      <w:r w:rsidRPr="008559D1">
        <w:rPr>
          <w:rFonts w:ascii="Times New Roman" w:hAnsi="Times New Roman" w:cs="Times New Roman"/>
        </w:rPr>
        <w:fldChar w:fldCharType="end"/>
      </w:r>
    </w:p>
  </w:footnote>
  <w:footnote w:id="23">
    <w:p w14:paraId="7DF49B0E" w14:textId="35F2975A"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Preaching.”","noteIndex":23},"citationItems":[{"id":"zIwcRjke/xUrVxoNM","uris":["http://zotero.org/users/local/kfAXQwMK/items/7IWT3GS7"],"itemData":{"id":119,"type":"article-journal","container-title":"Louisville,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Fretheim, “Exodus: Interpretation, A Bible Commentary for Teaching and Preaching.”</w:t>
      </w:r>
      <w:r w:rsidRPr="008559D1">
        <w:rPr>
          <w:rFonts w:ascii="Times New Roman" w:hAnsi="Times New Roman" w:cs="Times New Roman"/>
        </w:rPr>
        <w:fldChar w:fldCharType="end"/>
      </w:r>
    </w:p>
  </w:footnote>
  <w:footnote w:id="24">
    <w:p w14:paraId="61195276" w14:textId="5640B14C" w:rsidR="00690151" w:rsidRPr="008559D1" w:rsidRDefault="00690151">
      <w:pPr>
        <w:pStyle w:val="FootnoteText"/>
      </w:pPr>
      <w:r w:rsidRPr="008559D1">
        <w:rPr>
          <w:rStyle w:val="FootnoteReference"/>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{"citationID":"a2e46c1qk8b","properties":{"formattedCitation":"Krisna Firnando et al., \\uc0\\u8220{}Pemilihan Jenis Musik Dalam Peribadatan Kristen,\\uc0\\u8221{} {\\i{}Clef: Jurnal Musik Dan Pendidikan Musik} 1, no. 2 (2020): 56\\uc0\\u8211{}66.","plainCitation":"Krisna Firnando et al., “Pemilihan Jenis Musik Dalam Peribadatan Kristen,” Clef: Jurnal Musik Dan Pendidikan Musik 1, no. 2 (2020): 56–66.","noteIndex":24},"citationItems":[{"id":"zIwcRjke/fHtqvDWW","uris":["http://zotero.org/users/local/kfAXQwMK/items/MKYLSMS4"],"itemData":{"id":146,"type":"article-journal","container-title":"Clef: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Krisna Firnando et al., “Pemilihan Jenis Musik Dalam Peribadatan Kristen,” </w:t>
      </w:r>
      <w:r w:rsidR="006A238E" w:rsidRPr="008559D1">
        <w:rPr>
          <w:rFonts w:ascii="Times New Roman" w:hAnsi="Times New Roman" w:cs="Times New Roman"/>
          <w:i/>
          <w:iCs/>
          <w:szCs w:val="24"/>
        </w:rPr>
        <w:t>Clef: Jurnal Musik Dan Pendidikan Musik</w:t>
      </w:r>
      <w:r w:rsidR="006A238E" w:rsidRPr="008559D1">
        <w:rPr>
          <w:rFonts w:ascii="Times New Roman" w:hAnsi="Times New Roman" w:cs="Times New Roman"/>
          <w:szCs w:val="24"/>
        </w:rPr>
        <w:t xml:space="preserve"> 1, no. 2 (2020): 56–66.</w:t>
      </w:r>
      <w:r w:rsidRPr="008559D1">
        <w:rPr>
          <w:rFonts w:ascii="Times New Roman" w:hAnsi="Times New Roman" w:cs="Times New Roman"/>
        </w:rPr>
        <w:fldChar w:fldCharType="end"/>
      </w:r>
    </w:p>
  </w:footnote>
  <w:footnote w:id="25">
    <w:p w14:paraId="1D8B2C94" w14:textId="045EFC7A" w:rsidR="00DC1DDC" w:rsidRPr="008559D1" w:rsidRDefault="00DC1DDC">
      <w:pPr>
        <w:pStyle w:val="FootnoteText"/>
        <w:rPr>
          <w:rFonts w:ascii="Times New Roman" w:hAnsi="Times New Roman" w:cs="Times New Roman"/>
        </w:rPr>
      </w:pPr>
      <w:r w:rsidRPr="008559D1">
        <w:rPr>
          <w:rStyle w:val="FootnoteReference"/>
          <w:rFonts w:ascii="Times New Roman" w:hAnsi="Times New Roman" w:cs="Times New Roman"/>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{"citationID":"as3m6ou6pn","properties":{"formattedCitation":"\\uldash{Victor P Hamilton, {\\i{}Exodus: An Exegetical Commentary} (Baker Academic, 2011).}","plainCitation":"Victor P Hamilton, Exodus: An Exegetical Commentary (Baker Academic, 2011).","dontUpdate":true,"noteIndex":25},"citationItems":[{"id":"zIwcRjke/rAfJLI67","uris":["http://zotero.org/users/local/kfAXQwMK/items/5MVFKC44"],"itemData":{"id":153,"type":"book","ISBN":"0-8010-3183-4","publisher":"Baker Academic","title":"Exodus: An exegetical commentary","author":[{"family":"Hamilton","given":"Victor P"}],"issued":{"date-parts":[["2011"]]}}}],"schema":"https://github.com/citation-style-language/schema/raw/master/csl-citation.json"}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 xml:space="preserve">Victor P Hamilton, </w:t>
      </w:r>
      <w:r w:rsidRPr="008559D1">
        <w:rPr>
          <w:rFonts w:ascii="Times New Roman" w:hAnsi="Times New Roman" w:cs="Times New Roman"/>
          <w:i/>
          <w:iCs/>
          <w:szCs w:val="24"/>
        </w:rPr>
        <w:t>Exodus: An Exegetical Commentary</w:t>
      </w:r>
      <w:r w:rsidRPr="008559D1">
        <w:rPr>
          <w:rFonts w:ascii="Times New Roman" w:hAnsi="Times New Roman" w:cs="Times New Roman"/>
          <w:szCs w:val="24"/>
        </w:rPr>
        <w:t xml:space="preserve"> (Baker Academic, 2011), 265.</w:t>
      </w:r>
      <w:r w:rsidRPr="008559D1">
        <w:rPr>
          <w:rFonts w:ascii="Times New Roman" w:hAnsi="Times New Roman" w:cs="Times New Roman"/>
        </w:rPr>
        <w:fldChar w:fldCharType="end"/>
      </w:r>
    </w:p>
  </w:footnote>
  <w:footnote w:id="26">
    <w:p w14:paraId="3F34068C" w14:textId="4FBACE11" w:rsidR="0010267E" w:rsidRPr="008559D1" w:rsidRDefault="0010267E" w:rsidP="0010267E">
      <w:pPr>
        <w:pStyle w:val="FootnoteText"/>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{"citationID":"21vjDIwq","properties":{"formattedCitation":"Walter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28–38.","noteIndex":26},"citationItems":[{"id":"zIwcRjke/enHyLzDT","uris":["http://zotero.org/users/local/kfAXQwMK/items/996PPK6G"],"itemData":{"id":123,"type":"article-journal","container-title":"The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Walter Brueggemann, “Theology of the Old Testament: Testimony, Dispute, Advocacy Revisited,” </w:t>
      </w:r>
      <w:r w:rsidR="006A238E" w:rsidRPr="008559D1">
        <w:rPr>
          <w:rFonts w:ascii="Times New Roman" w:hAnsi="Times New Roman" w:cs="Times New Roman"/>
          <w:i/>
          <w:iCs/>
          <w:szCs w:val="24"/>
        </w:rPr>
        <w:t>The Catholic Biblical Quarterly</w:t>
      </w:r>
      <w:r w:rsidR="006A238E" w:rsidRPr="008559D1">
        <w:rPr>
          <w:rFonts w:ascii="Times New Roman" w:hAnsi="Times New Roman" w:cs="Times New Roman"/>
          <w:szCs w:val="24"/>
        </w:rPr>
        <w:t xml:space="preserve"> 74, no. 1 (2012): 28–38.</w:t>
      </w:r>
      <w:r w:rsidRPr="008559D1">
        <w:rPr>
          <w:rFonts w:ascii="Times New Roman" w:hAnsi="Times New Roman" w:cs="Times New Roman"/>
        </w:rPr>
        <w:fldChar w:fldCharType="end"/>
      </w:r>
    </w:p>
  </w:footnote>
  <w:footnote w:id="27">
    <w:p w14:paraId="49EC00C0" w14:textId="78C08595"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96.","noteIndex":27},"citationItems":[{"id":5011,"uris":["http://zotero.org/users/local/xEqoxJzF/items/CCBDEHDQ","http://zotero.org/users/7331749/items/CCBDEHDQ"],"itemData":{"id":5011,"type":"book","ISBN":"1-4674-2763-2","publisher":"Wm.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Mark S. Smith, </w:t>
      </w:r>
      <w:r w:rsidR="00A149B1" w:rsidRPr="00A149B1">
        <w:rPr>
          <w:rFonts w:ascii="Times New Roman" w:hAnsi="Times New Roman" w:cs="Times New Roman"/>
          <w:i/>
          <w:iCs/>
        </w:rPr>
        <w:t>The Early History of God: Yahweh and the Other Deities in Ancient Israel</w:t>
      </w:r>
      <w:r w:rsidR="00A149B1" w:rsidRPr="00A149B1">
        <w:rPr>
          <w:rFonts w:ascii="Times New Roman" w:hAnsi="Times New Roman" w:cs="Times New Roman"/>
        </w:rPr>
        <w:t xml:space="preserve"> (Wm. B. Eerdmans Publishing, 2002), 96.</w:t>
      </w:r>
      <w:r w:rsidRPr="008559D1">
        <w:rPr>
          <w:rFonts w:ascii="Times New Roman" w:hAnsi="Times New Roman" w:cs="Times New Roman"/>
        </w:rPr>
        <w:fldChar w:fldCharType="end"/>
      </w:r>
    </w:p>
  </w:footnote>
  <w:footnote w:id="28">
    <w:p w14:paraId="7DE5A20F" w14:textId="7D9EBD42"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45.","noteIndex":28},"citationItems":[{"id":5012,"uris":["http://zotero.org/users/local/xEqoxJzF/items/ZUYIJG2T","http://zotero.org/users/7331749/items/ZUYIJG2T"],"itemData":{"id":5012,"type":"book","ISBN":"0-691-11394-7","publisher":"Princeton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Christoph Levin, </w:t>
      </w:r>
      <w:r w:rsidRPr="008559D1">
        <w:rPr>
          <w:rFonts w:ascii="Times New Roman" w:hAnsi="Times New Roman" w:cs="Times New Roman"/>
          <w:i/>
          <w:iCs/>
        </w:rPr>
        <w:t>The Old Testament: A Brief Introduction</w:t>
      </w:r>
      <w:r w:rsidRPr="008559D1">
        <w:rPr>
          <w:rFonts w:ascii="Times New Roman" w:hAnsi="Times New Roman" w:cs="Times New Roman"/>
        </w:rPr>
        <w:t xml:space="preserve"> (Princeton University Press, 2005), 45.</w:t>
      </w:r>
      <w:r w:rsidRPr="008559D1">
        <w:rPr>
          <w:rFonts w:ascii="Times New Roman" w:hAnsi="Times New Roman" w:cs="Times New Roman"/>
        </w:rPr>
        <w:fldChar w:fldCharType="end"/>
      </w:r>
    </w:p>
  </w:footnote>
  <w:footnote w:id="29">
    <w:p w14:paraId="6D871142" w14:textId="703258B1"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2019).","dontUpdate":true,"noteIndex":29},"citationItems":[{"id":33,"uris":["http://zotero.org/users/local/xEqoxJzF/items/G3P96SQB","http://zotero.org/users/7331749/items/G3P96SQB"],"itemData":{"id":33,"type":"book","publisher":"Baker","publisher-place":"Rapids","title":"Ancient Near Eastern Thought and the Old Testament","author":[{"family":"Walton","given":"John"}],"issued":{"date-parts":[["2019"]]}}}],"schema":"https://github.com/citation-style-language/schema/raw/master/csl-citation.json"}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John Walton, </w:t>
      </w:r>
      <w:r w:rsidRPr="008559D1">
        <w:rPr>
          <w:rFonts w:ascii="Times New Roman" w:hAnsi="Times New Roman" w:cs="Times New Roman"/>
          <w:i/>
          <w:iCs/>
        </w:rPr>
        <w:t>Ancient Near Eastern Thought and the Old Testament</w:t>
      </w:r>
      <w:r w:rsidRPr="008559D1">
        <w:rPr>
          <w:rFonts w:ascii="Times New Roman" w:hAnsi="Times New Roman" w:cs="Times New Roman"/>
        </w:rPr>
        <w:t xml:space="preserve"> (Baker, 2019)</w:t>
      </w:r>
      <w:r w:rsidR="00C22594" w:rsidRPr="008559D1">
        <w:rPr>
          <w:rFonts w:ascii="Times New Roman" w:hAnsi="Times New Roman" w:cs="Times New Roman"/>
        </w:rPr>
        <w:t>, 85</w:t>
      </w:r>
      <w:r w:rsidRPr="008559D1">
        <w:rPr>
          <w:rFonts w:ascii="Times New Roman" w:hAnsi="Times New Roman" w:cs="Times New Roman"/>
        </w:rPr>
        <w:t>.</w:t>
      </w:r>
      <w:r w:rsidRPr="008559D1">
        <w:rPr>
          <w:rFonts w:ascii="Times New Roman" w:hAnsi="Times New Roman" w:cs="Times New Roman"/>
        </w:rPr>
        <w:fldChar w:fldCharType="end"/>
      </w:r>
    </w:p>
  </w:footnote>
  <w:footnote w:id="30">
    <w:p w14:paraId="71ADFBE6" w14:textId="0FE70F6B"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dontUpdate":true,"noteIndex":30},"citationItems":[{"id":4857,"uris":["http://zotero.org/users/local/xEqoxJzF/items/5M8HYU9L","http://zotero.org/users/7331749/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G.E. Schnittjer, </w:t>
      </w:r>
      <w:r w:rsidRPr="008559D1">
        <w:rPr>
          <w:rFonts w:ascii="Times New Roman" w:hAnsi="Times New Roman" w:cs="Times New Roman"/>
          <w:i/>
          <w:iCs/>
        </w:rPr>
        <w:t>The Torah Story: An Apprenticeship on the Pentateuch</w:t>
      </w:r>
      <w:r w:rsidRPr="008559D1">
        <w:rPr>
          <w:rFonts w:ascii="Times New Roman" w:hAnsi="Times New Roman" w:cs="Times New Roman"/>
        </w:rPr>
        <w:t xml:space="preserve"> (Zondervan Academic, 2010),</w:t>
      </w:r>
      <w:r w:rsidR="00173007" w:rsidRPr="008559D1">
        <w:rPr>
          <w:rFonts w:ascii="Times New Roman" w:hAnsi="Times New Roman" w:cs="Times New Roman"/>
        </w:rPr>
        <w:t>191.</w:t>
      </w:r>
      <w:r w:rsidRPr="008559D1">
        <w:rPr>
          <w:rFonts w:ascii="Times New Roman" w:hAnsi="Times New Roman" w:cs="Times New Roman"/>
        </w:rPr>
        <w:t xml:space="preserve"> </w:t>
      </w:r>
      <w:r w:rsidRPr="008559D1">
        <w:rPr>
          <w:rFonts w:ascii="Times New Roman" w:hAnsi="Times New Roman" w:cs="Times New Roman"/>
        </w:rPr>
        <w:fldChar w:fldCharType="end"/>
      </w:r>
    </w:p>
  </w:footnote>
  <w:footnote w:id="31">
    <w:p w14:paraId="7B6666FC" w14:textId="29649310"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Testament.","noteIndex":31},"citationItems":[{"id":33,"uris":["http://zotero.org/users/local/xEqoxJzF/items/G3P96SQB","http://zotero.org/users/7331749/items/G3P96SQB"],"itemData":{"id":33,"type":"book","publisher":"Baker","publisher-place":"Rapids","title":"Ancient Near Eastern Thought and the Old Testament","author":[{"family":"Walton","given":"John"}],"issued":{"date-parts":[["2019"]]}}}],"schema":"https://github.com/citation-style-language/schema/raw/master/csl-citation.json"}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Walton, </w:t>
      </w:r>
      <w:r w:rsidRPr="008559D1">
        <w:rPr>
          <w:rFonts w:ascii="Times New Roman" w:hAnsi="Times New Roman" w:cs="Times New Roman"/>
          <w:i/>
          <w:iCs/>
        </w:rPr>
        <w:t>Ancient Near Eastern Thought and the Old Testament</w:t>
      </w:r>
      <w:r w:rsidRPr="008559D1">
        <w:rPr>
          <w:rFonts w:ascii="Times New Roman" w:hAnsi="Times New Roman" w:cs="Times New Roman"/>
        </w:rPr>
        <w:t>.</w:t>
      </w:r>
      <w:r w:rsidRPr="008559D1">
        <w:rPr>
          <w:rFonts w:ascii="Times New Roman" w:hAnsi="Times New Roman" w:cs="Times New Roman"/>
        </w:rPr>
        <w:fldChar w:fldCharType="end"/>
      </w:r>
    </w:p>
  </w:footnote>
  <w:footnote w:id="32">
    <w:p w14:paraId="2289D1AD" w14:textId="0269DAC5"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Pentateuch.","noteIndex":32},"citationItems":[{"id":4857,"uris":["http://zotero.org/users/local/xEqoxJzF/items/5M8HYU9L","http://zotero.org/users/7331749/items/5M8HYU9L"],"itemData":{"id":4857,"type":"book","ISBN":"978-0-310-87403-4","publisher":"Zondervan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Schnittjer, </w:t>
      </w:r>
      <w:r w:rsidRPr="008559D1">
        <w:rPr>
          <w:rFonts w:ascii="Times New Roman" w:hAnsi="Times New Roman" w:cs="Times New Roman"/>
          <w:i/>
          <w:iCs/>
        </w:rPr>
        <w:t>The Torah Story: An Apprenticeship on the Pentateuch</w:t>
      </w:r>
      <w:r w:rsidRPr="008559D1">
        <w:rPr>
          <w:rFonts w:ascii="Times New Roman" w:hAnsi="Times New Roman" w:cs="Times New Roman"/>
        </w:rPr>
        <w:t>.</w:t>
      </w:r>
      <w:r w:rsidRPr="008559D1">
        <w:rPr>
          <w:rFonts w:ascii="Times New Roman" w:hAnsi="Times New Roman" w:cs="Times New Roman"/>
        </w:rPr>
        <w:fldChar w:fldCharType="end"/>
      </w:r>
    </w:p>
  </w:footnote>
  <w:footnote w:id="33">
    <w:p w14:paraId="1C3DA48E" w14:textId="43B44423"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73–83.","noteIndex":33},"citationItems":[{"id":5013,"uris":["http://zotero.org/users/local/xEqoxJzF/items/UBXN4XDF","http://zotero.org/users/7331749/items/UBXN4XDF"],"itemData":{"id":5013,"type":"article-journal","container-title":"Theological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Roy Haries Ifraldo Tambun, “God Fights to Save the Nation of Israel: A Historical-Critical Review of Exodus 15: 1-21,” </w:t>
      </w:r>
      <w:r w:rsidRPr="008559D1">
        <w:rPr>
          <w:rFonts w:ascii="Times New Roman" w:hAnsi="Times New Roman" w:cs="Times New Roman"/>
          <w:i/>
          <w:iCs/>
        </w:rPr>
        <w:t>Theological Journal Kerugma</w:t>
      </w:r>
      <w:r w:rsidRPr="008559D1">
        <w:rPr>
          <w:rFonts w:ascii="Times New Roman" w:hAnsi="Times New Roman" w:cs="Times New Roman"/>
        </w:rPr>
        <w:t xml:space="preserve"> 7, no. 2 (2024): 73–83.</w:t>
      </w:r>
      <w:r w:rsidRPr="008559D1">
        <w:rPr>
          <w:rFonts w:ascii="Times New Roman" w:hAnsi="Times New Roman" w:cs="Times New Roman"/>
        </w:rPr>
        <w:fldChar w:fldCharType="end"/>
      </w:r>
      <w:r w:rsidR="00C97574" w:rsidRPr="008559D1">
        <w:rPr>
          <w:rFonts w:ascii="Times New Roman" w:hAnsi="Times New Roman" w:cs="Times New Roman"/>
        </w:rPr>
        <w:t xml:space="preserve"> </w:t>
      </w:r>
    </w:p>
  </w:footnote>
  <w:footnote w:id="34">
    <w:p w14:paraId="329A1BB4" w14:textId="336CE03C" w:rsidR="00EC45E8" w:rsidRPr="008559D1" w:rsidRDefault="00EC45E8">
      <w:pPr>
        <w:pStyle w:val="FootnoteText"/>
        <w:rPr>
          <w:rFonts w:ascii="Times New Roman" w:hAnsi="Times New Roman" w:cs="Times New Roman"/>
        </w:rPr>
      </w:pPr>
      <w:r w:rsidRPr="008559D1">
        <w:rPr>
          <w:rStyle w:val="FootnoteReference"/>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{"citationID":"a2ft5h81ii0","properties":{"formattedCitation":"Kenezia Hermanus, \\uc0\\u8220{}Signifikansi Nyanyian Rohani Berdasarkan Narasi Injil,\\uc0\\u8221{} {\\i{}Logon Zoes: Jurnal Teologi, Sosial, Dan Budaya} 8, no. 1 (2025): 1\\uc0\\u8211{}17.","plainCitation":"Kenezia Hermanus, “Signifikansi Nyanyian Rohani Berdasarkan Narasi Injil,” Logon Zoes: Jurnal Teologi, Sosial, Dan Budaya 8, no. 1 (2025): 1–17.","noteIndex":34},"citationItems":[{"id":"zIwcRjke/wrJr7q77","uris":["http://zotero.org/users/local/kfAXQwMK/items/QGGV4F8R"],"itemData":{"id":147,"type":"article-journal","container-title":"Logon Zoes: Jurnal Teologi, Sosial, dan Budaya","ISSN":"2745-3766","issue":"1","journalAbbreviation":"Logon Zoes: Jurnal Teologi, Sosial, dan Budaya","page":"1-17","title":"Signifikansi Nyanyian Rohani Berdasarkan Narasi Injil","volume":"8","author":[{"family":"Hermanus","given":"Kenezia"}],"issued":{"date-parts":[["2025"]]}}}],"schema":"https://github.com/citation-style-language/schema/raw/master/csl-citation.json"}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 xml:space="preserve">Kenezia Hermanus, “Signifikansi Nyanyian Rohani Berdasarkan Narasi Injil,” </w:t>
      </w:r>
      <w:r w:rsidR="006A238E" w:rsidRPr="008559D1">
        <w:rPr>
          <w:rFonts w:ascii="Times New Roman" w:hAnsi="Times New Roman" w:cs="Times New Roman"/>
          <w:i/>
          <w:iCs/>
          <w:szCs w:val="24"/>
        </w:rPr>
        <w:t>Logon Zoes: Jurnal Teologi, Sosial, Dan Budaya</w:t>
      </w:r>
      <w:r w:rsidR="006A238E" w:rsidRPr="008559D1">
        <w:rPr>
          <w:rFonts w:ascii="Times New Roman" w:hAnsi="Times New Roman" w:cs="Times New Roman"/>
          <w:szCs w:val="24"/>
        </w:rPr>
        <w:t xml:space="preserve"> 8, no. 1 (2025): 1–17.</w:t>
      </w:r>
      <w:r w:rsidRPr="008559D1">
        <w:rPr>
          <w:rFonts w:ascii="Times New Roman" w:hAnsi="Times New Roman" w:cs="Times New Roman"/>
        </w:rPr>
        <w:fldChar w:fldCharType="end"/>
      </w:r>
    </w:p>
  </w:footnote>
  <w:footnote w:id="35">
    <w:p w14:paraId="03DE92BD" w14:textId="207A33B0"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36.","noteIndex":35},"citationItems":[{"id":5014,"uris":["http://zotero.org/users/local/xEqoxJzF/items/CMLF4TBX","http://zotero.org/users/7331749/items/CMLF4TBX"],"itemData":{"id":5014,"type":"article-journal","container-title":"The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8559D1">
        <w:rPr>
          <w:rFonts w:ascii="Times New Roman" w:hAnsi="Times New Roman" w:cs="Times New Roman"/>
        </w:rPr>
        <w:fldChar w:fldCharType="separate"/>
      </w:r>
      <w:r w:rsidR="00A149B1" w:rsidRPr="00A149B1">
        <w:rPr>
          <w:rFonts w:ascii="Times New Roman" w:hAnsi="Times New Roman" w:cs="Times New Roman"/>
        </w:rPr>
        <w:t xml:space="preserve">Susan E. Gillingham, “The Reception of the Exodus Tradition in the Psalter,” </w:t>
      </w:r>
      <w:r w:rsidR="00A149B1" w:rsidRPr="00A149B1">
        <w:rPr>
          <w:rFonts w:ascii="Times New Roman" w:hAnsi="Times New Roman" w:cs="Times New Roman"/>
          <w:i/>
          <w:iCs/>
        </w:rPr>
        <w:t>The Reception of Exodus Motifs in Jewish and Christian Literature</w:t>
      </w:r>
      <w:r w:rsidR="00A149B1" w:rsidRPr="00A149B1">
        <w:rPr>
          <w:rFonts w:ascii="Times New Roman" w:hAnsi="Times New Roman" w:cs="Times New Roman"/>
        </w:rPr>
        <w:t>, 2022, 36.</w:t>
      </w:r>
      <w:r w:rsidRPr="008559D1">
        <w:rPr>
          <w:rFonts w:ascii="Times New Roman" w:hAnsi="Times New Roman" w:cs="Times New Roman"/>
        </w:rPr>
        <w:fldChar w:fldCharType="end"/>
      </w:r>
    </w:p>
  </w:footnote>
  <w:footnote w:id="36">
    <w:p w14:paraId="215BAE59" w14:textId="4CD7018D" w:rsidR="00EC45E8" w:rsidRPr="008559D1" w:rsidRDefault="00EC45E8">
      <w:pPr>
        <w:pStyle w:val="FootnoteText"/>
        <w:rPr>
          <w:rFonts w:ascii="Times New Roman" w:hAnsi="Times New Roman" w:cs="Times New Roman"/>
        </w:rPr>
      </w:pPr>
      <w:r w:rsidRPr="008559D1">
        <w:rPr>
          <w:rStyle w:val="FootnoteReference"/>
        </w:rPr>
        <w:footnoteRef/>
      </w:r>
      <w:r w:rsidRPr="008559D1">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{"citationID":"aovctle9e7","properties":{"formattedCitation":"Firnando et al., \\uc0\\u8220{}Pemilihan Jenis Musik Dalam Peribadatan Kristen.\\uc0\\u8221{}","plainCitation":"Firnando et al., “Pemilihan Jenis Musik Dalam Peribadatan Kristen.”","noteIndex":36},"citationItems":[{"id":"zIwcRjke/fHtqvDWW","uris":["http://zotero.org/users/local/kfAXQwMK/items/MKYLSMS4"],"itemData":{"id":146,"type":"article-journal","container-title":"Clef: Jurnal Musik dan Pendidikan Musik","ISSN":"2746-7473","issue":"2","journalAbbreviation":"Clef: Jurnal Musik dan Pendidikan Musik","page":"56-66","title":"Pemilihan Jenis Musik Dalam Peribadatan Kristen","volume":"1","author":[{"family":"Firnando","given":"Krisna"},{"family":"Hermanto","given":"Yanto"},{"family":"Purnama","given":"Ferry"}],"issued":{"date-parts":[["2020"]]}}}],"schema":"https://github.com/citation-style-language/schema/raw/master/csl-citation.json"} </w:instrText>
      </w:r>
      <w:r w:rsidRPr="008559D1">
        <w:rPr>
          <w:rFonts w:ascii="Times New Roman" w:hAnsi="Times New Roman" w:cs="Times New Roman"/>
        </w:rPr>
        <w:fldChar w:fldCharType="separate"/>
      </w:r>
      <w:r w:rsidR="006A238E" w:rsidRPr="008559D1">
        <w:rPr>
          <w:rFonts w:ascii="Times New Roman" w:hAnsi="Times New Roman" w:cs="Times New Roman"/>
          <w:szCs w:val="24"/>
        </w:rPr>
        <w:t>Firnando et al., “Pemilihan Jenis Musik Dalam Peribadatan Kristen.”</w:t>
      </w:r>
      <w:r w:rsidRPr="008559D1">
        <w:rPr>
          <w:rFonts w:ascii="Times New Roman" w:hAnsi="Times New Roman" w:cs="Times New Roman"/>
        </w:rPr>
        <w:fldChar w:fldCharType="end"/>
      </w:r>
    </w:p>
  </w:footnote>
  <w:footnote w:id="37">
    <w:p w14:paraId="0CB00427" w14:textId="7D28CA0D"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2024).","dontUpdate":true,"noteIndex":37},"citationItems":[{"id":5015,"uris":["http://zotero.org/users/local/xEqoxJzF/items/F2TBAQGU","http://zotero.org/users/7331749/items/F2TBAQGU"],"itemData":{"id":5015,"type":"book","ISBN":"979-8-3427-4772-1","publisher":"Columbia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rPr>
        <w:t xml:space="preserve">Kevin Lloyd Haglund, </w:t>
      </w:r>
      <w:r w:rsidRPr="008559D1">
        <w:rPr>
          <w:rFonts w:ascii="Times New Roman" w:hAnsi="Times New Roman" w:cs="Times New Roman"/>
          <w:i/>
          <w:iCs/>
        </w:rPr>
        <w:t>A Practical Theology of the Role of Emotion in Corporate Musical Worship: A Case Study</w:t>
      </w:r>
      <w:r w:rsidRPr="008559D1">
        <w:rPr>
          <w:rFonts w:ascii="Times New Roman" w:hAnsi="Times New Roman" w:cs="Times New Roman"/>
        </w:rPr>
        <w:t xml:space="preserve"> (Columbia International University, 2024)</w:t>
      </w:r>
      <w:r w:rsidR="00173007" w:rsidRPr="008559D1">
        <w:rPr>
          <w:rFonts w:ascii="Times New Roman" w:hAnsi="Times New Roman" w:cs="Times New Roman"/>
        </w:rPr>
        <w:t>, 143</w:t>
      </w:r>
      <w:r w:rsidRPr="008559D1">
        <w:rPr>
          <w:rFonts w:ascii="Times New Roman" w:hAnsi="Times New Roman" w:cs="Times New Roman"/>
        </w:rPr>
        <w:t>.</w:t>
      </w:r>
      <w:r w:rsidRPr="008559D1">
        <w:rPr>
          <w:rFonts w:ascii="Times New Roman" w:hAnsi="Times New Roman" w:cs="Times New Roman"/>
        </w:rPr>
        <w:fldChar w:fldCharType="end"/>
      </w:r>
    </w:p>
  </w:footnote>
  <w:footnote w:id="38">
    <w:p w14:paraId="579BF514" w14:textId="5026F7A7" w:rsidR="0010267E" w:rsidRPr="008559D1" w:rsidRDefault="0010267E" w:rsidP="0010267E">
      <w:pPr>
        <w:pStyle w:val="FootnoteText"/>
        <w:rPr>
          <w:rFonts w:ascii="Times New Roman" w:hAnsi="Times New Roman" w:cs="Times New Roman"/>
        </w:rPr>
      </w:pPr>
      <w:r w:rsidRPr="008559D1">
        <w:rPr>
          <w:rStyle w:val="FootnoteReference"/>
        </w:rPr>
        <w:footnoteRef/>
      </w:r>
      <w:r w:rsidRPr="008559D1">
        <w:rPr>
          <w:rFonts w:ascii="Times New Roman" w:hAnsi="Times New Roman" w:cs="Times New Roman"/>
        </w:rPr>
        <w:t xml:space="preserve"> </w:t>
      </w:r>
      <w:r w:rsidRPr="008559D1">
        <w:rPr>
          <w:rFonts w:ascii="Times New Roman" w:hAnsi="Times New Roman" w:cs="Times New Roman"/>
        </w:rPr>
        <w:fldChar w:fldCharType="begin"/>
      </w:r>
      <w:r w:rsidR="00A149B1">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1–21).”","dontUpdate":true,"noteIndex":38},"citationItems":[{"id":5016,"uris":["http://zotero.org/users/local/xEqoxJzF/items/N6ZK5J5V","http://zotero.org/users/7331749/items/N6ZK5J5V"],"itemData":{"id":5016,"type":"article-journal","container-title":"Journal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8559D1">
        <w:rPr>
          <w:rFonts w:ascii="Times New Roman" w:hAnsi="Times New Roman" w:cs="Times New Roman"/>
        </w:rPr>
        <w:fldChar w:fldCharType="separate"/>
      </w:r>
      <w:r w:rsidRPr="008559D1">
        <w:rPr>
          <w:rFonts w:ascii="Times New Roman" w:hAnsi="Times New Roman" w:cs="Times New Roman"/>
          <w:szCs w:val="24"/>
        </w:rPr>
        <w:t>hamilton jr, “author-intended typology in the chiastic structure of the song of the sea (exodus 15: 1–21).”</w:t>
      </w:r>
      <w:r w:rsidRPr="008559D1">
        <w:rPr>
          <w:rFonts w:ascii="Times New Roman" w:hAnsi="Times New Roman" w:cs="Times New Roman"/>
        </w:rPr>
        <w:fldChar w:fldCharType="end"/>
      </w:r>
    </w:p>
  </w:footnote>
  <w:footnote w:id="39">
    <w:p w14:paraId="2E109E8E" w14:textId="6EF3D3AB" w:rsidR="000D655B" w:rsidRPr="00B20610" w:rsidRDefault="000D655B">
      <w:pPr>
        <w:pStyle w:val="FootnoteText"/>
        <w:rPr>
          <w:rFonts w:ascii="Times New Roman" w:hAnsi="Times New Roman" w:cs="Times New Roman"/>
        </w:rPr>
      </w:pPr>
      <w:r>
        <w:rPr>
          <w:rStyle w:val="FootnoteReference"/>
        </w:rPr>
        <w:footnoteRef/>
      </w:r>
      <w:r>
        <w:t xml:space="preserve"> </w:t>
      </w:r>
      <w:r w:rsidRPr="00B20610">
        <w:rPr>
          <w:rFonts w:ascii="Times New Roman" w:hAnsi="Times New Roman" w:cs="Times New Roman"/>
        </w:rPr>
        <w:fldChar w:fldCharType="begin"/>
      </w:r>
      <w:r w:rsidRPr="00B20610">
        <w:rPr>
          <w:rFonts w:ascii="Times New Roman" w:hAnsi="Times New Roman" w:cs="Times New Roman"/>
        </w:rPr>
        <w:instrText xml:space="preserve"> ADDIN ZOTERO_ITEM CSL_CITATION {"citationID":"a1n3bkggpk7","properties":{"formattedCitation":"Anon Dwi Saputro and Paulus Kunto Baskoro, \\uc0\\u8220{}Allah Berperan Di Belakang Layar Dalam Penderitaan Orang Percaya: Teodisi Dalam Narasi Keluaran 1-2,\\uc0\\u8221{} {\\i{}Sanctum Domine: Jurnal Teologi} 12, no. 2 (2023): 133\\uc0\\u8211{}52.","plainCitation":"Anon Dwi Saputro and Paulus Kunto Baskoro, “Allah Berperan Di Belakang Layar Dalam Penderitaan Orang Percaya: Teodisi Dalam Narasi Keluaran 1-2,” Sanctum Domine: Jurnal Teologi 12, no. 2 (2023): 133–52.","noteIndex":39},"citationItems":[{"id":6464,"uris":["http://zotero.org/users/7331749/items/RUQJNCAK"],"itemData":{"id":6464,"type":"article-journal","container-title":"Sanctum Domine: Jurnal Teologi","ISSN":"2722-0079","issue":"2","journalAbbreviation":"Sanctum Domine: Jurnal Teologi","page":"133-152","title":"Allah Berperan di Belakang Layar dalam Penderitaan Orang Percaya: Teodisi dalam Narasi Keluaran 1-2","volume":"12","author":[{"family":"Saputro","given":"Anon Dwi"},{"family":"Baskoro","given":"Paulus Kunto"}],"issued":{"date-parts":[["2023"]]}}}],"schema":"https://github.com/citation-style-language/schema/raw/master/csl-citation.json"} </w:instrText>
      </w:r>
      <w:r w:rsidRPr="00B20610">
        <w:rPr>
          <w:rFonts w:ascii="Times New Roman" w:hAnsi="Times New Roman" w:cs="Times New Roman"/>
        </w:rPr>
        <w:fldChar w:fldCharType="separate"/>
      </w:r>
      <w:r w:rsidRPr="00B20610">
        <w:rPr>
          <w:rFonts w:ascii="Times New Roman" w:hAnsi="Times New Roman" w:cs="Times New Roman"/>
        </w:rPr>
        <w:t xml:space="preserve">Anon Dwi Saputro and Paulus Kunto Baskoro, “Allah Berperan Di Belakang Layar Dalam Penderitaan Orang Percaya: Teodisi Dalam Narasi Keluaran 1-2,” </w:t>
      </w:r>
      <w:r w:rsidRPr="00B20610">
        <w:rPr>
          <w:rFonts w:ascii="Times New Roman" w:hAnsi="Times New Roman" w:cs="Times New Roman"/>
          <w:i/>
          <w:iCs/>
        </w:rPr>
        <w:t>Sanctum Domine: Jurnal Teologi</w:t>
      </w:r>
      <w:r w:rsidRPr="00B20610">
        <w:rPr>
          <w:rFonts w:ascii="Times New Roman" w:hAnsi="Times New Roman" w:cs="Times New Roman"/>
        </w:rPr>
        <w:t xml:space="preserve"> 12, no. 2 (2023): 133–52.</w:t>
      </w:r>
      <w:r w:rsidRPr="00B2061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80543">
    <w:abstractNumId w:val="6"/>
  </w:num>
  <w:num w:numId="2" w16cid:durableId="1719473915">
    <w:abstractNumId w:val="3"/>
  </w:num>
  <w:num w:numId="3" w16cid:durableId="1567838079">
    <w:abstractNumId w:val="5"/>
  </w:num>
  <w:num w:numId="4" w16cid:durableId="211624760">
    <w:abstractNumId w:val="4"/>
  </w:num>
  <w:num w:numId="5" w16cid:durableId="1586307391">
    <w:abstractNumId w:val="0"/>
  </w:num>
  <w:num w:numId="6" w16cid:durableId="1631519073">
    <w:abstractNumId w:val="1"/>
  </w:num>
  <w:num w:numId="7" w16cid:durableId="1125927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472"/>
    <w:rsid w:val="000530FA"/>
    <w:rsid w:val="00057196"/>
    <w:rsid w:val="00081319"/>
    <w:rsid w:val="000D655B"/>
    <w:rsid w:val="0010267E"/>
    <w:rsid w:val="001206E5"/>
    <w:rsid w:val="00134CD4"/>
    <w:rsid w:val="00165FD0"/>
    <w:rsid w:val="00166889"/>
    <w:rsid w:val="00166F78"/>
    <w:rsid w:val="00173007"/>
    <w:rsid w:val="00182E29"/>
    <w:rsid w:val="001B5672"/>
    <w:rsid w:val="002013E4"/>
    <w:rsid w:val="00273E5A"/>
    <w:rsid w:val="002A03CA"/>
    <w:rsid w:val="002A52B9"/>
    <w:rsid w:val="002D62AF"/>
    <w:rsid w:val="002F3114"/>
    <w:rsid w:val="002F3DEF"/>
    <w:rsid w:val="00306C11"/>
    <w:rsid w:val="00353E95"/>
    <w:rsid w:val="00356B83"/>
    <w:rsid w:val="003A2E9E"/>
    <w:rsid w:val="003A3F1D"/>
    <w:rsid w:val="003A4350"/>
    <w:rsid w:val="00400B7F"/>
    <w:rsid w:val="0041226C"/>
    <w:rsid w:val="00463070"/>
    <w:rsid w:val="004C77E8"/>
    <w:rsid w:val="00557CCA"/>
    <w:rsid w:val="0056098D"/>
    <w:rsid w:val="005C72EE"/>
    <w:rsid w:val="00617C10"/>
    <w:rsid w:val="00636E91"/>
    <w:rsid w:val="00690151"/>
    <w:rsid w:val="006A238E"/>
    <w:rsid w:val="006C5D82"/>
    <w:rsid w:val="006F31CB"/>
    <w:rsid w:val="00717B6A"/>
    <w:rsid w:val="007538B1"/>
    <w:rsid w:val="00827833"/>
    <w:rsid w:val="0085223B"/>
    <w:rsid w:val="008559D1"/>
    <w:rsid w:val="00883E68"/>
    <w:rsid w:val="00886CEA"/>
    <w:rsid w:val="008E1C00"/>
    <w:rsid w:val="00911D84"/>
    <w:rsid w:val="009423A5"/>
    <w:rsid w:val="009520B1"/>
    <w:rsid w:val="009638FD"/>
    <w:rsid w:val="00964AC1"/>
    <w:rsid w:val="009B60E5"/>
    <w:rsid w:val="009C6D41"/>
    <w:rsid w:val="009F4195"/>
    <w:rsid w:val="00A05161"/>
    <w:rsid w:val="00A149B1"/>
    <w:rsid w:val="00A56B07"/>
    <w:rsid w:val="00A615EA"/>
    <w:rsid w:val="00A622F3"/>
    <w:rsid w:val="00A75AD1"/>
    <w:rsid w:val="00AE35FD"/>
    <w:rsid w:val="00B20610"/>
    <w:rsid w:val="00B50B7B"/>
    <w:rsid w:val="00B626F3"/>
    <w:rsid w:val="00B66877"/>
    <w:rsid w:val="00B82508"/>
    <w:rsid w:val="00BD04EF"/>
    <w:rsid w:val="00C22594"/>
    <w:rsid w:val="00C30472"/>
    <w:rsid w:val="00C40BFA"/>
    <w:rsid w:val="00C97574"/>
    <w:rsid w:val="00CB2B6A"/>
    <w:rsid w:val="00CC4753"/>
    <w:rsid w:val="00CC68EC"/>
    <w:rsid w:val="00D113B5"/>
    <w:rsid w:val="00D2239B"/>
    <w:rsid w:val="00D617C7"/>
    <w:rsid w:val="00D82543"/>
    <w:rsid w:val="00D87771"/>
    <w:rsid w:val="00DC1DDC"/>
    <w:rsid w:val="00DF1573"/>
    <w:rsid w:val="00DF3D85"/>
    <w:rsid w:val="00E33216"/>
    <w:rsid w:val="00EB1DEC"/>
    <w:rsid w:val="00EB7C44"/>
    <w:rsid w:val="00EC45E8"/>
    <w:rsid w:val="00EE44E6"/>
    <w:rsid w:val="00EF2E12"/>
    <w:rsid w:val="00F55765"/>
    <w:rsid w:val="00F67406"/>
    <w:rsid w:val="00F903B5"/>
    <w:rsid w:val="00F93EF8"/>
    <w:rsid w:val="00FB172E"/>
    <w:rsid w:val="00FC11A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1F355931-663C-4089-8120-06BAEFE9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unhideWhenUsed/>
    <w:rsid w:val="0010267E"/>
    <w:pPr>
      <w:spacing w:after="240"/>
      <w:ind w:left="720" w:hanging="720"/>
    </w:pPr>
  </w:style>
  <w:style w:type="character" w:styleId="CommentReference">
    <w:name w:val="annotation reference"/>
    <w:basedOn w:val="DefaultParagraphFont"/>
    <w:uiPriority w:val="99"/>
    <w:semiHidden/>
    <w:unhideWhenUsed/>
    <w:rsid w:val="00886CEA"/>
    <w:rPr>
      <w:sz w:val="16"/>
      <w:szCs w:val="16"/>
    </w:rPr>
  </w:style>
  <w:style w:type="paragraph" w:styleId="CommentText">
    <w:name w:val="annotation text"/>
    <w:basedOn w:val="Normal"/>
    <w:link w:val="CommentTextChar"/>
    <w:uiPriority w:val="99"/>
    <w:unhideWhenUsed/>
    <w:rsid w:val="00886CEA"/>
    <w:rPr>
      <w:sz w:val="20"/>
      <w:szCs w:val="20"/>
    </w:rPr>
  </w:style>
  <w:style w:type="character" w:customStyle="1" w:styleId="CommentTextChar">
    <w:name w:val="Comment Text Char"/>
    <w:basedOn w:val="DefaultParagraphFont"/>
    <w:link w:val="CommentText"/>
    <w:uiPriority w:val="99"/>
    <w:rsid w:val="00886CEA"/>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86CEA"/>
    <w:rPr>
      <w:b/>
      <w:bCs/>
    </w:rPr>
  </w:style>
  <w:style w:type="character" w:customStyle="1" w:styleId="CommentSubjectChar">
    <w:name w:val="Comment Subject Char"/>
    <w:basedOn w:val="CommentTextChar"/>
    <w:link w:val="CommentSubject"/>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7462</Words>
  <Characters>42535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Anon Dwi Saputra</cp:lastModifiedBy>
  <cp:revision>2</cp:revision>
  <cp:lastPrinted>2025-12-03T06:10:00Z</cp:lastPrinted>
  <dcterms:created xsi:type="dcterms:W3CDTF">2026-06-06T05:59:00Z</dcterms:created>
  <dcterms:modified xsi:type="dcterms:W3CDTF">2026-06-06T05:59:00Z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zotero-version="9.0.4"&gt;&lt;session id="zIwcRjke"/&gt;&lt;style id="http://www.zotero.org/styles/chicago-notes-bibliography" locale="en-US" hasBibliography="1" bibliographyStyleHasBeenSet="1"/&gt;&lt;prefs&gt;&lt;pref name="fieldType" value="Field"/&gt;&lt;pre</vt:lpwstr>
  </property>
  <property fmtid="{D5CDD505-2E9C-101B-9397-08002B2CF9AE}" pid="24" name="ZOTERO_PREF_2">
    <vt:lpwstr>f name="automaticJournalAbbreviations" value="true"/&gt;&lt;pref name="noteType" value="1"/&gt;&lt;pref name="delayCitationUpdates" value="true"/&gt;&lt;pref name="dontAskDelayCitationUpdates" value="true"/&gt;&lt;/prefs&gt;&lt;/data&gt;</vt:lpwstr>
  </property>
</Properties>
</file>