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4813" w14:textId="77777777" w:rsidR="00C531DC" w:rsidRDefault="00000000">
      <w:pPr>
        <w:pBdr>
          <w:top w:val="nil"/>
          <w:left w:val="nil"/>
          <w:bottom w:val="nil"/>
          <w:right w:val="nil"/>
          <w:between w:val="nil"/>
        </w:pBdr>
        <w:tabs>
          <w:tab w:val="left" w:pos="8789"/>
        </w:tabs>
        <w:spacing w:line="276" w:lineRule="auto"/>
        <w:jc w:val="center"/>
        <w:rPr>
          <w:color w:val="000000"/>
          <w:sz w:val="22"/>
          <w:szCs w:val="22"/>
        </w:rPr>
      </w:pPr>
      <w:r>
        <w:rPr>
          <w:noProof/>
        </w:rPr>
        <w:drawing>
          <wp:anchor distT="0" distB="0" distL="114300" distR="114300" simplePos="0" relativeHeight="251658240" behindDoc="0" locked="0" layoutInCell="1" hidden="0" allowOverlap="1" wp14:anchorId="253D642F" wp14:editId="3F39134D">
            <wp:simplePos x="0" y="0"/>
            <wp:positionH relativeFrom="column">
              <wp:posOffset>-29209</wp:posOffset>
            </wp:positionH>
            <wp:positionV relativeFrom="paragraph">
              <wp:posOffset>394335</wp:posOffset>
            </wp:positionV>
            <wp:extent cx="733425" cy="733425"/>
            <wp:effectExtent l="0" t="0" r="0" b="0"/>
            <wp:wrapNone/>
            <wp:docPr id="2"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531DC" w14:paraId="39F4580A" w14:textId="77777777">
        <w:tc>
          <w:tcPr>
            <w:tcW w:w="8789" w:type="dxa"/>
            <w:gridSpan w:val="2"/>
            <w:tcBorders>
              <w:top w:val="single" w:sz="4" w:space="0" w:color="000000"/>
              <w:bottom w:val="single" w:sz="4" w:space="0" w:color="000000"/>
            </w:tcBorders>
          </w:tcPr>
          <w:p w14:paraId="12E8E5AF" w14:textId="77777777" w:rsidR="00C531DC" w:rsidRDefault="00000000">
            <w:pPr>
              <w:pBdr>
                <w:top w:val="nil"/>
                <w:left w:val="nil"/>
                <w:bottom w:val="nil"/>
                <w:right w:val="nil"/>
                <w:between w:val="nil"/>
              </w:pBdr>
              <w:spacing w:line="276" w:lineRule="auto"/>
              <w:ind w:left="34"/>
              <w:jc w:val="center"/>
              <w:rPr>
                <w:b/>
                <w:bCs/>
                <w:i/>
                <w:iCs/>
                <w:color w:val="000000"/>
                <w:sz w:val="36"/>
                <w:szCs w:val="36"/>
              </w:rPr>
            </w:pPr>
            <w:r>
              <w:rPr>
                <w:b/>
                <w:bCs/>
                <w:i/>
                <w:iCs/>
                <w:color w:val="000000"/>
                <w:sz w:val="36"/>
                <w:szCs w:val="36"/>
              </w:rPr>
              <w:t>Jurnal Arrabona: Jurnal Teologi dan Misi</w:t>
            </w:r>
            <w:r>
              <w:rPr>
                <w:b/>
                <w:bCs/>
                <w:i/>
                <w:iCs/>
                <w:color w:val="000000"/>
                <w:sz w:val="28"/>
                <w:szCs w:val="28"/>
              </w:rPr>
              <w:tab/>
            </w:r>
          </w:p>
          <w:p w14:paraId="0BC03548" w14:textId="77777777" w:rsidR="00C531DC" w:rsidRDefault="00000000">
            <w:pPr>
              <w:pBdr>
                <w:top w:val="nil"/>
                <w:left w:val="nil"/>
                <w:bottom w:val="nil"/>
                <w:right w:val="nil"/>
                <w:between w:val="nil"/>
              </w:pBdr>
              <w:spacing w:line="276" w:lineRule="auto"/>
              <w:ind w:left="4678"/>
              <w:rPr>
                <w:color w:val="000000"/>
                <w:sz w:val="2"/>
                <w:szCs w:val="2"/>
                <w:highlight w:val="black"/>
              </w:rPr>
            </w:pPr>
            <w:r>
              <w:rPr>
                <w:color w:val="000000"/>
              </w:rPr>
              <w:t>ISSN 2622-5433 (Print)</w:t>
            </w:r>
            <w:r>
              <w:rPr>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0BA63B9B" wp14:editId="0349597E">
                      <wp:simplePos x="0" y="0"/>
                      <wp:positionH relativeFrom="column">
                        <wp:posOffset>769938</wp:posOffset>
                      </wp:positionH>
                      <wp:positionV relativeFrom="paragraph">
                        <wp:posOffset>53657</wp:posOffset>
                      </wp:positionV>
                      <wp:extent cx="2009775" cy="543560"/>
                      <wp:effectExtent l="0" t="0" r="0" b="0"/>
                      <wp:wrapNone/>
                      <wp:docPr id="1" name="Rectangle 1"/>
                      <wp:cNvGraphicFramePr/>
                      <a:graphic xmlns:a="http://schemas.openxmlformats.org/drawingml/2006/main">
                        <a:graphicData uri="http://schemas.microsoft.com/office/word/2010/wordprocessingShape">
                          <wps:wsp>
                            <wps:cNvSpPr/>
                            <wps:spPr>
                              <a:xfrm>
                                <a:off x="4345875" y="3512983"/>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5937F04" w14:textId="77777777" w:rsidR="00C531DC"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0BA63B9B" id="Rectangle 1" o:spid="_x0000_s1026" style="position:absolute;left:0;text-align:left;margin-left:60.65pt;margin-top:4.2pt;width:158.25pt;height:42.8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" strokecolor="white [3201]">
                      <v:stroke startarrowwidth="narrow" startarrowlength="short" endarrowwidth="narrow" endarrowlength="short"/>
                      <v:textbox inset="2.53958mm,1.2694mm,2.53958mm,1.2694mm">
                        <w:txbxContent>
                          <w:p w14:paraId="35937F04" w14:textId="77777777" w:rsidR="00C531DC"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67C8C24D" w14:textId="77777777" w:rsidR="00C531DC" w:rsidRDefault="00000000">
            <w:pPr>
              <w:pBdr>
                <w:top w:val="nil"/>
                <w:left w:val="nil"/>
                <w:bottom w:val="nil"/>
                <w:right w:val="nil"/>
                <w:between w:val="nil"/>
              </w:pBdr>
              <w:spacing w:line="276" w:lineRule="auto"/>
              <w:ind w:left="4678"/>
              <w:rPr>
                <w:color w:val="000000"/>
                <w:sz w:val="2"/>
                <w:szCs w:val="2"/>
                <w:highlight w:val="black"/>
              </w:rPr>
            </w:pPr>
            <w:r>
              <w:rPr>
                <w:color w:val="000000"/>
              </w:rPr>
              <w:t>ISSN 2962-391X (Online)</w:t>
            </w:r>
            <w:r>
              <w:rPr>
                <w:color w:val="000000"/>
                <w:sz w:val="2"/>
                <w:szCs w:val="2"/>
                <w:highlight w:val="black"/>
              </w:rPr>
              <w:t xml:space="preserve"> </w:t>
            </w:r>
          </w:p>
          <w:p w14:paraId="1BD2F830" w14:textId="77777777" w:rsidR="00C531DC" w:rsidRDefault="00C531DC">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078818B7" w14:textId="77777777" w:rsidR="00C531DC" w:rsidRDefault="00000000">
            <w:pPr>
              <w:pBdr>
                <w:top w:val="nil"/>
                <w:left w:val="nil"/>
                <w:bottom w:val="nil"/>
                <w:right w:val="nil"/>
                <w:between w:val="nil"/>
              </w:pBdr>
              <w:spacing w:line="276" w:lineRule="auto"/>
              <w:ind w:left="4678"/>
              <w:rPr>
                <w:color w:val="000000"/>
              </w:rPr>
            </w:pPr>
            <w:r>
              <w:rPr>
                <w:color w:val="000000"/>
              </w:rPr>
              <w:t>Vol.</w:t>
            </w:r>
            <w:r>
              <w:t>8</w:t>
            </w:r>
            <w:r>
              <w:rPr>
                <w:color w:val="000000"/>
              </w:rPr>
              <w:t>, No.2, Februari 202</w:t>
            </w:r>
            <w:r>
              <w:t>6</w:t>
            </w:r>
          </w:p>
        </w:tc>
        <w:tc>
          <w:tcPr>
            <w:tcW w:w="20" w:type="dxa"/>
            <w:tcBorders>
              <w:top w:val="single" w:sz="4" w:space="0" w:color="000000"/>
              <w:bottom w:val="single" w:sz="4" w:space="0" w:color="000000"/>
            </w:tcBorders>
          </w:tcPr>
          <w:p w14:paraId="0B28DEB4" w14:textId="77777777" w:rsidR="00C531DC" w:rsidRDefault="00C531DC">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531DC" w14:paraId="60C425B6" w14:textId="77777777">
        <w:trPr>
          <w:gridAfter w:val="1"/>
          <w:wAfter w:w="20" w:type="dxa"/>
        </w:trPr>
        <w:tc>
          <w:tcPr>
            <w:tcW w:w="8789" w:type="dxa"/>
            <w:gridSpan w:val="2"/>
            <w:tcBorders>
              <w:top w:val="single" w:sz="4" w:space="0" w:color="000000"/>
              <w:bottom w:val="single" w:sz="4" w:space="0" w:color="000000"/>
            </w:tcBorders>
          </w:tcPr>
          <w:p w14:paraId="6DE23765" w14:textId="77777777" w:rsidR="00C531DC" w:rsidRDefault="00C531DC">
            <w:pPr>
              <w:spacing w:line="276" w:lineRule="auto"/>
              <w:jc w:val="center"/>
              <w:rPr>
                <w:b/>
                <w:bCs/>
                <w:color w:val="000000"/>
                <w:sz w:val="32"/>
                <w:szCs w:val="32"/>
              </w:rPr>
            </w:pPr>
          </w:p>
          <w:p w14:paraId="1A740DA3" w14:textId="77777777" w:rsidR="00C531DC" w:rsidRDefault="00000000">
            <w:pPr>
              <w:spacing w:line="276" w:lineRule="auto"/>
              <w:jc w:val="center"/>
              <w:rPr>
                <w:b/>
                <w:bCs/>
                <w:sz w:val="32"/>
                <w:szCs w:val="32"/>
              </w:rPr>
            </w:pPr>
            <w:commentRangeStart w:id="0"/>
            <w:r>
              <w:rPr>
                <w:b/>
                <w:bCs/>
                <w:sz w:val="32"/>
                <w:szCs w:val="32"/>
              </w:rPr>
              <w:t>Ingatlah Pencipta Pada Masa Mudamu</w:t>
            </w:r>
          </w:p>
          <w:p w14:paraId="713BE813" w14:textId="77777777" w:rsidR="00C531DC" w:rsidRDefault="00000000">
            <w:pPr>
              <w:spacing w:line="276" w:lineRule="auto"/>
              <w:jc w:val="center"/>
              <w:rPr>
                <w:b/>
                <w:bCs/>
                <w:sz w:val="32"/>
                <w:szCs w:val="32"/>
              </w:rPr>
            </w:pPr>
            <w:r>
              <w:rPr>
                <w:b/>
                <w:bCs/>
                <w:sz w:val="32"/>
                <w:szCs w:val="32"/>
              </w:rPr>
              <w:t>(Tinjauan Historis-Kritis atas Pengkhotbah 12:1-8 dan Relevansinya bagi Pemuda-Pemudi Gereja HKBP)</w:t>
            </w:r>
            <w:commentRangeEnd w:id="0"/>
            <w:r w:rsidR="00E94102">
              <w:rPr>
                <w:rStyle w:val="ReferensiKomentar"/>
                <w:b/>
                <w:bCs/>
                <w:sz w:val="32"/>
                <w:szCs w:val="32"/>
              </w:rPr>
              <w:commentReference w:id="0"/>
            </w:r>
          </w:p>
          <w:p w14:paraId="22431425" w14:textId="77777777" w:rsidR="00C531DC" w:rsidRDefault="00C531DC">
            <w:pPr>
              <w:pBdr>
                <w:top w:val="nil"/>
                <w:left w:val="nil"/>
                <w:bottom w:val="nil"/>
                <w:right w:val="nil"/>
                <w:between w:val="nil"/>
              </w:pBdr>
              <w:spacing w:after="120" w:line="276" w:lineRule="auto"/>
              <w:rPr>
                <w:b/>
                <w:bCs/>
                <w:color w:val="000000"/>
                <w:sz w:val="32"/>
                <w:szCs w:val="32"/>
              </w:rPr>
            </w:pPr>
          </w:p>
          <w:p w14:paraId="02689102" w14:textId="77777777" w:rsidR="00C531DC" w:rsidRDefault="00000000">
            <w:pPr>
              <w:spacing w:before="120" w:line="276" w:lineRule="auto"/>
              <w:ind w:hanging="2"/>
              <w:jc w:val="center"/>
              <w:rPr>
                <w:b/>
                <w:bCs/>
                <w:color w:val="000000"/>
              </w:rPr>
            </w:pPr>
            <w:r>
              <w:rPr>
                <w:b/>
                <w:bCs/>
                <w:color w:val="000000"/>
              </w:rPr>
              <w:t>Boni Fasius Sihombing</w:t>
            </w:r>
            <w:r>
              <w:rPr>
                <w:b/>
                <w:bCs/>
                <w:i/>
                <w:iCs/>
                <w:color w:val="000000"/>
                <w:vertAlign w:val="superscript"/>
              </w:rPr>
              <w:t>1</w:t>
            </w:r>
            <w:r>
              <w:rPr>
                <w:i/>
                <w:iCs/>
                <w:color w:val="000000"/>
              </w:rPr>
              <w:t>*</w:t>
            </w:r>
            <w:r>
              <w:rPr>
                <w:color w:val="000000"/>
                <w:vertAlign w:val="superscript"/>
              </w:rPr>
              <w:t>)</w:t>
            </w:r>
            <w:r>
              <w:rPr>
                <w:b/>
                <w:bCs/>
                <w:i/>
                <w:iCs/>
                <w:color w:val="000000"/>
              </w:rPr>
              <w:t xml:space="preserve"> </w:t>
            </w:r>
          </w:p>
          <w:p w14:paraId="008FAABC" w14:textId="77777777" w:rsidR="00C531DC" w:rsidRDefault="00000000">
            <w:pPr>
              <w:jc w:val="center"/>
            </w:pPr>
            <w:r>
              <w:rPr>
                <w:color w:val="000000"/>
                <w:vertAlign w:val="superscript"/>
              </w:rPr>
              <w:t>1</w:t>
            </w:r>
            <w:r>
              <w:rPr>
                <w:b/>
                <w:bCs/>
                <w:color w:val="000000"/>
              </w:rPr>
              <w:t xml:space="preserve"> Sekolah Tinggi Teologi HKBP</w:t>
            </w:r>
          </w:p>
          <w:p w14:paraId="229599D6" w14:textId="77777777" w:rsidR="00C531DC" w:rsidRDefault="00000000">
            <w:pPr>
              <w:jc w:val="center"/>
            </w:pPr>
            <w:r>
              <w:rPr>
                <w:i/>
                <w:iCs/>
                <w:color w:val="000000"/>
              </w:rPr>
              <w:t>*</w:t>
            </w:r>
            <w:r>
              <w:rPr>
                <w:color w:val="000000"/>
                <w:vertAlign w:val="superscript"/>
              </w:rPr>
              <w:t>)</w:t>
            </w:r>
            <w:hyperlink r:id="rId12">
              <w:r w:rsidR="00C531DC">
                <w:rPr>
                  <w:b/>
                  <w:bCs/>
                  <w:color w:val="0000FF"/>
                  <w:u w:val="single"/>
                </w:rPr>
                <w:t>bonifasiussihombing16@gmail.com</w:t>
              </w:r>
            </w:hyperlink>
          </w:p>
          <w:p w14:paraId="603B5F4E" w14:textId="77777777" w:rsidR="00C531DC" w:rsidRDefault="00C531DC">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531DC" w14:paraId="6645913B" w14:textId="77777777">
        <w:trPr>
          <w:gridAfter w:val="1"/>
          <w:wAfter w:w="20" w:type="dxa"/>
        </w:trPr>
        <w:tc>
          <w:tcPr>
            <w:tcW w:w="2160" w:type="dxa"/>
            <w:tcBorders>
              <w:top w:val="single" w:sz="4" w:space="0" w:color="000000"/>
              <w:bottom w:val="single" w:sz="4" w:space="0" w:color="000000"/>
            </w:tcBorders>
          </w:tcPr>
          <w:p w14:paraId="5FE7AEB3"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56260555"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0BA774D5"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3239D8E2"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70423735"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374CD5AE" w14:textId="77777777" w:rsidR="00C531DC" w:rsidRDefault="00C531DC">
            <w:pPr>
              <w:pBdr>
                <w:top w:val="nil"/>
                <w:left w:val="nil"/>
                <w:bottom w:val="nil"/>
                <w:right w:val="nil"/>
                <w:between w:val="nil"/>
              </w:pBdr>
              <w:rPr>
                <w:rFonts w:ascii="Lustria" w:eastAsia="Lustria" w:hAnsi="Lustria" w:cs="Lustria"/>
                <w:b/>
                <w:bCs/>
                <w:color w:val="000000"/>
                <w:sz w:val="36"/>
                <w:szCs w:val="36"/>
                <w:vertAlign w:val="subscript"/>
              </w:rPr>
            </w:pPr>
          </w:p>
          <w:p w14:paraId="19AE3D92" w14:textId="77777777" w:rsidR="00C531DC"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bCs/>
                <w:color w:val="000000"/>
                <w:sz w:val="36"/>
                <w:szCs w:val="36"/>
                <w:vertAlign w:val="subscript"/>
              </w:rPr>
              <w:t>INFO ARTIKEL</w:t>
            </w:r>
          </w:p>
          <w:p w14:paraId="4C7CB6D9" w14:textId="77777777" w:rsidR="00C531DC"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677F6E22" w14:textId="77777777" w:rsidR="00C531DC" w:rsidRDefault="00000000">
            <w:pPr>
              <w:pBdr>
                <w:top w:val="nil"/>
                <w:left w:val="nil"/>
                <w:bottom w:val="nil"/>
                <w:right w:val="nil"/>
                <w:between w:val="nil"/>
              </w:pBdr>
              <w:rPr>
                <w:color w:val="000000"/>
                <w:sz w:val="36"/>
                <w:szCs w:val="36"/>
                <w:vertAlign w:val="subscript"/>
              </w:rPr>
            </w:pPr>
            <w:r>
              <w:rPr>
                <w:i/>
                <w:iCs/>
                <w:color w:val="000000"/>
                <w:sz w:val="36"/>
                <w:szCs w:val="36"/>
                <w:vertAlign w:val="subscript"/>
              </w:rPr>
              <w:t>Sejarah Artikel:</w:t>
            </w:r>
          </w:p>
          <w:p w14:paraId="1EB0FD3F" w14:textId="77777777" w:rsidR="00C531DC" w:rsidRDefault="00000000">
            <w:pPr>
              <w:pBdr>
                <w:top w:val="nil"/>
                <w:left w:val="nil"/>
                <w:bottom w:val="nil"/>
                <w:right w:val="nil"/>
                <w:between w:val="nil"/>
              </w:pBdr>
              <w:rPr>
                <w:color w:val="000000"/>
                <w:sz w:val="36"/>
                <w:szCs w:val="36"/>
                <w:vertAlign w:val="subscript"/>
              </w:rPr>
            </w:pPr>
            <w:r>
              <w:rPr>
                <w:color w:val="000000"/>
                <w:sz w:val="36"/>
                <w:szCs w:val="36"/>
                <w:vertAlign w:val="subscript"/>
              </w:rPr>
              <w:t>Diterima: 00/11/2026</w:t>
            </w:r>
          </w:p>
          <w:p w14:paraId="06F02D23" w14:textId="77777777" w:rsidR="00C531DC" w:rsidRDefault="00000000">
            <w:pPr>
              <w:pBdr>
                <w:top w:val="nil"/>
                <w:left w:val="nil"/>
                <w:bottom w:val="nil"/>
                <w:right w:val="nil"/>
                <w:between w:val="nil"/>
              </w:pBdr>
              <w:rPr>
                <w:color w:val="000000"/>
                <w:sz w:val="36"/>
                <w:szCs w:val="36"/>
                <w:vertAlign w:val="subscript"/>
              </w:rPr>
            </w:pPr>
            <w:r>
              <w:rPr>
                <w:color w:val="000000"/>
                <w:sz w:val="36"/>
                <w:szCs w:val="36"/>
                <w:vertAlign w:val="subscript"/>
              </w:rPr>
              <w:t>Direvisi: 11/01/2026</w:t>
            </w:r>
          </w:p>
          <w:p w14:paraId="4700439F" w14:textId="77777777" w:rsidR="00C531DC" w:rsidRDefault="00000000">
            <w:pPr>
              <w:pBdr>
                <w:top w:val="nil"/>
                <w:left w:val="nil"/>
                <w:bottom w:val="nil"/>
                <w:right w:val="nil"/>
                <w:between w:val="nil"/>
              </w:pBdr>
              <w:rPr>
                <w:color w:val="000000"/>
                <w:sz w:val="33"/>
                <w:szCs w:val="33"/>
                <w:vertAlign w:val="subscript"/>
              </w:rPr>
            </w:pPr>
            <w:r>
              <w:rPr>
                <w:color w:val="000000"/>
                <w:sz w:val="33"/>
                <w:szCs w:val="33"/>
                <w:vertAlign w:val="subscript"/>
              </w:rPr>
              <w:t>Disetujui: 01/02/2026</w:t>
            </w:r>
          </w:p>
          <w:p w14:paraId="702F1588" w14:textId="785F3D6A" w:rsidR="00C531DC" w:rsidRDefault="00000000">
            <w:pPr>
              <w:pBdr>
                <w:top w:val="nil"/>
                <w:left w:val="nil"/>
                <w:bottom w:val="nil"/>
                <w:right w:val="nil"/>
                <w:between w:val="nil"/>
              </w:pBdr>
              <w:rPr>
                <w:color w:val="000000"/>
                <w:sz w:val="33"/>
                <w:szCs w:val="33"/>
                <w:vertAlign w:val="subscript"/>
              </w:rPr>
            </w:pPr>
            <w:r>
              <w:rPr>
                <w:color w:val="000000"/>
                <w:sz w:val="33"/>
                <w:szCs w:val="33"/>
                <w:vertAlign w:val="subscript"/>
              </w:rPr>
              <w:t>Dipublikasi: 28/01/202</w:t>
            </w:r>
            <w:r w:rsidR="005C008F">
              <w:rPr>
                <w:color w:val="000000"/>
                <w:sz w:val="33"/>
                <w:szCs w:val="33"/>
                <w:vertAlign w:val="subscript"/>
              </w:rPr>
              <w:t>5</w:t>
            </w:r>
          </w:p>
          <w:p w14:paraId="5959FC63" w14:textId="77777777" w:rsidR="00C531DC"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6C345713" w14:textId="77777777" w:rsidR="00C531DC" w:rsidRDefault="00C531DC">
            <w:pPr>
              <w:pBdr>
                <w:top w:val="nil"/>
                <w:left w:val="nil"/>
                <w:bottom w:val="nil"/>
                <w:right w:val="nil"/>
                <w:between w:val="nil"/>
              </w:pBdr>
              <w:spacing w:line="276" w:lineRule="auto"/>
              <w:rPr>
                <w:rFonts w:ascii="Lustria" w:eastAsia="Lustria" w:hAnsi="Lustria" w:cs="Lustria"/>
                <w:i/>
                <w:iCs/>
                <w:color w:val="000000"/>
                <w:sz w:val="16"/>
                <w:szCs w:val="16"/>
              </w:rPr>
            </w:pPr>
          </w:p>
        </w:tc>
        <w:tc>
          <w:tcPr>
            <w:tcW w:w="6629" w:type="dxa"/>
            <w:tcBorders>
              <w:top w:val="single" w:sz="4" w:space="0" w:color="000000"/>
              <w:bottom w:val="single" w:sz="4" w:space="0" w:color="000000"/>
            </w:tcBorders>
          </w:tcPr>
          <w:p w14:paraId="2EFD706F" w14:textId="77777777" w:rsidR="00C531DC"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bCs/>
                <w:color w:val="000000"/>
                <w:sz w:val="36"/>
                <w:szCs w:val="36"/>
                <w:vertAlign w:val="subscript"/>
              </w:rPr>
              <w:t>ABSTRAK</w:t>
            </w:r>
          </w:p>
          <w:p w14:paraId="4BCF27F8" w14:textId="77777777" w:rsidR="00C531DC" w:rsidRDefault="00000000">
            <w:pPr>
              <w:pBdr>
                <w:top w:val="nil"/>
                <w:left w:val="nil"/>
                <w:bottom w:val="nil"/>
                <w:right w:val="nil"/>
                <w:between w:val="nil"/>
              </w:pBdr>
              <w:jc w:val="both"/>
              <w:rPr>
                <w:color w:val="000000"/>
                <w:sz w:val="22"/>
                <w:szCs w:val="22"/>
              </w:rPr>
            </w:pPr>
            <w:r>
              <w:rPr>
                <w:rFonts w:ascii="Lustria" w:eastAsia="Lustria" w:hAnsi="Lustria" w:cs="Lustria"/>
                <w:color w:val="000000"/>
                <w:sz w:val="20"/>
                <w:szCs w:val="20"/>
              </w:rPr>
              <w:t>_____________________________________________________________</w:t>
            </w:r>
            <w:r>
              <w:rPr>
                <w:color w:val="000000"/>
                <w:sz w:val="22"/>
                <w:szCs w:val="22"/>
              </w:rPr>
              <w:t xml:space="preserve"> </w:t>
            </w:r>
          </w:p>
          <w:p w14:paraId="653D202C" w14:textId="77777777" w:rsidR="00C531DC" w:rsidRDefault="00C531DC">
            <w:pPr>
              <w:pBdr>
                <w:top w:val="nil"/>
                <w:left w:val="nil"/>
                <w:bottom w:val="nil"/>
                <w:right w:val="nil"/>
                <w:between w:val="nil"/>
              </w:pBdr>
              <w:jc w:val="both"/>
              <w:rPr>
                <w:color w:val="000000"/>
                <w:sz w:val="22"/>
                <w:szCs w:val="22"/>
              </w:rPr>
            </w:pPr>
          </w:p>
          <w:p w14:paraId="750811F8" w14:textId="77777777" w:rsidR="00C531DC" w:rsidRDefault="00000000">
            <w:pPr>
              <w:ind w:firstLine="720"/>
              <w:jc w:val="both"/>
              <w:rPr>
                <w:color w:val="000000"/>
                <w:sz w:val="22"/>
                <w:szCs w:val="22"/>
              </w:rPr>
            </w:pPr>
            <w:commentRangeStart w:id="1"/>
            <w:r>
              <w:rPr>
                <w:color w:val="000000"/>
                <w:sz w:val="22"/>
                <w:szCs w:val="22"/>
              </w:rPr>
              <w:t xml:space="preserve">Kajian dalam tulisan ini hendak membahas penelitian berkaitan dengan isu seputar pencipta, pemuda dan pemudi dalam relevansinya kepada konteks Gereja HKBP. Dalam tulisan ini terdapat permasalahan umum yang terjadi dalam kehidupan pemuda dan pemudi, yaitu mengenai </w:t>
            </w:r>
            <w:r>
              <w:rPr>
                <w:sz w:val="22"/>
                <w:szCs w:val="22"/>
              </w:rPr>
              <w:t>kesia</w:t>
            </w:r>
            <w:r>
              <w:rPr>
                <w:color w:val="000000"/>
                <w:sz w:val="22"/>
                <w:szCs w:val="22"/>
              </w:rPr>
              <w:t xml:space="preserve">-sia kehidupan manusia selama mereka hidup di Bumi. Konteks ayat yang dihubungkan dalam permasalahan ini berpusat pada ayat pertama dan pada ayat yang ketujuh. Penelitian ini menggunakan metode historis kritis hermeneutika yang digunakan dalam memahami </w:t>
            </w:r>
            <w:r>
              <w:rPr>
                <w:sz w:val="22"/>
                <w:szCs w:val="22"/>
              </w:rPr>
              <w:t>makna</w:t>
            </w:r>
            <w:r>
              <w:rPr>
                <w:color w:val="000000"/>
                <w:sz w:val="22"/>
                <w:szCs w:val="22"/>
              </w:rPr>
              <w:t xml:space="preserve"> kata dan simbol-simbol dalam pengkajian teks. Dan juga menemukan teologi apa yang terkandung dalam teks perikop kemudian akan direlevansikan kepada konteks pemuda dan pemudi HKBP. </w:t>
            </w:r>
            <w:r>
              <w:rPr>
                <w:sz w:val="22"/>
                <w:szCs w:val="22"/>
              </w:rPr>
              <w:t xml:space="preserve">Adapun kesimpulan yang dituai melalui penelitian ini adalah proses keimanan dalam hidup manusia yang amat diperlukan dalam mengingat Pencipta di masa muda. Sebelum menyesal di waktu tua saat tubuh menjadi debu dan kembali pada tanah yang merupakan simbolisasi dari kesia-sian belaka. </w:t>
            </w:r>
            <w:commentRangeEnd w:id="1"/>
            <w:r w:rsidR="00802392">
              <w:rPr>
                <w:rStyle w:val="ReferensiKomentar"/>
                <w:color w:val="000000"/>
                <w:sz w:val="22"/>
                <w:szCs w:val="22"/>
              </w:rPr>
              <w:commentReference w:id="1"/>
            </w:r>
          </w:p>
          <w:p w14:paraId="51A65D11" w14:textId="77777777" w:rsidR="00C531DC" w:rsidRDefault="00000000">
            <w:pPr>
              <w:pBdr>
                <w:top w:val="nil"/>
                <w:left w:val="nil"/>
                <w:bottom w:val="nil"/>
                <w:right w:val="nil"/>
                <w:between w:val="nil"/>
              </w:pBdr>
              <w:spacing w:line="276" w:lineRule="auto"/>
              <w:jc w:val="both"/>
              <w:rPr>
                <w:color w:val="000000"/>
                <w:sz w:val="22"/>
                <w:szCs w:val="22"/>
              </w:rPr>
            </w:pPr>
            <w:r>
              <w:rPr>
                <w:color w:val="000000"/>
                <w:sz w:val="22"/>
                <w:szCs w:val="22"/>
              </w:rPr>
              <w:t>___________________________________________________________</w:t>
            </w:r>
          </w:p>
          <w:p w14:paraId="764D2652" w14:textId="77777777" w:rsidR="00C531DC" w:rsidRDefault="00000000">
            <w:pPr>
              <w:pBdr>
                <w:top w:val="nil"/>
                <w:left w:val="nil"/>
                <w:bottom w:val="nil"/>
                <w:right w:val="nil"/>
                <w:between w:val="nil"/>
              </w:pBdr>
              <w:rPr>
                <w:b/>
                <w:bCs/>
                <w:i/>
                <w:iCs/>
                <w:color w:val="000000"/>
                <w:sz w:val="22"/>
                <w:szCs w:val="22"/>
              </w:rPr>
            </w:pPr>
            <w:r>
              <w:rPr>
                <w:b/>
                <w:bCs/>
                <w:i/>
                <w:iCs/>
                <w:color w:val="000000"/>
                <w:sz w:val="22"/>
                <w:szCs w:val="22"/>
              </w:rPr>
              <w:t>Kata Kunci:</w:t>
            </w:r>
          </w:p>
          <w:p w14:paraId="08C40D21" w14:textId="77777777" w:rsidR="00C531DC" w:rsidRDefault="00000000">
            <w:pPr>
              <w:pBdr>
                <w:top w:val="nil"/>
                <w:left w:val="nil"/>
                <w:bottom w:val="nil"/>
                <w:right w:val="nil"/>
                <w:between w:val="nil"/>
              </w:pBdr>
              <w:rPr>
                <w:i/>
                <w:iCs/>
                <w:color w:val="000000"/>
                <w:sz w:val="22"/>
                <w:szCs w:val="22"/>
              </w:rPr>
            </w:pPr>
            <w:r>
              <w:rPr>
                <w:color w:val="000000"/>
                <w:sz w:val="22"/>
                <w:szCs w:val="22"/>
              </w:rPr>
              <w:t>Ingatlah, Masa Muda, Pengkhotbah 12:1-8, Pemuda dan Pemudi, Gereja HKBP.</w:t>
            </w:r>
          </w:p>
          <w:p w14:paraId="64386FD8" w14:textId="77777777" w:rsidR="00C531DC" w:rsidRDefault="00000000">
            <w:pPr>
              <w:pBdr>
                <w:top w:val="nil"/>
                <w:left w:val="nil"/>
                <w:bottom w:val="nil"/>
                <w:right w:val="nil"/>
                <w:between w:val="nil"/>
              </w:pBdr>
              <w:spacing w:line="276" w:lineRule="auto"/>
              <w:rPr>
                <w:color w:val="000000"/>
                <w:sz w:val="22"/>
                <w:szCs w:val="22"/>
              </w:rPr>
            </w:pPr>
            <w:r>
              <w:rPr>
                <w:color w:val="000000"/>
                <w:sz w:val="22"/>
                <w:szCs w:val="22"/>
              </w:rPr>
              <w:t>___________________________________________________________</w:t>
            </w:r>
          </w:p>
          <w:p w14:paraId="6427AEE6" w14:textId="77777777" w:rsidR="00C531DC" w:rsidRDefault="00C531DC">
            <w:pPr>
              <w:pBdr>
                <w:top w:val="nil"/>
                <w:left w:val="nil"/>
                <w:bottom w:val="nil"/>
                <w:right w:val="nil"/>
                <w:between w:val="nil"/>
              </w:pBdr>
              <w:spacing w:line="276" w:lineRule="auto"/>
              <w:jc w:val="both"/>
              <w:rPr>
                <w:color w:val="000000"/>
                <w:sz w:val="22"/>
                <w:szCs w:val="22"/>
              </w:rPr>
            </w:pPr>
          </w:p>
          <w:p w14:paraId="616D89F1" w14:textId="77777777" w:rsidR="00C531DC" w:rsidRDefault="00000000">
            <w:pPr>
              <w:pBdr>
                <w:top w:val="nil"/>
                <w:left w:val="nil"/>
                <w:bottom w:val="nil"/>
                <w:right w:val="nil"/>
                <w:between w:val="nil"/>
              </w:pBdr>
              <w:spacing w:line="276" w:lineRule="auto"/>
              <w:jc w:val="both"/>
              <w:rPr>
                <w:b/>
                <w:bCs/>
                <w:i/>
                <w:iCs/>
                <w:color w:val="000000"/>
                <w:sz w:val="36"/>
                <w:szCs w:val="36"/>
                <w:vertAlign w:val="subscript"/>
              </w:rPr>
            </w:pPr>
            <w:r>
              <w:rPr>
                <w:b/>
                <w:bCs/>
                <w:i/>
                <w:iCs/>
                <w:color w:val="000000"/>
                <w:sz w:val="36"/>
                <w:szCs w:val="36"/>
                <w:vertAlign w:val="subscript"/>
              </w:rPr>
              <w:t>ABSTRACT</w:t>
            </w:r>
          </w:p>
          <w:p w14:paraId="4251BAF7" w14:textId="77777777" w:rsidR="00C531DC" w:rsidRDefault="00000000">
            <w:pPr>
              <w:pBdr>
                <w:top w:val="nil"/>
                <w:left w:val="nil"/>
                <w:bottom w:val="nil"/>
                <w:right w:val="nil"/>
                <w:between w:val="nil"/>
              </w:pBdr>
              <w:spacing w:line="276" w:lineRule="auto"/>
              <w:jc w:val="both"/>
              <w:rPr>
                <w:b/>
                <w:bCs/>
                <w:i/>
                <w:iCs/>
                <w:color w:val="000000"/>
                <w:sz w:val="36"/>
                <w:szCs w:val="36"/>
                <w:vertAlign w:val="subscript"/>
              </w:rPr>
            </w:pPr>
            <w:r>
              <w:rPr>
                <w:color w:val="000000"/>
                <w:sz w:val="22"/>
                <w:szCs w:val="22"/>
              </w:rPr>
              <w:t>___________________________________________________________</w:t>
            </w:r>
          </w:p>
          <w:p w14:paraId="547E7C75" w14:textId="77777777" w:rsidR="00C531DC" w:rsidRDefault="00000000">
            <w:pPr>
              <w:pBdr>
                <w:top w:val="nil"/>
                <w:left w:val="nil"/>
                <w:bottom w:val="nil"/>
                <w:right w:val="nil"/>
                <w:between w:val="nil"/>
              </w:pBdr>
              <w:jc w:val="both"/>
              <w:rPr>
                <w:i/>
                <w:iCs/>
                <w:color w:val="000000"/>
                <w:sz w:val="22"/>
                <w:szCs w:val="22"/>
              </w:rPr>
            </w:pPr>
            <w:r>
              <w:rPr>
                <w:i/>
                <w:iCs/>
                <w:color w:val="000000"/>
                <w:sz w:val="22"/>
                <w:szCs w:val="22"/>
              </w:rPr>
              <w:t xml:space="preserve">This study aims to examine research related to issues concerning the Creator, young men, and young women in relation to the context of the HKBP Church. The Paper addresses a common problem in the lives of youth namely </w:t>
            </w:r>
          </w:p>
          <w:p w14:paraId="13796F78" w14:textId="77777777" w:rsidR="00C531DC" w:rsidRDefault="00000000">
            <w:pPr>
              <w:pBdr>
                <w:top w:val="nil"/>
                <w:left w:val="nil"/>
                <w:bottom w:val="nil"/>
                <w:right w:val="nil"/>
                <w:between w:val="nil"/>
              </w:pBdr>
              <w:jc w:val="both"/>
              <w:rPr>
                <w:i/>
                <w:iCs/>
                <w:color w:val="000000"/>
                <w:sz w:val="22"/>
                <w:szCs w:val="22"/>
              </w:rPr>
            </w:pPr>
            <w:r>
              <w:rPr>
                <w:i/>
                <w:iCs/>
                <w:color w:val="000000"/>
                <w:sz w:val="22"/>
                <w:szCs w:val="22"/>
              </w:rPr>
              <w:lastRenderedPageBreak/>
              <w:t xml:space="preserve">Church. The paper addresses a common problem in the lives of youth, namely the futility of human life while living on earth. The discussion focuses on the first and seventh verses of the relevant passage. This </w:t>
            </w:r>
            <w:r>
              <w:rPr>
                <w:i/>
                <w:iCs/>
                <w:sz w:val="22"/>
                <w:szCs w:val="22"/>
              </w:rPr>
              <w:t>study</w:t>
            </w:r>
            <w:r>
              <w:rPr>
                <w:i/>
                <w:iCs/>
                <w:color w:val="000000"/>
                <w:sz w:val="22"/>
                <w:szCs w:val="22"/>
              </w:rPr>
              <w:t xml:space="preserve"> employs a historical-critical hermeneutical method to understand the meaning of words and symbols within the textual analysis. It also identifies the theological insight contained in the pericope and applies them to the context of HKBP youth. The conclusions drawn from this research remembering the Creator during youth. This serves as a preparation to avoid regret in old age, when the body returns to dust, symbolizing the futility of life without devotion and spiritual awareness. </w:t>
            </w:r>
          </w:p>
          <w:p w14:paraId="34B615B4" w14:textId="77777777" w:rsidR="00C531DC" w:rsidRDefault="00000000">
            <w:pPr>
              <w:pBdr>
                <w:top w:val="nil"/>
                <w:left w:val="nil"/>
                <w:bottom w:val="nil"/>
                <w:right w:val="nil"/>
                <w:between w:val="nil"/>
              </w:pBdr>
              <w:rPr>
                <w:i/>
                <w:iCs/>
                <w:color w:val="000000"/>
                <w:sz w:val="22"/>
                <w:szCs w:val="22"/>
              </w:rPr>
            </w:pPr>
            <w:r>
              <w:rPr>
                <w:i/>
                <w:iCs/>
                <w:color w:val="000000"/>
                <w:sz w:val="22"/>
                <w:szCs w:val="22"/>
              </w:rPr>
              <w:t>___________________________________________________</w:t>
            </w:r>
          </w:p>
          <w:p w14:paraId="486B5C54" w14:textId="77777777" w:rsidR="00C531DC" w:rsidRDefault="00000000">
            <w:pPr>
              <w:pBdr>
                <w:top w:val="nil"/>
                <w:left w:val="nil"/>
                <w:bottom w:val="nil"/>
                <w:right w:val="nil"/>
                <w:between w:val="nil"/>
              </w:pBdr>
              <w:rPr>
                <w:b/>
                <w:bCs/>
                <w:i/>
                <w:iCs/>
                <w:color w:val="000000"/>
                <w:sz w:val="22"/>
                <w:szCs w:val="22"/>
              </w:rPr>
            </w:pPr>
            <w:r>
              <w:rPr>
                <w:b/>
                <w:bCs/>
                <w:i/>
                <w:iCs/>
                <w:color w:val="000000"/>
                <w:sz w:val="22"/>
                <w:szCs w:val="22"/>
              </w:rPr>
              <w:t>Keywords:</w:t>
            </w:r>
          </w:p>
          <w:p w14:paraId="59C1D65C" w14:textId="77777777" w:rsidR="00C531DC" w:rsidRDefault="00000000">
            <w:pPr>
              <w:pBdr>
                <w:top w:val="nil"/>
                <w:left w:val="nil"/>
                <w:bottom w:val="nil"/>
                <w:right w:val="nil"/>
                <w:between w:val="nil"/>
              </w:pBdr>
              <w:rPr>
                <w:i/>
                <w:iCs/>
                <w:color w:val="000000"/>
                <w:sz w:val="22"/>
                <w:szCs w:val="22"/>
              </w:rPr>
            </w:pPr>
            <w:r>
              <w:rPr>
                <w:i/>
                <w:iCs/>
                <w:color w:val="000000"/>
                <w:sz w:val="22"/>
                <w:szCs w:val="22"/>
              </w:rPr>
              <w:t xml:space="preserve">Remember, Youth, Ecclesiastes 12:1-8, Young Men and Women, HKBP Church. </w:t>
            </w:r>
          </w:p>
          <w:p w14:paraId="7C496B13" w14:textId="77777777" w:rsidR="00C531DC" w:rsidRDefault="00000000">
            <w:pPr>
              <w:pBdr>
                <w:top w:val="nil"/>
                <w:left w:val="nil"/>
                <w:bottom w:val="nil"/>
                <w:right w:val="nil"/>
                <w:between w:val="nil"/>
              </w:pBdr>
              <w:spacing w:line="276" w:lineRule="auto"/>
              <w:rPr>
                <w:rFonts w:ascii="Lustria" w:eastAsia="Lustria" w:hAnsi="Lustria" w:cs="Lustria"/>
                <w:color w:val="000000"/>
                <w:sz w:val="16"/>
                <w:szCs w:val="16"/>
              </w:rPr>
            </w:pPr>
            <w:r>
              <w:rPr>
                <w:color w:val="000000"/>
                <w:sz w:val="22"/>
                <w:szCs w:val="22"/>
              </w:rPr>
              <w:t>___________________________________________________________</w:t>
            </w:r>
          </w:p>
          <w:p w14:paraId="279DA812" w14:textId="77777777" w:rsidR="00C531DC" w:rsidRDefault="00C531DC">
            <w:pPr>
              <w:pBdr>
                <w:top w:val="nil"/>
                <w:left w:val="nil"/>
                <w:bottom w:val="nil"/>
                <w:right w:val="nil"/>
                <w:between w:val="nil"/>
              </w:pBdr>
              <w:jc w:val="both"/>
              <w:rPr>
                <w:rFonts w:ascii="EB Garamond" w:eastAsia="EB Garamond" w:hAnsi="EB Garamond" w:cs="EB Garamond"/>
                <w:color w:val="000000"/>
                <w:sz w:val="20"/>
                <w:szCs w:val="20"/>
              </w:rPr>
            </w:pPr>
          </w:p>
        </w:tc>
      </w:tr>
    </w:tbl>
    <w:p w14:paraId="15E16458" w14:textId="77777777" w:rsidR="00C531DC" w:rsidRDefault="00C531DC">
      <w:pPr>
        <w:pBdr>
          <w:top w:val="nil"/>
          <w:left w:val="nil"/>
          <w:bottom w:val="nil"/>
          <w:right w:val="nil"/>
          <w:between w:val="nil"/>
        </w:pBdr>
        <w:spacing w:line="288" w:lineRule="auto"/>
        <w:rPr>
          <w:rFonts w:ascii="Lustria" w:eastAsia="Lustria" w:hAnsi="Lustria" w:cs="Lustria"/>
          <w:color w:val="000000"/>
          <w:sz w:val="16"/>
          <w:szCs w:val="16"/>
        </w:rPr>
        <w:sectPr w:rsidR="00C531DC">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pgNumType w:start="1"/>
          <w:cols w:space="720"/>
        </w:sectPr>
      </w:pPr>
    </w:p>
    <w:p w14:paraId="02D34AA1" w14:textId="77777777" w:rsidR="00C531DC" w:rsidRDefault="00C531DC">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531DC" w14:paraId="3EE4ABBD" w14:textId="77777777">
        <w:tc>
          <w:tcPr>
            <w:tcW w:w="5111" w:type="dxa"/>
            <w:tcBorders>
              <w:top w:val="single" w:sz="4" w:space="0" w:color="000000"/>
            </w:tcBorders>
          </w:tcPr>
          <w:p w14:paraId="7EE2C0FA" w14:textId="77777777" w:rsidR="00C531DC" w:rsidRDefault="00C531DC">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C122364" w14:textId="77777777" w:rsidR="00C531DC" w:rsidRDefault="00C531DC">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659D4787" w14:textId="77777777" w:rsidR="00C531DC" w:rsidRDefault="00000000">
      <w:pPr>
        <w:jc w:val="both"/>
        <w:rPr>
          <w:b/>
          <w:bCs/>
        </w:rPr>
      </w:pPr>
      <w:commentRangeStart w:id="2"/>
      <w:r>
        <w:rPr>
          <w:b/>
          <w:bCs/>
        </w:rPr>
        <w:t>PENDAHULUAN</w:t>
      </w:r>
      <w:commentRangeEnd w:id="2"/>
      <w:r w:rsidR="00E94102">
        <w:rPr>
          <w:rStyle w:val="ReferensiKomentar"/>
          <w:b/>
          <w:bCs/>
          <w:sz w:val="24"/>
          <w:szCs w:val="24"/>
        </w:rPr>
        <w:commentReference w:id="2"/>
      </w:r>
    </w:p>
    <w:p w14:paraId="5DCDE606" w14:textId="77777777" w:rsidR="00C531DC" w:rsidRDefault="00000000">
      <w:pPr>
        <w:spacing w:line="360" w:lineRule="auto"/>
        <w:ind w:firstLine="720"/>
        <w:jc w:val="both"/>
      </w:pPr>
      <w:r>
        <w:t>Narasi Alkitab sedari awal telah menyajikan berbagai unsur kisah-kisah dengan kandungan teologis yang mendalam bagi kehidupan umat beriman agama Kristen di dunia. Alkitab bukan saja memiliki unsur yang bersifat naratif, namun juga memiliki bahasa yang bersifat puitis dan sebahagian Kitab tersebut menjadi bukti pernyertaan Allah kepada manusia dari sejak lama. Hal ini tiada lain didukung dengan Alkitab sebagai pendoman hidup orang percaya dan juga simbol dalam ritus-ritus peribadatan seperti peringatan atau pun menjadi bagian dalam elemen tertentu. Kitab Perjanjian Lama tentu memiliki memuat beberapa Kitab seperti Kitab Pengkhotbah (Alkhatib) yang merupakan bagian dari Megillot (gulungan-gulungan) dan bagian dari sastra hokma yang ditulis oleh Anak Daud yaitu Salomo beberapa ahli mengatakan mungkin Kitab ini ditulis oleh seseorang setelah beberapa abad setelah Raja Salomo.</w:t>
      </w:r>
      <w:r>
        <w:rPr>
          <w:vertAlign w:val="superscript"/>
        </w:rPr>
        <w:footnoteReference w:id="1"/>
      </w:r>
      <w:r>
        <w:t xml:space="preserve"> </w:t>
      </w:r>
    </w:p>
    <w:p w14:paraId="3EFE682B" w14:textId="77777777" w:rsidR="00C531DC" w:rsidRDefault="00000000">
      <w:pPr>
        <w:spacing w:line="360" w:lineRule="auto"/>
        <w:ind w:firstLine="720"/>
        <w:jc w:val="both"/>
      </w:pPr>
      <w:r>
        <w:t xml:space="preserve">Dalam bahasa Ibrani, Kitab ini disebut dengan </w:t>
      </w:r>
      <w:r>
        <w:rPr>
          <w:i/>
          <w:iCs/>
        </w:rPr>
        <w:t>Qohelet</w:t>
      </w:r>
      <w:r>
        <w:t xml:space="preserve"> </w:t>
      </w:r>
      <w:r>
        <w:rPr>
          <w:b/>
          <w:bCs/>
          <w:i/>
          <w:iCs/>
        </w:rPr>
        <w:t>(</w:t>
      </w:r>
      <w:r>
        <w:rPr>
          <w:b/>
          <w:bCs/>
          <w:i/>
          <w:iCs/>
          <w:rtl/>
        </w:rPr>
        <w:t>קֹהֶלֶת</w:t>
      </w:r>
      <w:r>
        <w:rPr>
          <w:b/>
          <w:bCs/>
          <w:i/>
          <w:iCs/>
        </w:rPr>
        <w:t>)</w:t>
      </w:r>
      <w:r>
        <w:rPr>
          <w:b/>
          <w:bCs/>
        </w:rPr>
        <w:t xml:space="preserve">, </w:t>
      </w:r>
      <w:r>
        <w:t>merupakan bagian dalam karya sastra yang begitu enigmatik disebutkan pada Perjanjian Lama. Kitab ini secara simbolik mendeskripsikan pandangan penulis mengenai kesia-siaan hidup dalam wujud puisi algoris kehidupan manusia.</w:t>
      </w:r>
      <w:r>
        <w:rPr>
          <w:vertAlign w:val="superscript"/>
        </w:rPr>
        <w:footnoteReference w:id="2"/>
      </w:r>
      <w:r>
        <w:t xml:space="preserve"> Kitab ini juga sering di bacakan pada Pesta Pondok Daun </w:t>
      </w:r>
      <w:r>
        <w:lastRenderedPageBreak/>
        <w:t>untuk memperingati perjalanan di Padang Gurun.</w:t>
      </w:r>
      <w:r>
        <w:rPr>
          <w:vertAlign w:val="superscript"/>
        </w:rPr>
        <w:footnoteReference w:id="3"/>
      </w:r>
      <w:r>
        <w:t xml:space="preserve"> Jika merujuk pada salah satu Bab dalam nats Kitab Pengkhotbah, penulis menemukan sesuatu hal yang unik, di mana terdapat akan sebuah peringatan dalam ayat pembacaan memperingati perjalanan di padang gurun ini. Misalnya saja, dalam Pengkhotbah 12:1-8 terkandung unsur-unsur peringatan penulis akan kehidupan bagi orang muda yang pada akhirnya merujuk pada kesia-siaan.</w:t>
      </w:r>
      <w:r>
        <w:rPr>
          <w:vertAlign w:val="superscript"/>
        </w:rPr>
        <w:footnoteReference w:id="4"/>
      </w:r>
      <w:r>
        <w:t xml:space="preserve"> </w:t>
      </w:r>
    </w:p>
    <w:p w14:paraId="40EF1A5B" w14:textId="77777777" w:rsidR="00C531DC" w:rsidRDefault="00000000">
      <w:pPr>
        <w:spacing w:line="360" w:lineRule="auto"/>
        <w:ind w:firstLine="540"/>
        <w:jc w:val="both"/>
      </w:pPr>
      <w:r>
        <w:t xml:space="preserve">Berangkat pada perikop nats diatas, jika diperhadapkan kepada konteks masa kini tentu ini akan sangat nyelekit dengan kehidupan generasi pemuda dan pemudi Gereja HKBP (Huria Kristen Batak Protestan) sebagai jumlah jemaat yang sangat banyak di masa kini. Adapun alasan penulis mengangkat akan isu-isu permasalahan ini adalah melihat dinamika kehidupan arus kemodernan teknologi yang membangun stigma baru dalam pemikiran dan perilaku ihsan kehidupan Pemuda HKBP. Sebagai bukti konkrit para pemuda dan pemudi HKBP kerap sekali terjebak dalam pencarian jati diri yang mengancam kesempatan mereka memanfaatkan kehidupan muda-Nya sebagai umat ciptaan dan Allah di dunia. Pemuda dan pemudi HKBP sering terlibat dalam hal seperti: perjudian, pinjaman </w:t>
      </w:r>
      <w:r>
        <w:rPr>
          <w:i/>
          <w:iCs/>
        </w:rPr>
        <w:t>online</w:t>
      </w:r>
      <w:r>
        <w:t>, pencurian, narkoba, dan sering sekali melupakan Tuhan dalam hidupnya hingga merosot kepada perbuatan yang sia-sia. Hal-hal seperti itu, demikian dirasa akan merusak generasi bangsa dan menghambat pertumbuhan iman spiritualitas yang baik semasa muda-Nya dalam hubungan-Nya kepada Tuhan sebagai pencipta.</w:t>
      </w:r>
    </w:p>
    <w:p w14:paraId="2FD2DBA4" w14:textId="77777777" w:rsidR="00C531DC" w:rsidRDefault="00000000">
      <w:pPr>
        <w:spacing w:line="360" w:lineRule="auto"/>
        <w:ind w:firstLine="540"/>
        <w:jc w:val="both"/>
      </w:pPr>
      <w:r>
        <w:t xml:space="preserve">Oleh karena itu, penulis berusaha untuk membaca secara mendalam mengenai peringatan-peringatan yang ada dalam nats Pengkhotbah, yang nantinya akan dihubungkan sebagai refleksi dan solusi pada tema Pencipta di masa mudamu. Adapun </w:t>
      </w:r>
      <w:r>
        <w:rPr>
          <w:i/>
          <w:iCs/>
        </w:rPr>
        <w:t xml:space="preserve">gap </w:t>
      </w:r>
      <w:r>
        <w:t>penelitian penulis diantaranya adalah sebagai berikut:</w:t>
      </w:r>
      <w:r>
        <w:rPr>
          <w:color w:val="FF0000"/>
        </w:rPr>
        <w:t xml:space="preserve"> </w:t>
      </w:r>
      <w:r>
        <w:t>Mengapa ada sebuah seruan</w:t>
      </w:r>
      <w:r>
        <w:rPr>
          <w:i/>
          <w:iCs/>
        </w:rPr>
        <w:t xml:space="preserve"> “ingatlah akan penciptamu pada masa muda mu!” </w:t>
      </w:r>
      <w:r>
        <w:t xml:space="preserve">pada ada ayat 1?  Apakah maksud dari penyebutan mengenai </w:t>
      </w:r>
      <w:r>
        <w:rPr>
          <w:i/>
          <w:iCs/>
        </w:rPr>
        <w:t>“debu yang kembali menjadi tanah dan nafas hidup kembali pada Allah”</w:t>
      </w:r>
      <w:r>
        <w:t xml:space="preserve"> pada ayat 7? Bagaimana relevansi Pengkhotbah 1-8 terhadap kesadaran pemuda dan pemudi HKBP dalam merenungi kehidupan di masa muda? </w:t>
      </w:r>
    </w:p>
    <w:p w14:paraId="47410077" w14:textId="77777777" w:rsidR="00C531DC" w:rsidRDefault="00000000">
      <w:pPr>
        <w:spacing w:line="360" w:lineRule="auto"/>
        <w:ind w:firstLine="540"/>
        <w:jc w:val="both"/>
      </w:pPr>
      <w:r>
        <w:t xml:space="preserve">Dengan berdasarkan pertanyaan ini, penulis semakin yakin untuk mengangkat permasalahan ini dalam konteks pengkajian ilmiah Historis Kritis guna mendalami dan mengkaji lebih dalam dengan melihat tafsiran, makna dan simbolis dari tiap kata yang terdapat di dalamnya. Mengingat Pengkhotbah 12:1-8, apalagi secara khusus merepresentasikan puncak dari refleksi penulis akan masa muda yang mengandung makna </w:t>
      </w:r>
      <w:r>
        <w:lastRenderedPageBreak/>
        <w:t>kesia-siaan dalam hidup, yang disajikan dalam bentuk puisi alegoris yang kuat tentang penuaan dan kematian.</w:t>
      </w:r>
      <w:r>
        <w:rPr>
          <w:vertAlign w:val="superscript"/>
        </w:rPr>
        <w:t xml:space="preserve"> </w:t>
      </w:r>
      <w:r>
        <w:t>Pada bagian ini merupakan satu deskripsi paling memukau tentang proses penuaan dalam literatur kuno Adapun nantinya penulisan ini akan dihubungkan dengan solusi yang dapat ditawarkan oleh Kitab Pengkhotbah secara langsung kepada permasalahan isu-isu yang dibahas.</w:t>
      </w:r>
      <w:r>
        <w:rPr>
          <w:b/>
          <w:bCs/>
        </w:rPr>
        <w:t xml:space="preserve"> </w:t>
      </w:r>
      <w:r>
        <w:t>Oleh karena itu, penulisan ini amat sangat dibutuhkan mengingat perikop ini akan menjadi sebuah pesan yang sangat teologis dalam pemahaman dan upaya kesadaran bagi gereja pemuda dan pemudi kini agar hidup menggunakan waktu sebaik-baiknya</w:t>
      </w:r>
      <w:r>
        <w:rPr>
          <w:vertAlign w:val="superscript"/>
        </w:rPr>
        <w:footnoteReference w:id="5"/>
      </w:r>
      <w:r>
        <w:t xml:space="preserve"> Melalui pengamatan ini, penulis berhipotesis bahwa kesadaran pencipta sangat penting sebagai pengingat asal-usul dan panduan dalam menjalani hidup. Ketika manusia melupakan penciptanya, maka hidup penuh dengan kesia-siaan yang terlena oleh waktu, di mana tujuan dan batasan diri diabaikan oleh manusia.</w:t>
      </w:r>
    </w:p>
    <w:p w14:paraId="23BB9F90" w14:textId="77777777" w:rsidR="00C531DC" w:rsidRDefault="00C531DC">
      <w:pPr>
        <w:jc w:val="both"/>
        <w:rPr>
          <w:b/>
          <w:bCs/>
        </w:rPr>
      </w:pPr>
    </w:p>
    <w:p w14:paraId="6FE511FB" w14:textId="77777777" w:rsidR="00C531DC" w:rsidRDefault="00000000">
      <w:pPr>
        <w:tabs>
          <w:tab w:val="left" w:pos="284"/>
        </w:tabs>
        <w:jc w:val="both"/>
        <w:rPr>
          <w:b/>
          <w:bCs/>
        </w:rPr>
      </w:pPr>
      <w:commentRangeStart w:id="3"/>
      <w:r>
        <w:rPr>
          <w:b/>
          <w:bCs/>
        </w:rPr>
        <w:t>METODE PENELITIAN</w:t>
      </w:r>
      <w:commentRangeEnd w:id="3"/>
      <w:r w:rsidR="00E94102">
        <w:rPr>
          <w:rStyle w:val="ReferensiKomentar"/>
          <w:b/>
          <w:bCs/>
          <w:sz w:val="24"/>
          <w:szCs w:val="24"/>
        </w:rPr>
        <w:commentReference w:id="3"/>
      </w:r>
    </w:p>
    <w:p w14:paraId="41EFACA4" w14:textId="77777777" w:rsidR="00C531DC" w:rsidRDefault="00000000">
      <w:pPr>
        <w:spacing w:line="360" w:lineRule="auto"/>
        <w:ind w:firstLine="540"/>
        <w:jc w:val="both"/>
      </w:pPr>
      <w:r>
        <w:t xml:space="preserve">Adapun batasan-batasan dalam penulisan ini sendiri akan mengkaji dan menganalisis Pengkhotbah 12:1-8 dengan metode historis-kritis. Penelitian memiliki tujuan untuk memahami bagaimana teks relevan bagi para pemuda masa kini, dan menekankan pentingnya mengingat pencipta dalam menghadapi berbagai pengaruh modernitas hidup di masa muda. Nantinya, secara kontekstual penelitian ini akan dihubungkan dengan upaya-upaya apa saja yang dilakukan HKBP dalam merangkul pemuda dan pemudi HKBP untuk merenungkan akan pencipta di masa Muda. Sejalan dengan ajaran HKBP yang mengedepankan iman dan pengenalan akan Tuhan sebagai dasar kehidupan yang sejati. </w:t>
      </w:r>
    </w:p>
    <w:p w14:paraId="22BEDD22" w14:textId="77777777" w:rsidR="00C531DC" w:rsidRDefault="00000000">
      <w:pPr>
        <w:spacing w:line="360" w:lineRule="auto"/>
        <w:ind w:firstLine="540"/>
        <w:jc w:val="both"/>
      </w:pPr>
      <w:r>
        <w:t xml:space="preserve">Namun, sebaiknya sebelum memasuki dengan pengkajian mendalam ada baiknya dilanjutkan terlebih dahulu dengan memperkenalkan metode penelitian yang digunakan agar memahami ranah dalam pengkajian penelitian yang dilakukan dalam tulisan ilmiah ini. Dalam penulisan ini metode yang digunakan adalah metode historis kritis hermeneutika. Melalui metode ini dapat digunakan dalam memahami berbagai makna kata, simbol-simbol dalam pengkajian terhadap teks. Metode ini juga tidak terlepas dari cara penafsir dalam memahami konteks dalam hal historis, makna leksikal kata, analisis perbandingan, teologi yang terkandung hingga nanti akan dihubungkan dengan relevansi yang sesuai berangkat pada perikop pembahasan yang akan dibawa tentunya dalam konteks pemuda dan pemudi HKBP kini. Dalam penelitian ini juga digunakan kajian literatur guna menunjang sumber informasi yang relevan seperti buku, sumber internet, jurnal dan lain-lain dengan tema dan </w:t>
      </w:r>
      <w:r>
        <w:lastRenderedPageBreak/>
        <w:t>juga akan menggunakan dokumen gereja untuk memperkuat relevansi dalam memahami akan konteks ke masa kini.</w:t>
      </w:r>
    </w:p>
    <w:p w14:paraId="0F3614C1" w14:textId="77777777" w:rsidR="00C531DC" w:rsidRDefault="00C531DC">
      <w:pPr>
        <w:jc w:val="both"/>
        <w:rPr>
          <w:b/>
          <w:bCs/>
        </w:rPr>
      </w:pPr>
    </w:p>
    <w:p w14:paraId="28C6FAD2" w14:textId="77777777" w:rsidR="00C531DC" w:rsidRDefault="00000000">
      <w:pPr>
        <w:jc w:val="both"/>
        <w:rPr>
          <w:b/>
          <w:bCs/>
        </w:rPr>
      </w:pPr>
      <w:r>
        <w:rPr>
          <w:b/>
          <w:bCs/>
        </w:rPr>
        <w:t>HASIL DAN PEMBAHASAN</w:t>
      </w:r>
    </w:p>
    <w:p w14:paraId="7491016F" w14:textId="77777777" w:rsidR="00C531DC" w:rsidRDefault="00000000">
      <w:pPr>
        <w:spacing w:line="360" w:lineRule="auto"/>
        <w:jc w:val="both"/>
        <w:rPr>
          <w:b/>
          <w:bCs/>
        </w:rPr>
      </w:pPr>
      <w:r>
        <w:rPr>
          <w:b/>
          <w:bCs/>
        </w:rPr>
        <w:t xml:space="preserve">Makna Leksikal kata”Ingatlah”, “Pencipta” dan “Muda” </w:t>
      </w:r>
    </w:p>
    <w:p w14:paraId="79F0F389" w14:textId="77777777" w:rsidR="00C531DC" w:rsidRDefault="00000000">
      <w:pPr>
        <w:spacing w:line="360" w:lineRule="auto"/>
        <w:jc w:val="both"/>
      </w:pPr>
      <w:r>
        <w:rPr>
          <w:b/>
          <w:bCs/>
        </w:rPr>
        <w:tab/>
      </w:r>
      <w:r>
        <w:t xml:space="preserve">Pada judul tema diatas yaitu “Ingatlah Pencipta pada masa mudamu,” mengambil 3 kata yang merujuk pada pembahasan yang terdapat dalam Pengkhotbah 12:1-8. Di mana fokus rumusan masalah ini terfokus pada 3 ayat pada ayat 1 dan 7 dengan meng-kerucukan pada kata “Ingatlah, Pencipta dan Muda.”  Dengan demikian perlu mendalami lebih dahulu makna leksikal dan simbol yang terdapat dalam prosa kata ini. Dalam perikop ini terdapat kata “ingatlah”dalam bahasa Ibrani berasal dari akar kata </w:t>
      </w:r>
      <w:r>
        <w:rPr>
          <w:i/>
          <w:iCs/>
          <w:rtl/>
        </w:rPr>
        <w:t>זָכַר</w:t>
      </w:r>
      <w:r>
        <w:rPr>
          <w:i/>
          <w:iCs/>
        </w:rPr>
        <w:t xml:space="preserve"> (zakar)</w:t>
      </w:r>
      <w:r>
        <w:t xml:space="preserve">, menurut </w:t>
      </w:r>
      <w:r>
        <w:rPr>
          <w:i/>
          <w:iCs/>
        </w:rPr>
        <w:t>Theological</w:t>
      </w:r>
      <w:r>
        <w:t xml:space="preserve"> </w:t>
      </w:r>
      <w:r>
        <w:rPr>
          <w:i/>
          <w:iCs/>
        </w:rPr>
        <w:t>Dictionary of the Old Testament</w:t>
      </w:r>
      <w:r>
        <w:t xml:space="preserve">, kata ini terlihat dalam bentuk </w:t>
      </w:r>
      <w:r>
        <w:rPr>
          <w:i/>
          <w:iCs/>
        </w:rPr>
        <w:t xml:space="preserve">qal </w:t>
      </w:r>
      <w:r>
        <w:t xml:space="preserve">sebanyak 169 kali, lainya dalam bentuk </w:t>
      </w:r>
      <w:r>
        <w:rPr>
          <w:i/>
          <w:iCs/>
        </w:rPr>
        <w:t xml:space="preserve">niphal </w:t>
      </w:r>
      <w:r>
        <w:t xml:space="preserve">41 kali, hiphil dengan jumlah 42 kali. Kata </w:t>
      </w:r>
      <w:r>
        <w:rPr>
          <w:i/>
          <w:iCs/>
          <w:rtl/>
        </w:rPr>
        <w:t>זָכַר</w:t>
      </w:r>
      <w:r>
        <w:rPr>
          <w:i/>
          <w:iCs/>
        </w:rPr>
        <w:t xml:space="preserve"> (zakar)</w:t>
      </w:r>
      <w:r>
        <w:t>, secara khusus dipakai untuk menggambarkan perilaku tindakan mengingat yang memiliki kandungan teologi dalam implikasi yang mendalam, hal ini menyimbolkan akan tindakan meningkat adalah keharusan manusia terlebih dalam hal ketika Allah mengingat ciptaan-Nya dan maupun ketika ciptaan mengingat akan Pencipta-Nya.</w:t>
      </w:r>
      <w:r>
        <w:rPr>
          <w:vertAlign w:val="superscript"/>
        </w:rPr>
        <w:footnoteReference w:id="6"/>
      </w:r>
    </w:p>
    <w:p w14:paraId="2BBBC47C" w14:textId="77777777" w:rsidR="00C531DC" w:rsidRDefault="00000000">
      <w:pPr>
        <w:spacing w:line="360" w:lineRule="auto"/>
        <w:ind w:firstLine="720"/>
        <w:jc w:val="both"/>
      </w:pPr>
      <w:r>
        <w:t xml:space="preserve">Dalam septuaginta terjemahan Yunani untuk Perjanjian lama, kata ini di terjemahkan dengan kata </w:t>
      </w:r>
      <w:r>
        <w:rPr>
          <w:i/>
          <w:iCs/>
        </w:rPr>
        <w:t>“mimneskesthai”</w:t>
      </w:r>
      <w:r>
        <w:t xml:space="preserve"> atau yang berarti mengingat, atau </w:t>
      </w:r>
      <w:r>
        <w:rPr>
          <w:i/>
          <w:iCs/>
        </w:rPr>
        <w:t>“mnemeneuuein”</w:t>
      </w:r>
      <w:r>
        <w:t xml:space="preserve">. Kata ini melambangkan akan dimensi yang berkaitan akan perjanjian Allah dan manusia. Para sarjana mengungkapkan bahwa kata </w:t>
      </w:r>
      <w:r>
        <w:rPr>
          <w:i/>
          <w:iCs/>
          <w:rtl/>
        </w:rPr>
        <w:t>זָכַר</w:t>
      </w:r>
      <w:r>
        <w:rPr>
          <w:i/>
          <w:iCs/>
        </w:rPr>
        <w:t xml:space="preserve"> (zakar)</w:t>
      </w:r>
      <w:r>
        <w:t xml:space="preserve"> ini terlihat pada masa periode awal dalam historis Israel yaitu pada masa pra-pembuangan maupun pasca-pembuangan,  menurut para sarjana ini kata “ ingatlah” mengandung konsistensi konsep mengingat dalam konsep teologi Israel. Hal ini dapat ditemukan dalam Ezra 9:7; Nehemia 1:8;9:17; Zakharia 10:9; dan Maleakhi 3:16. Menurut gramatikalnya, kata </w:t>
      </w:r>
      <w:r>
        <w:rPr>
          <w:rtl/>
        </w:rPr>
        <w:t>זָכַר</w:t>
      </w:r>
      <w:r>
        <w:t xml:space="preserve"> (zakar), berhubungan langsung dengan kata Allah sebagai pencipta (subjek), ini mendeskripsikan tindakan ilahi yang berpengaruh secara pasif untuk di ingat. Namun, jika berdasarkan bentuk Imperatifnya kata ini, dapat dilihat menjadi sebuah kata seruan atau perintah yang bersifat kontekstual dalam ritual perayaan, dan ketaatan pada Taurat.  Adapun bukti pernyataan ini dapat dilihat dalam sebuah dekalog dalam kalimat “Ingatlah hari sabat” dalam keluaran 20:8. Juga, kata ini mengandung aspek </w:t>
      </w:r>
      <w:r>
        <w:lastRenderedPageBreak/>
        <w:t>akusatif dalam pentingnya objek yang perlu dingat dalam sebuah perjanjian seperti antara Allah dan Israel.</w:t>
      </w:r>
      <w:r>
        <w:rPr>
          <w:vertAlign w:val="superscript"/>
        </w:rPr>
        <w:footnoteReference w:id="7"/>
      </w:r>
    </w:p>
    <w:p w14:paraId="5D6D8A4F" w14:textId="77777777" w:rsidR="00C531DC" w:rsidRDefault="00000000">
      <w:pPr>
        <w:spacing w:line="360" w:lineRule="auto"/>
        <w:ind w:firstLine="720"/>
        <w:jc w:val="both"/>
      </w:pPr>
      <w:r>
        <w:t xml:space="preserve">Kemudian pada kata “Pencipta” dalam kata Ibrani </w:t>
      </w:r>
      <w:r>
        <w:rPr>
          <w:i/>
          <w:iCs/>
          <w:rtl/>
        </w:rPr>
        <w:t>בָּרָא</w:t>
      </w:r>
      <w:r>
        <w:t xml:space="preserve"> </w:t>
      </w:r>
      <w:r>
        <w:rPr>
          <w:i/>
          <w:iCs/>
        </w:rPr>
        <w:t>(bara),</w:t>
      </w:r>
      <w:r>
        <w:t xml:space="preserve"> pada buku </w:t>
      </w:r>
      <w:r>
        <w:rPr>
          <w:i/>
          <w:iCs/>
        </w:rPr>
        <w:t xml:space="preserve">Theological Dictionary of the Old Testament, </w:t>
      </w:r>
      <w:r>
        <w:t>diperlihatkan muncul dengan bentuk</w:t>
      </w:r>
      <w:r>
        <w:rPr>
          <w:i/>
          <w:iCs/>
        </w:rPr>
        <w:t xml:space="preserve"> qal</w:t>
      </w:r>
      <w:r>
        <w:t xml:space="preserve">, setidaknya sebanyak 38 kali.  Bentuk lainya seperti </w:t>
      </w:r>
      <w:r>
        <w:rPr>
          <w:i/>
          <w:iCs/>
        </w:rPr>
        <w:t>niphal</w:t>
      </w:r>
      <w:r>
        <w:t xml:space="preserve"> </w:t>
      </w:r>
      <w:r>
        <w:rPr>
          <w:i/>
          <w:iCs/>
        </w:rPr>
        <w:t>10</w:t>
      </w:r>
      <w:r>
        <w:t xml:space="preserve"> kali dan kemudian yang hanya satu kali terlihat yaitu </w:t>
      </w:r>
      <w:r>
        <w:rPr>
          <w:i/>
          <w:iCs/>
        </w:rPr>
        <w:t>hiphil</w:t>
      </w:r>
      <w:r>
        <w:t xml:space="preserve">. Secara eksklusif kata </w:t>
      </w:r>
      <w:r>
        <w:rPr>
          <w:b/>
          <w:bCs/>
          <w:i/>
          <w:iCs/>
          <w:rtl/>
        </w:rPr>
        <w:t>בָּרָא</w:t>
      </w:r>
      <w:r>
        <w:rPr>
          <w:b/>
          <w:bCs/>
          <w:i/>
          <w:iCs/>
        </w:rPr>
        <w:t xml:space="preserve"> </w:t>
      </w:r>
      <w:r>
        <w:rPr>
          <w:i/>
          <w:iCs/>
        </w:rPr>
        <w:t>(bara)</w:t>
      </w:r>
      <w:r>
        <w:t xml:space="preserve"> digunakan untuk mendeskripsikan tindakan yang dilakukan dengan penciptaan Ilahi bagi manusia. Dalam Septuaginta kata ini diterjemahkan dengan bentuk </w:t>
      </w:r>
      <w:r>
        <w:rPr>
          <w:i/>
          <w:iCs/>
        </w:rPr>
        <w:t>ktizein</w:t>
      </w:r>
      <w:r>
        <w:t xml:space="preserve"> atau yang berupa kata tindakan menciptakan yang kadang juga disebut sebagai </w:t>
      </w:r>
      <w:r>
        <w:rPr>
          <w:i/>
          <w:iCs/>
        </w:rPr>
        <w:t>pipein</w:t>
      </w:r>
      <w:r>
        <w:rPr>
          <w:b/>
          <w:bCs/>
          <w:i/>
          <w:iCs/>
        </w:rPr>
        <w:t xml:space="preserve"> </w:t>
      </w:r>
      <w:r>
        <w:t xml:space="preserve">yang disebut dengan membuat. Umumnya, kata ini diduga muncul pertama kali dalam zaman periode politik sementara (1 Raj. 12:19; 2 Raj. 1:1; 3:5, 7:8:20, 22). Kata ini umumnya digunakan pada masa-masa abad yang ke 9 dan juga ke-9. Dalam teks-teks setelah pembuangan atau yang umum disebut sebagai pasca pembuangan terdapat beberapa kata yang menyebutkan kata pencipta atau bara dalam kutipan teks seperti (Ezr. 10:13; Am. 4:4; 2 Taw. 10:19; 21:8, 10: Dnl. 8:23). Berdasarkan gramatikalnya, subjek akan kata </w:t>
      </w:r>
      <w:r>
        <w:rPr>
          <w:i/>
          <w:iCs/>
          <w:rtl/>
        </w:rPr>
        <w:t>בָּרָא</w:t>
      </w:r>
      <w:r>
        <w:rPr>
          <w:i/>
          <w:iCs/>
        </w:rPr>
        <w:t xml:space="preserve"> (Bara) </w:t>
      </w:r>
      <w:r>
        <w:t xml:space="preserve">akan selalu menuju kepada Allah, namun disertai dengan berbagai objek yang sangat bervariasi merujuk pada langit dan bumi, dan juga kepada manusia. Dalam kata </w:t>
      </w:r>
      <w:r>
        <w:rPr>
          <w:i/>
          <w:iCs/>
          <w:rtl/>
        </w:rPr>
        <w:t>בָּרָא</w:t>
      </w:r>
      <w:r>
        <w:rPr>
          <w:i/>
          <w:iCs/>
        </w:rPr>
        <w:t>,</w:t>
      </w:r>
      <w:r>
        <w:t xml:space="preserve"> juga memperlihatkan akan bentuk akusatif yang menekankan akan begitu amat pentingnya tindakan penciptaan Ilahi.</w:t>
      </w:r>
      <w:r>
        <w:rPr>
          <w:vertAlign w:val="superscript"/>
        </w:rPr>
        <w:footnoteReference w:id="8"/>
      </w:r>
    </w:p>
    <w:p w14:paraId="4E5FDA8E" w14:textId="77777777" w:rsidR="00C531DC" w:rsidRDefault="00000000">
      <w:pPr>
        <w:spacing w:line="360" w:lineRule="auto"/>
        <w:ind w:firstLine="720"/>
        <w:jc w:val="both"/>
        <w:rPr>
          <w:b/>
          <w:bCs/>
        </w:rPr>
      </w:pPr>
      <w:r>
        <w:t xml:space="preserve">Terakhir kata “Muda” disebut dengan kata </w:t>
      </w:r>
      <w:r>
        <w:rPr>
          <w:b/>
          <w:bCs/>
          <w:i/>
          <w:iCs/>
          <w:rtl/>
        </w:rPr>
        <w:t>נחור</w:t>
      </w:r>
      <w:r>
        <w:rPr>
          <w:b/>
          <w:bCs/>
          <w:i/>
          <w:iCs/>
        </w:rPr>
        <w:t xml:space="preserve"> </w:t>
      </w:r>
      <w:r>
        <w:rPr>
          <w:i/>
          <w:iCs/>
        </w:rPr>
        <w:t>(nachur)</w:t>
      </w:r>
      <w:r>
        <w:t xml:space="preserve"> dalam buku </w:t>
      </w:r>
      <w:r>
        <w:rPr>
          <w:i/>
          <w:iCs/>
        </w:rPr>
        <w:t xml:space="preserve">“Theological Dictionary of the Old Testament”, </w:t>
      </w:r>
      <w:r>
        <w:t>kata ini</w:t>
      </w:r>
      <w:r>
        <w:rPr>
          <w:b/>
          <w:bCs/>
          <w:i/>
          <w:iCs/>
        </w:rPr>
        <w:t xml:space="preserve"> </w:t>
      </w:r>
      <w:r>
        <w:t>menggambarkan tahap kehidupan yaitu muda.</w:t>
      </w:r>
      <w:r>
        <w:rPr>
          <w:b/>
          <w:bCs/>
        </w:rPr>
        <w:t xml:space="preserve"> </w:t>
      </w:r>
      <w:r>
        <w:t xml:space="preserve">Kata ini memiliki hubungan dengan kehidupan dalam masyarakat Ibrani kuno. Kata ini dalam Perjanjian Lama muncul dengan jumlah 235 kali, hal ini menjadi bukti bagi kata ini yang merupakan signifikansi literatur biblika. Kata </w:t>
      </w:r>
      <w:r>
        <w:rPr>
          <w:i/>
          <w:iCs/>
        </w:rPr>
        <w:t>nachu</w:t>
      </w:r>
      <w:r>
        <w:t xml:space="preserve"> menekankan pentingnya masa muda dalam kehidupan manusia. Secara etimologis dan terminologi, kata ini berkaitan dengan bahasa Semit, misalnya saja bahasa Akkadia “</w:t>
      </w:r>
      <w:r>
        <w:rPr>
          <w:i/>
          <w:iCs/>
        </w:rPr>
        <w:t xml:space="preserve">naʾāru” </w:t>
      </w:r>
      <w:r>
        <w:t>dan  bahasa Arab</w:t>
      </w:r>
      <w:r>
        <w:rPr>
          <w:b/>
          <w:bCs/>
        </w:rPr>
        <w:t xml:space="preserve"> </w:t>
      </w:r>
      <w:r>
        <w:rPr>
          <w:i/>
          <w:iCs/>
        </w:rPr>
        <w:t>“naʿara,”</w:t>
      </w:r>
      <w:r>
        <w:rPr>
          <w:b/>
          <w:bCs/>
          <w:i/>
          <w:iCs/>
        </w:rPr>
        <w:t xml:space="preserve"> </w:t>
      </w:r>
      <w:r>
        <w:t xml:space="preserve">yang berarti berteriak dan mendengus. Selain kata </w:t>
      </w:r>
      <w:r>
        <w:rPr>
          <w:i/>
          <w:iCs/>
        </w:rPr>
        <w:t xml:space="preserve">nachur, </w:t>
      </w:r>
      <w:r>
        <w:t xml:space="preserve"> kata ini juga muncul dalam bentuk kata kerja yaitu </w:t>
      </w:r>
      <w:r>
        <w:rPr>
          <w:b/>
          <w:bCs/>
          <w:i/>
          <w:iCs/>
          <w:highlight w:val="white"/>
        </w:rPr>
        <w:t>(</w:t>
      </w:r>
      <w:r>
        <w:rPr>
          <w:b/>
          <w:bCs/>
          <w:i/>
          <w:iCs/>
          <w:highlight w:val="white"/>
          <w:rtl/>
        </w:rPr>
        <w:t>נער</w:t>
      </w:r>
      <w:r>
        <w:rPr>
          <w:b/>
          <w:bCs/>
          <w:i/>
          <w:iCs/>
          <w:highlight w:val="white"/>
        </w:rPr>
        <w:t>)</w:t>
      </w:r>
      <w:r>
        <w:rPr>
          <w:i/>
          <w:iCs/>
        </w:rPr>
        <w:t xml:space="preserve"> “na’ar”</w:t>
      </w:r>
      <w:r>
        <w:rPr>
          <w:b/>
          <w:bCs/>
          <w:highlight w:val="white"/>
        </w:rPr>
        <w:t xml:space="preserve">, </w:t>
      </w:r>
      <w:r>
        <w:rPr>
          <w:highlight w:val="white"/>
        </w:rPr>
        <w:t>yang muncul dalam jumlah 239 kali.</w:t>
      </w:r>
      <w:r>
        <w:rPr>
          <w:b/>
          <w:bCs/>
          <w:highlight w:val="white"/>
        </w:rPr>
        <w:t xml:space="preserve"> </w:t>
      </w:r>
      <w:r>
        <w:rPr>
          <w:highlight w:val="white"/>
        </w:rPr>
        <w:t xml:space="preserve">Arti dari kata ini sendiri merujuk pada kata “pemuda”. Penggunaan kata ini dalam teks pasca pembuangan ditandakan sebagai seseorang yang mengalami masa transisi dari anak-anak ke dewasa. Pada umumnya, kata ini merujuk pada anak laki-laki muda yang belum menikah sama sekali </w:t>
      </w:r>
      <w:r>
        <w:rPr>
          <w:highlight w:val="white"/>
        </w:rPr>
        <w:lastRenderedPageBreak/>
        <w:t>tetapi, sudah mencapai kedewasaan seksual. Istilah dalam ini juga dapat mendeskripsikan status sosial yang sering dikaitkan dengan pelayan atau prajurit muda.</w:t>
      </w:r>
      <w:r>
        <w:rPr>
          <w:vertAlign w:val="superscript"/>
        </w:rPr>
        <w:footnoteReference w:id="9"/>
      </w:r>
    </w:p>
    <w:p w14:paraId="4E505BF7" w14:textId="77777777" w:rsidR="00C531DC" w:rsidRDefault="00C531DC">
      <w:pPr>
        <w:spacing w:line="360" w:lineRule="auto"/>
        <w:rPr>
          <w:b/>
          <w:bCs/>
        </w:rPr>
      </w:pPr>
    </w:p>
    <w:p w14:paraId="7BE4FF86" w14:textId="77777777" w:rsidR="00C531DC" w:rsidRDefault="00000000">
      <w:pPr>
        <w:spacing w:line="360" w:lineRule="auto"/>
        <w:rPr>
          <w:b/>
          <w:bCs/>
        </w:rPr>
      </w:pPr>
      <w:r>
        <w:rPr>
          <w:b/>
          <w:bCs/>
        </w:rPr>
        <w:t>Analisis perbandingan dalam Pengkhtobah 12:1-8</w:t>
      </w:r>
    </w:p>
    <w:p w14:paraId="1B2BADFE" w14:textId="77777777" w:rsidR="00C531DC" w:rsidRDefault="00000000">
      <w:pPr>
        <w:spacing w:line="360" w:lineRule="auto"/>
        <w:jc w:val="both"/>
      </w:pPr>
      <w:r>
        <w:rPr>
          <w:b/>
          <w:bCs/>
        </w:rPr>
        <w:tab/>
      </w:r>
      <w:r>
        <w:t xml:space="preserve">Setelah melalui penelahaan pada kata lesikal kemudian diperlukan sebuagh penganalisisan dengan mencakupkan perbandingan yang ada dalam perikop Pengkhotbah guna melihat perbandingan kata yang terdapat dalam perkop pada ayat 1 dan 7. Dibawa ini disajikan. </w:t>
      </w:r>
    </w:p>
    <w:p w14:paraId="75BEBBEB" w14:textId="77777777" w:rsidR="00C531DC" w:rsidRDefault="00C531DC">
      <w:pPr>
        <w:spacing w:line="360" w:lineRule="auto"/>
        <w:rPr>
          <w:b/>
          <w:bCs/>
        </w:rPr>
      </w:pPr>
    </w:p>
    <w:p w14:paraId="313C0DA0" w14:textId="77777777" w:rsidR="00C531DC" w:rsidRDefault="00000000">
      <w:pPr>
        <w:spacing w:line="360" w:lineRule="auto"/>
        <w:rPr>
          <w:b/>
          <w:bCs/>
        </w:rPr>
      </w:pPr>
      <w:r>
        <w:rPr>
          <w:b/>
          <w:bCs/>
        </w:rPr>
        <w:t>Pengkhotbah 12:1</w:t>
      </w:r>
    </w:p>
    <w:p w14:paraId="67E3724A" w14:textId="77777777" w:rsidR="00C531DC" w:rsidRDefault="00000000">
      <w:pPr>
        <w:spacing w:line="360" w:lineRule="auto"/>
        <w:ind w:left="3600" w:firstLine="720"/>
        <w:rPr>
          <w:b/>
          <w:bCs/>
          <w:i/>
          <w:iCs/>
        </w:rPr>
      </w:pPr>
      <w:r>
        <w:rPr>
          <w:b/>
          <w:bCs/>
          <w:i/>
          <w:iCs/>
          <w:rtl/>
        </w:rPr>
        <w:t>זְכֹר אֶת־בּוֹרְאֶךָ בִּימֵי בְּחוּרוֹתֶיךָ עַד אֲשֶׁר לֹא־יָבֹאוּ יְמֵי הָרָעָה וְהִגִּיעוּ שָׁנִים אֲשֶׁר תֹּאמַר אֵין־לִי בָהֶם חֵפֶץ</w:t>
      </w:r>
      <w:r>
        <w:rPr>
          <w:b/>
          <w:bCs/>
          <w:i/>
          <w:iCs/>
          <w:vertAlign w:val="superscript"/>
        </w:rPr>
        <w:footnoteReference w:id="10"/>
      </w:r>
    </w:p>
    <w:p w14:paraId="1BA45F72" w14:textId="77777777" w:rsidR="00C531DC" w:rsidRDefault="00C531DC">
      <w:pPr>
        <w:spacing w:line="360" w:lineRule="auto"/>
        <w:ind w:left="3600" w:firstLine="720"/>
        <w:rPr>
          <w:b/>
          <w:bCs/>
        </w:rPr>
      </w:pPr>
    </w:p>
    <w:p w14:paraId="0BEE54BC" w14:textId="77777777" w:rsidR="00C531DC" w:rsidRDefault="00000000">
      <w:pPr>
        <w:spacing w:line="360" w:lineRule="auto"/>
        <w:jc w:val="both"/>
      </w:pPr>
      <w:r>
        <w:rPr>
          <w:b/>
          <w:bCs/>
          <w:i/>
          <w:iCs/>
          <w:rtl/>
        </w:rPr>
        <w:t>זְכֹר</w:t>
      </w:r>
      <w:r>
        <w:rPr>
          <w:b/>
          <w:bCs/>
          <w:i/>
          <w:iCs/>
        </w:rPr>
        <w:t xml:space="preserve"> </w:t>
      </w:r>
      <w:r>
        <w:rPr>
          <w:i/>
          <w:iCs/>
        </w:rPr>
        <w:t>(zekhor)</w:t>
      </w:r>
      <w:r>
        <w:tab/>
      </w:r>
      <w:r>
        <w:tab/>
      </w:r>
      <w:r>
        <w:tab/>
        <w:t xml:space="preserve">: </w:t>
      </w:r>
      <w:r>
        <w:rPr>
          <w:b/>
          <w:bCs/>
          <w:i/>
          <w:iCs/>
        </w:rPr>
        <w:t xml:space="preserve"> </w:t>
      </w:r>
      <w:r>
        <w:t>Kata Kerja Imperatif Maskulin Tunggal: Ingatlah.</w:t>
      </w:r>
    </w:p>
    <w:p w14:paraId="51356C3D" w14:textId="77777777" w:rsidR="00C531DC" w:rsidRDefault="00000000">
      <w:pPr>
        <w:spacing w:line="360" w:lineRule="auto"/>
        <w:jc w:val="both"/>
        <w:rPr>
          <w:b/>
          <w:bCs/>
          <w:i/>
          <w:iCs/>
        </w:rPr>
      </w:pPr>
      <w:r>
        <w:rPr>
          <w:b/>
          <w:bCs/>
          <w:i/>
          <w:iCs/>
          <w:rtl/>
        </w:rPr>
        <w:t>אֶת</w:t>
      </w:r>
      <w:r>
        <w:rPr>
          <w:b/>
          <w:bCs/>
          <w:i/>
          <w:iCs/>
        </w:rPr>
        <w:t xml:space="preserve"> </w:t>
      </w:r>
      <w:r>
        <w:rPr>
          <w:i/>
          <w:iCs/>
        </w:rPr>
        <w:t>(et)</w:t>
      </w:r>
      <w:r>
        <w:rPr>
          <w:i/>
          <w:iCs/>
        </w:rPr>
        <w:tab/>
      </w:r>
      <w:r>
        <w:rPr>
          <w:b/>
          <w:bCs/>
          <w:i/>
          <w:iCs/>
        </w:rPr>
        <w:tab/>
      </w:r>
      <w:r>
        <w:rPr>
          <w:b/>
          <w:bCs/>
          <w:i/>
          <w:iCs/>
        </w:rPr>
        <w:tab/>
      </w:r>
      <w:r>
        <w:rPr>
          <w:b/>
          <w:bCs/>
          <w:i/>
          <w:iCs/>
        </w:rPr>
        <w:tab/>
      </w:r>
      <w:r>
        <w:t>:</w:t>
      </w:r>
      <w:r>
        <w:rPr>
          <w:b/>
          <w:bCs/>
          <w:i/>
          <w:iCs/>
        </w:rPr>
        <w:t xml:space="preserve"> </w:t>
      </w:r>
      <w:r>
        <w:t>Partikel:</w:t>
      </w:r>
      <w:r>
        <w:rPr>
          <w:b/>
          <w:bCs/>
          <w:i/>
          <w:iCs/>
        </w:rPr>
        <w:t xml:space="preserve"> </w:t>
      </w:r>
      <w:r>
        <w:t>Penanda Objek Langsung.</w:t>
      </w:r>
      <w:r>
        <w:rPr>
          <w:i/>
          <w:iCs/>
        </w:rPr>
        <w:t xml:space="preserve"> </w:t>
      </w:r>
    </w:p>
    <w:p w14:paraId="098645FE" w14:textId="77777777" w:rsidR="00C531DC" w:rsidRDefault="00000000">
      <w:pPr>
        <w:spacing w:line="360" w:lineRule="auto"/>
        <w:jc w:val="both"/>
        <w:rPr>
          <w:b/>
          <w:bCs/>
          <w:i/>
          <w:iCs/>
        </w:rPr>
      </w:pPr>
      <w:r>
        <w:rPr>
          <w:b/>
          <w:bCs/>
          <w:i/>
          <w:iCs/>
          <w:rtl/>
        </w:rPr>
        <w:t>בּוֹרְאֶך</w:t>
      </w:r>
      <w:r>
        <w:rPr>
          <w:b/>
          <w:bCs/>
          <w:i/>
          <w:iCs/>
        </w:rPr>
        <w:t xml:space="preserve">ָ </w:t>
      </w:r>
      <w:r>
        <w:rPr>
          <w:i/>
          <w:iCs/>
        </w:rPr>
        <w:t>(berakha)</w:t>
      </w:r>
      <w:r>
        <w:tab/>
      </w:r>
      <w:r>
        <w:tab/>
        <w:t>:</w:t>
      </w:r>
      <w:r>
        <w:rPr>
          <w:b/>
          <w:bCs/>
          <w:i/>
          <w:iCs/>
        </w:rPr>
        <w:t xml:space="preserve"> </w:t>
      </w:r>
      <w:r>
        <w:t>Partikel Aktif</w:t>
      </w:r>
      <w:r>
        <w:rPr>
          <w:b/>
          <w:bCs/>
        </w:rPr>
        <w:t xml:space="preserve">+ </w:t>
      </w:r>
      <w:r>
        <w:t>Surfiks dari</w:t>
      </w:r>
      <w:r>
        <w:rPr>
          <w:b/>
          <w:bCs/>
        </w:rPr>
        <w:t xml:space="preserve"> </w:t>
      </w:r>
      <w:r>
        <w:rPr>
          <w:b/>
          <w:bCs/>
          <w:i/>
          <w:iCs/>
          <w:rtl/>
        </w:rPr>
        <w:t>ב־ר־א</w:t>
      </w:r>
      <w:r>
        <w:rPr>
          <w:b/>
          <w:bCs/>
        </w:rPr>
        <w:t xml:space="preserve"> </w:t>
      </w:r>
      <w:r>
        <w:t>(</w:t>
      </w:r>
      <w:r>
        <w:rPr>
          <w:i/>
          <w:iCs/>
        </w:rPr>
        <w:t>bara</w:t>
      </w:r>
      <w:r>
        <w:t>): Penciptamu.</w:t>
      </w:r>
    </w:p>
    <w:p w14:paraId="7F37CEFA" w14:textId="77777777" w:rsidR="00C531DC" w:rsidRDefault="00000000">
      <w:pPr>
        <w:spacing w:line="360" w:lineRule="auto"/>
        <w:ind w:left="2880" w:hanging="2880"/>
        <w:jc w:val="both"/>
        <w:rPr>
          <w:b/>
          <w:bCs/>
          <w:i/>
          <w:iCs/>
        </w:rPr>
      </w:pPr>
      <w:r>
        <w:rPr>
          <w:b/>
          <w:bCs/>
          <w:i/>
          <w:iCs/>
          <w:rtl/>
        </w:rPr>
        <w:t>בִּימֵי</w:t>
      </w:r>
      <w:r>
        <w:rPr>
          <w:b/>
          <w:bCs/>
          <w:i/>
          <w:iCs/>
        </w:rPr>
        <w:t xml:space="preserve"> (</w:t>
      </w:r>
      <w:r>
        <w:rPr>
          <w:i/>
          <w:iCs/>
        </w:rPr>
        <w:t>bimei)</w:t>
      </w:r>
      <w:r>
        <w:rPr>
          <w:b/>
          <w:bCs/>
          <w:i/>
          <w:iCs/>
        </w:rPr>
        <w:tab/>
      </w:r>
      <w:r>
        <w:t xml:space="preserve">: Preposisi + Bentuk Konstruktif dari </w:t>
      </w:r>
      <w:r>
        <w:rPr>
          <w:b/>
          <w:bCs/>
          <w:i/>
          <w:iCs/>
          <w:rtl/>
        </w:rPr>
        <w:t>ב</w:t>
      </w:r>
      <w:r>
        <w:rPr>
          <w:b/>
          <w:bCs/>
          <w:i/>
          <w:iCs/>
        </w:rPr>
        <w:t xml:space="preserve">ְּ </w:t>
      </w:r>
      <w:r>
        <w:rPr>
          <w:i/>
          <w:iCs/>
        </w:rPr>
        <w:t>(</w:t>
      </w:r>
      <w:r>
        <w:t>di</w:t>
      </w:r>
      <w:r>
        <w:rPr>
          <w:i/>
          <w:iCs/>
        </w:rPr>
        <w:t xml:space="preserve">) </w:t>
      </w:r>
      <w:r>
        <w:rPr>
          <w:b/>
          <w:bCs/>
        </w:rPr>
        <w:t xml:space="preserve">+ </w:t>
      </w:r>
      <w:r>
        <w:rPr>
          <w:b/>
          <w:bCs/>
          <w:i/>
          <w:iCs/>
          <w:rtl/>
        </w:rPr>
        <w:t>יוֹם</w:t>
      </w:r>
      <w:r>
        <w:rPr>
          <w:b/>
          <w:bCs/>
          <w:i/>
          <w:iCs/>
        </w:rPr>
        <w:t xml:space="preserve"> </w:t>
      </w:r>
      <w:r>
        <w:rPr>
          <w:i/>
          <w:iCs/>
        </w:rPr>
        <w:t>(yom)</w:t>
      </w:r>
      <w:r>
        <w:t xml:space="preserve">: Pada hari-hari. </w:t>
      </w:r>
    </w:p>
    <w:p w14:paraId="1B0C4562" w14:textId="77777777" w:rsidR="00C531DC" w:rsidRDefault="00000000">
      <w:pPr>
        <w:spacing w:line="360" w:lineRule="auto"/>
        <w:ind w:left="2880" w:hanging="2880"/>
        <w:jc w:val="both"/>
        <w:rPr>
          <w:b/>
          <w:bCs/>
        </w:rPr>
      </w:pPr>
      <w:r>
        <w:rPr>
          <w:b/>
          <w:bCs/>
          <w:i/>
          <w:iCs/>
          <w:rtl/>
        </w:rPr>
        <w:t>בְּחוּרוֹתֶיך</w:t>
      </w:r>
      <w:r>
        <w:rPr>
          <w:b/>
          <w:bCs/>
          <w:i/>
          <w:iCs/>
        </w:rPr>
        <w:t xml:space="preserve">ָ </w:t>
      </w:r>
      <w:r>
        <w:rPr>
          <w:i/>
          <w:iCs/>
        </w:rPr>
        <w:t>(bekhuroteikha)</w:t>
      </w:r>
      <w:r>
        <w:rPr>
          <w:b/>
          <w:bCs/>
        </w:rPr>
        <w:tab/>
      </w:r>
      <w:r>
        <w:t xml:space="preserve">: Kata Benda Abstrak Jamak Feminim + Sufiks dari </w:t>
      </w:r>
      <w:r>
        <w:rPr>
          <w:i/>
          <w:iCs/>
          <w:rtl/>
        </w:rPr>
        <w:t>בָּחוּר</w:t>
      </w:r>
      <w:r>
        <w:t xml:space="preserve"> </w:t>
      </w:r>
      <w:r>
        <w:rPr>
          <w:i/>
          <w:iCs/>
        </w:rPr>
        <w:t>(bahur)</w:t>
      </w:r>
      <w:r>
        <w:t xml:space="preserve">: Masa mudamu. </w:t>
      </w:r>
    </w:p>
    <w:p w14:paraId="40CE7E1E" w14:textId="77777777" w:rsidR="00C531DC" w:rsidRDefault="00000000">
      <w:pPr>
        <w:spacing w:line="360" w:lineRule="auto"/>
        <w:ind w:left="2880" w:hanging="2880"/>
        <w:jc w:val="both"/>
        <w:rPr>
          <w:b/>
          <w:bCs/>
        </w:rPr>
      </w:pPr>
      <w:r>
        <w:rPr>
          <w:b/>
          <w:bCs/>
          <w:i/>
          <w:iCs/>
          <w:rtl/>
        </w:rPr>
        <w:t>עַד</w:t>
      </w:r>
      <w:r>
        <w:rPr>
          <w:b/>
          <w:bCs/>
          <w:i/>
          <w:iCs/>
        </w:rPr>
        <w:t xml:space="preserve"> </w:t>
      </w:r>
      <w:r>
        <w:rPr>
          <w:i/>
          <w:iCs/>
        </w:rPr>
        <w:t>(‘ad)</w:t>
      </w:r>
      <w:r>
        <w:rPr>
          <w:b/>
          <w:bCs/>
          <w:i/>
          <w:iCs/>
        </w:rPr>
        <w:tab/>
      </w:r>
      <w:r>
        <w:t>:</w:t>
      </w:r>
      <w:r>
        <w:rPr>
          <w:b/>
          <w:bCs/>
        </w:rPr>
        <w:t xml:space="preserve"> </w:t>
      </w:r>
      <w:r>
        <w:t>Preposisi:</w:t>
      </w:r>
      <w:r>
        <w:rPr>
          <w:b/>
          <w:bCs/>
        </w:rPr>
        <w:t xml:space="preserve"> </w:t>
      </w:r>
      <w:r>
        <w:t>Sampai/Sebelum</w:t>
      </w:r>
      <w:r>
        <w:rPr>
          <w:b/>
          <w:bCs/>
        </w:rPr>
        <w:t xml:space="preserve">  </w:t>
      </w:r>
      <w:r>
        <w:rPr>
          <w:b/>
          <w:bCs/>
        </w:rPr>
        <w:tab/>
      </w:r>
    </w:p>
    <w:p w14:paraId="4CC9239B" w14:textId="77777777" w:rsidR="00C531DC" w:rsidRDefault="00000000">
      <w:pPr>
        <w:spacing w:line="360" w:lineRule="auto"/>
        <w:ind w:left="2880" w:hanging="2880"/>
        <w:jc w:val="both"/>
      </w:pPr>
      <w:r>
        <w:rPr>
          <w:b/>
          <w:bCs/>
          <w:i/>
          <w:iCs/>
          <w:rtl/>
        </w:rPr>
        <w:t>אֲשֶׁר</w:t>
      </w:r>
      <w:r>
        <w:rPr>
          <w:b/>
          <w:bCs/>
          <w:i/>
          <w:iCs/>
        </w:rPr>
        <w:t xml:space="preserve"> </w:t>
      </w:r>
      <w:r>
        <w:rPr>
          <w:i/>
          <w:iCs/>
        </w:rPr>
        <w:t>(asher)</w:t>
      </w:r>
      <w:r>
        <w:rPr>
          <w:b/>
          <w:bCs/>
          <w:i/>
          <w:iCs/>
        </w:rPr>
        <w:tab/>
      </w:r>
      <w:r>
        <w:t xml:space="preserve">: Kata Penghubung: Yang/Ketika </w:t>
      </w:r>
    </w:p>
    <w:p w14:paraId="5B67E1ED" w14:textId="77777777" w:rsidR="00C531DC" w:rsidRDefault="00000000">
      <w:pPr>
        <w:spacing w:line="360" w:lineRule="auto"/>
        <w:ind w:left="2880" w:hanging="2880"/>
        <w:jc w:val="both"/>
        <w:rPr>
          <w:b/>
          <w:bCs/>
        </w:rPr>
      </w:pPr>
      <w:r>
        <w:rPr>
          <w:b/>
          <w:bCs/>
          <w:i/>
          <w:iCs/>
          <w:rtl/>
        </w:rPr>
        <w:t>לֹא</w:t>
      </w:r>
      <w:r>
        <w:rPr>
          <w:b/>
          <w:bCs/>
          <w:i/>
          <w:iCs/>
        </w:rPr>
        <w:t xml:space="preserve"> </w:t>
      </w:r>
      <w:r>
        <w:rPr>
          <w:i/>
          <w:iCs/>
        </w:rPr>
        <w:t>(lo)</w:t>
      </w:r>
      <w:r>
        <w:rPr>
          <w:i/>
          <w:iCs/>
        </w:rPr>
        <w:tab/>
      </w:r>
      <w:r>
        <w:t>: Partikel Negasi: Tidak</w:t>
      </w:r>
    </w:p>
    <w:p w14:paraId="3B531B29" w14:textId="77777777" w:rsidR="00C531DC" w:rsidRDefault="00000000">
      <w:pPr>
        <w:spacing w:line="360" w:lineRule="auto"/>
        <w:ind w:left="2880" w:hanging="2880"/>
        <w:jc w:val="both"/>
      </w:pPr>
      <w:r>
        <w:rPr>
          <w:b/>
          <w:bCs/>
          <w:i/>
          <w:iCs/>
          <w:rtl/>
        </w:rPr>
        <w:t>יָבֹאו</w:t>
      </w:r>
      <w:r>
        <w:rPr>
          <w:b/>
          <w:bCs/>
          <w:i/>
          <w:iCs/>
        </w:rPr>
        <w:t xml:space="preserve">ּ </w:t>
      </w:r>
      <w:r>
        <w:rPr>
          <w:i/>
          <w:iCs/>
        </w:rPr>
        <w:t>(yavo’u)</w:t>
      </w:r>
      <w:r>
        <w:t xml:space="preserve"> </w:t>
      </w:r>
      <w:r>
        <w:tab/>
      </w:r>
      <w:r>
        <w:rPr>
          <w:b/>
          <w:bCs/>
        </w:rPr>
        <w:t xml:space="preserve">: </w:t>
      </w:r>
      <w:r>
        <w:t xml:space="preserve">Kata Kerja </w:t>
      </w:r>
      <w:r>
        <w:rPr>
          <w:i/>
          <w:iCs/>
        </w:rPr>
        <w:t>Qal Imperfect</w:t>
      </w:r>
      <w:r>
        <w:t xml:space="preserve"> Orang Ketiga Jamak Maskulin dari </w:t>
      </w:r>
      <w:r>
        <w:rPr>
          <w:b/>
          <w:bCs/>
          <w:i/>
          <w:iCs/>
          <w:rtl/>
        </w:rPr>
        <w:t>ב־ו־א</w:t>
      </w:r>
      <w:r>
        <w:rPr>
          <w:b/>
          <w:bCs/>
          <w:i/>
          <w:iCs/>
        </w:rPr>
        <w:t xml:space="preserve"> </w:t>
      </w:r>
      <w:r>
        <w:rPr>
          <w:i/>
          <w:iCs/>
        </w:rPr>
        <w:t>(bo’)</w:t>
      </w:r>
      <w:r>
        <w:t xml:space="preserve">: Mereka akan datang. </w:t>
      </w:r>
    </w:p>
    <w:p w14:paraId="7E45DA78" w14:textId="77777777" w:rsidR="00C531DC" w:rsidRDefault="00000000">
      <w:pPr>
        <w:spacing w:line="360" w:lineRule="auto"/>
        <w:ind w:left="2880" w:hanging="2880"/>
        <w:jc w:val="both"/>
      </w:pPr>
      <w:r>
        <w:rPr>
          <w:b/>
          <w:bCs/>
          <w:rtl/>
        </w:rPr>
        <w:t>יְמֵי</w:t>
      </w:r>
      <w:r>
        <w:rPr>
          <w:b/>
          <w:bCs/>
        </w:rPr>
        <w:t xml:space="preserve"> </w:t>
      </w:r>
      <w:r>
        <w:rPr>
          <w:i/>
          <w:iCs/>
        </w:rPr>
        <w:t>(yemei)</w:t>
      </w:r>
      <w:r>
        <w:rPr>
          <w:b/>
          <w:bCs/>
        </w:rPr>
        <w:tab/>
        <w:t xml:space="preserve">: </w:t>
      </w:r>
      <w:r>
        <w:t xml:space="preserve">Kata Benda Konstruktif dari </w:t>
      </w:r>
      <w:r>
        <w:rPr>
          <w:i/>
          <w:iCs/>
          <w:rtl/>
        </w:rPr>
        <w:t>יָמִים</w:t>
      </w:r>
      <w:r>
        <w:rPr>
          <w:i/>
          <w:iCs/>
        </w:rPr>
        <w:t xml:space="preserve"> (yamin)</w:t>
      </w:r>
      <w:r>
        <w:t>: Hari-hari.</w:t>
      </w:r>
      <w:r>
        <w:rPr>
          <w:b/>
          <w:bCs/>
        </w:rPr>
        <w:t xml:space="preserve"> </w:t>
      </w:r>
    </w:p>
    <w:p w14:paraId="58DB20FB" w14:textId="77777777" w:rsidR="00C531DC" w:rsidRDefault="00000000">
      <w:pPr>
        <w:spacing w:line="360" w:lineRule="auto"/>
        <w:ind w:left="2880" w:hanging="2880"/>
        <w:jc w:val="both"/>
        <w:rPr>
          <w:b/>
          <w:bCs/>
        </w:rPr>
      </w:pPr>
      <w:r>
        <w:rPr>
          <w:b/>
          <w:bCs/>
          <w:rtl/>
        </w:rPr>
        <w:t>הָרָעָה</w:t>
      </w:r>
      <w:r>
        <w:rPr>
          <w:b/>
          <w:bCs/>
        </w:rPr>
        <w:t xml:space="preserve"> </w:t>
      </w:r>
      <w:r>
        <w:rPr>
          <w:i/>
          <w:iCs/>
        </w:rPr>
        <w:t>(hara’ah)</w:t>
      </w:r>
      <w:r>
        <w:rPr>
          <w:b/>
          <w:bCs/>
        </w:rPr>
        <w:t xml:space="preserve"> </w:t>
      </w:r>
      <w:r>
        <w:rPr>
          <w:b/>
          <w:bCs/>
        </w:rPr>
        <w:tab/>
        <w:t>:</w:t>
      </w:r>
      <w:r>
        <w:t xml:space="preserve"> Kata Benda Feminim+Artikel </w:t>
      </w:r>
      <w:r>
        <w:rPr>
          <w:i/>
          <w:iCs/>
        </w:rPr>
        <w:t>(hara’ah)</w:t>
      </w:r>
      <w:r>
        <w:t>: Kata Benda</w:t>
      </w:r>
      <w:r>
        <w:rPr>
          <w:b/>
          <w:bCs/>
        </w:rPr>
        <w:t xml:space="preserve"> </w:t>
      </w:r>
      <w:r>
        <w:t>Feminim+Artikel</w:t>
      </w:r>
      <w:r>
        <w:rPr>
          <w:b/>
          <w:bCs/>
        </w:rPr>
        <w:t xml:space="preserve"> </w:t>
      </w:r>
      <w:r>
        <w:rPr>
          <w:b/>
          <w:bCs/>
          <w:i/>
          <w:iCs/>
          <w:rtl/>
        </w:rPr>
        <w:t>ה</w:t>
      </w:r>
      <w:r>
        <w:rPr>
          <w:b/>
          <w:bCs/>
          <w:i/>
          <w:iCs/>
        </w:rPr>
        <w:t>:</w:t>
      </w:r>
      <w:r>
        <w:rPr>
          <w:b/>
          <w:bCs/>
        </w:rPr>
        <w:t xml:space="preserve"> </w:t>
      </w:r>
      <w:r>
        <w:t>yang jahat/masa sulit.</w:t>
      </w:r>
      <w:r>
        <w:rPr>
          <w:b/>
          <w:bCs/>
        </w:rPr>
        <w:t xml:space="preserve"> </w:t>
      </w:r>
    </w:p>
    <w:p w14:paraId="698D32E5" w14:textId="77777777" w:rsidR="00C531DC" w:rsidRDefault="00000000">
      <w:pPr>
        <w:spacing w:line="360" w:lineRule="auto"/>
        <w:ind w:left="2880" w:hanging="2880"/>
        <w:jc w:val="both"/>
        <w:rPr>
          <w:b/>
          <w:bCs/>
        </w:rPr>
      </w:pPr>
      <w:r>
        <w:rPr>
          <w:b/>
          <w:bCs/>
          <w:i/>
          <w:iCs/>
          <w:rtl/>
        </w:rPr>
        <w:t>וְהִגִּיעו</w:t>
      </w:r>
      <w:r>
        <w:rPr>
          <w:b/>
          <w:bCs/>
          <w:i/>
          <w:iCs/>
        </w:rPr>
        <w:t>ּ</w:t>
      </w:r>
      <w:r>
        <w:rPr>
          <w:b/>
          <w:bCs/>
        </w:rPr>
        <w:t xml:space="preserve"> </w:t>
      </w:r>
      <w:r>
        <w:rPr>
          <w:i/>
          <w:iCs/>
        </w:rPr>
        <w:t>(vehiggi’u)</w:t>
      </w:r>
      <w:r>
        <w:rPr>
          <w:b/>
          <w:bCs/>
        </w:rPr>
        <w:tab/>
        <w:t xml:space="preserve">: </w:t>
      </w:r>
      <w:r>
        <w:t xml:space="preserve">Kata Kerja </w:t>
      </w:r>
      <w:r>
        <w:rPr>
          <w:i/>
          <w:iCs/>
        </w:rPr>
        <w:t xml:space="preserve">Qal Perfext </w:t>
      </w:r>
      <w:r>
        <w:t xml:space="preserve">Orang Ketiga Jamak Maskulin dari </w:t>
      </w:r>
      <w:r>
        <w:rPr>
          <w:b/>
          <w:bCs/>
          <w:i/>
          <w:iCs/>
          <w:rtl/>
        </w:rPr>
        <w:t>נ־ג־ע</w:t>
      </w:r>
      <w:r>
        <w:rPr>
          <w:b/>
          <w:bCs/>
          <w:i/>
          <w:iCs/>
        </w:rPr>
        <w:t xml:space="preserve"> </w:t>
      </w:r>
      <w:r>
        <w:t>(</w:t>
      </w:r>
      <w:r>
        <w:rPr>
          <w:i/>
          <w:iCs/>
        </w:rPr>
        <w:t>naga)</w:t>
      </w:r>
      <w:r>
        <w:t xml:space="preserve">: Dan mereka telah tiba. </w:t>
      </w:r>
    </w:p>
    <w:p w14:paraId="68E662BD" w14:textId="77777777" w:rsidR="00C531DC" w:rsidRDefault="00000000">
      <w:pPr>
        <w:spacing w:line="360" w:lineRule="auto"/>
        <w:jc w:val="both"/>
        <w:rPr>
          <w:b/>
          <w:bCs/>
        </w:rPr>
      </w:pPr>
      <w:r>
        <w:rPr>
          <w:b/>
          <w:bCs/>
          <w:i/>
          <w:iCs/>
          <w:rtl/>
        </w:rPr>
        <w:lastRenderedPageBreak/>
        <w:t>שָׁנִים</w:t>
      </w:r>
      <w:r>
        <w:rPr>
          <w:b/>
          <w:bCs/>
        </w:rPr>
        <w:t xml:space="preserve"> </w:t>
      </w:r>
      <w:r>
        <w:rPr>
          <w:i/>
          <w:iCs/>
        </w:rPr>
        <w:t>(shanim)</w:t>
      </w:r>
      <w:r>
        <w:rPr>
          <w:i/>
          <w:iCs/>
        </w:rPr>
        <w:tab/>
      </w:r>
      <w:r>
        <w:rPr>
          <w:i/>
          <w:iCs/>
        </w:rPr>
        <w:tab/>
      </w:r>
      <w:r>
        <w:rPr>
          <w:i/>
          <w:iCs/>
        </w:rPr>
        <w:tab/>
        <w:t xml:space="preserve">: </w:t>
      </w:r>
      <w:r>
        <w:t>Kata Benda Jamak dari</w:t>
      </w:r>
      <w:r>
        <w:rPr>
          <w:i/>
          <w:iCs/>
        </w:rPr>
        <w:t xml:space="preserve"> </w:t>
      </w:r>
      <w:r>
        <w:rPr>
          <w:b/>
          <w:bCs/>
          <w:i/>
          <w:iCs/>
          <w:rtl/>
        </w:rPr>
        <w:t>שָׁנָה</w:t>
      </w:r>
      <w:r>
        <w:rPr>
          <w:b/>
          <w:bCs/>
        </w:rPr>
        <w:t xml:space="preserve"> </w:t>
      </w:r>
      <w:r>
        <w:rPr>
          <w:i/>
          <w:iCs/>
        </w:rPr>
        <w:t>(shanah)</w:t>
      </w:r>
      <w:r>
        <w:t>: Tahun-tahun.</w:t>
      </w:r>
    </w:p>
    <w:p w14:paraId="6966EDE9" w14:textId="77777777" w:rsidR="00C531DC" w:rsidRDefault="00000000">
      <w:pPr>
        <w:spacing w:line="360" w:lineRule="auto"/>
        <w:jc w:val="both"/>
      </w:pPr>
      <w:r>
        <w:rPr>
          <w:b/>
          <w:bCs/>
          <w:i/>
          <w:iCs/>
          <w:rtl/>
        </w:rPr>
        <w:t>אֲשֶׁר</w:t>
      </w:r>
      <w:r>
        <w:rPr>
          <w:b/>
          <w:bCs/>
          <w:i/>
          <w:iCs/>
        </w:rPr>
        <w:t xml:space="preserve"> </w:t>
      </w:r>
      <w:r>
        <w:rPr>
          <w:i/>
          <w:iCs/>
        </w:rPr>
        <w:t>(asher)</w:t>
      </w:r>
      <w:r>
        <w:rPr>
          <w:i/>
          <w:iCs/>
        </w:rPr>
        <w:tab/>
      </w:r>
      <w:r>
        <w:rPr>
          <w:b/>
          <w:bCs/>
        </w:rPr>
        <w:tab/>
      </w:r>
      <w:r>
        <w:rPr>
          <w:b/>
          <w:bCs/>
        </w:rPr>
        <w:tab/>
        <w:t>:</w:t>
      </w:r>
      <w:r>
        <w:t xml:space="preserve"> Kata Penghubung: Yang. </w:t>
      </w:r>
    </w:p>
    <w:p w14:paraId="2CC1EA26" w14:textId="77777777" w:rsidR="00C531DC" w:rsidRDefault="00000000">
      <w:pPr>
        <w:spacing w:line="360" w:lineRule="auto"/>
        <w:ind w:left="2880" w:hanging="2880"/>
        <w:jc w:val="both"/>
      </w:pPr>
      <w:r>
        <w:rPr>
          <w:b/>
          <w:bCs/>
          <w:i/>
          <w:iCs/>
          <w:rtl/>
        </w:rPr>
        <w:t>תֹּאמַר</w:t>
      </w:r>
      <w:r>
        <w:rPr>
          <w:b/>
          <w:bCs/>
          <w:i/>
          <w:iCs/>
        </w:rPr>
        <w:t xml:space="preserve"> </w:t>
      </w:r>
      <w:r>
        <w:rPr>
          <w:i/>
          <w:iCs/>
        </w:rPr>
        <w:t>(to’mar)</w:t>
      </w:r>
      <w:r>
        <w:rPr>
          <w:i/>
          <w:iCs/>
        </w:rPr>
        <w:tab/>
      </w:r>
      <w:r>
        <w:rPr>
          <w:b/>
          <w:bCs/>
        </w:rPr>
        <w:t>:</w:t>
      </w:r>
      <w:r>
        <w:t xml:space="preserve"> Kata Kerja </w:t>
      </w:r>
      <w:r>
        <w:rPr>
          <w:i/>
          <w:iCs/>
        </w:rPr>
        <w:t>Qal Imperfect</w:t>
      </w:r>
      <w:r>
        <w:t xml:space="preserve"> Orang Kedua Maskulin</w:t>
      </w:r>
      <w:r>
        <w:rPr>
          <w:b/>
          <w:bCs/>
        </w:rPr>
        <w:t xml:space="preserve"> </w:t>
      </w:r>
      <w:r>
        <w:t xml:space="preserve">Tunggal dari </w:t>
      </w:r>
      <w:r>
        <w:rPr>
          <w:b/>
          <w:bCs/>
          <w:i/>
          <w:iCs/>
          <w:rtl/>
        </w:rPr>
        <w:t>אָמַר</w:t>
      </w:r>
      <w:r>
        <w:rPr>
          <w:i/>
          <w:iCs/>
        </w:rPr>
        <w:t xml:space="preserve"> (amar):</w:t>
      </w:r>
      <w:r>
        <w:t xml:space="preserve"> Engkau akan berkata. </w:t>
      </w:r>
    </w:p>
    <w:p w14:paraId="264079DD" w14:textId="77777777" w:rsidR="00C531DC" w:rsidRDefault="00000000">
      <w:pPr>
        <w:spacing w:line="360" w:lineRule="auto"/>
        <w:jc w:val="both"/>
        <w:rPr>
          <w:b/>
          <w:bCs/>
        </w:rPr>
      </w:pPr>
      <w:r>
        <w:rPr>
          <w:b/>
          <w:bCs/>
          <w:i/>
          <w:iCs/>
          <w:rtl/>
        </w:rPr>
        <w:t>אֵין־לִי</w:t>
      </w:r>
      <w:r>
        <w:rPr>
          <w:b/>
          <w:bCs/>
          <w:i/>
          <w:iCs/>
        </w:rPr>
        <w:t xml:space="preserve"> </w:t>
      </w:r>
      <w:r>
        <w:rPr>
          <w:i/>
          <w:iCs/>
        </w:rPr>
        <w:t>(ein-li)</w:t>
      </w:r>
      <w:r>
        <w:rPr>
          <w:b/>
          <w:bCs/>
        </w:rPr>
        <w:tab/>
      </w:r>
      <w:r>
        <w:rPr>
          <w:b/>
          <w:bCs/>
        </w:rPr>
        <w:tab/>
      </w:r>
      <w:r>
        <w:rPr>
          <w:b/>
          <w:bCs/>
        </w:rPr>
        <w:tab/>
      </w:r>
      <w:r>
        <w:t>: Frasa Negatif+Sufiks Kepemilikan: Tidak ada padaku.</w:t>
      </w:r>
      <w:r>
        <w:rPr>
          <w:b/>
          <w:bCs/>
        </w:rPr>
        <w:t xml:space="preserve"> </w:t>
      </w:r>
    </w:p>
    <w:p w14:paraId="128FE6C2" w14:textId="77777777" w:rsidR="00C531DC" w:rsidRDefault="00000000">
      <w:pPr>
        <w:spacing w:line="360" w:lineRule="auto"/>
        <w:jc w:val="both"/>
        <w:rPr>
          <w:b/>
          <w:bCs/>
        </w:rPr>
      </w:pPr>
      <w:r>
        <w:rPr>
          <w:b/>
          <w:bCs/>
          <w:i/>
          <w:iCs/>
          <w:rtl/>
        </w:rPr>
        <w:t>בָהֶם</w:t>
      </w:r>
      <w:r>
        <w:rPr>
          <w:b/>
          <w:bCs/>
          <w:i/>
          <w:iCs/>
        </w:rPr>
        <w:t xml:space="preserve"> </w:t>
      </w:r>
      <w:r>
        <w:rPr>
          <w:i/>
          <w:iCs/>
        </w:rPr>
        <w:t>(vahem)</w:t>
      </w:r>
      <w:r>
        <w:rPr>
          <w:b/>
          <w:bCs/>
        </w:rPr>
        <w:tab/>
      </w:r>
      <w:r>
        <w:rPr>
          <w:b/>
          <w:bCs/>
        </w:rPr>
        <w:tab/>
      </w:r>
      <w:r>
        <w:rPr>
          <w:b/>
          <w:bCs/>
        </w:rPr>
        <w:tab/>
      </w:r>
      <w:r>
        <w:t xml:space="preserve">: Preposisi+Sufiks: di dalam mereka.  </w:t>
      </w:r>
    </w:p>
    <w:p w14:paraId="3594614A" w14:textId="77777777" w:rsidR="00C531DC" w:rsidRDefault="00000000">
      <w:pPr>
        <w:spacing w:after="200" w:line="360" w:lineRule="auto"/>
        <w:jc w:val="both"/>
      </w:pPr>
      <w:r>
        <w:rPr>
          <w:b/>
          <w:bCs/>
          <w:i/>
          <w:iCs/>
          <w:rtl/>
        </w:rPr>
        <w:t>חֵפֶץ</w:t>
      </w:r>
      <w:r>
        <w:rPr>
          <w:b/>
          <w:bCs/>
          <w:i/>
          <w:iCs/>
        </w:rPr>
        <w:t xml:space="preserve"> </w:t>
      </w:r>
      <w:r>
        <w:rPr>
          <w:i/>
          <w:iCs/>
        </w:rPr>
        <w:t>(chefets)</w:t>
      </w:r>
      <w:r>
        <w:rPr>
          <w:b/>
          <w:bCs/>
          <w:i/>
          <w:iCs/>
        </w:rPr>
        <w:t xml:space="preserve"> </w:t>
      </w:r>
      <w:r>
        <w:rPr>
          <w:b/>
          <w:bCs/>
        </w:rPr>
        <w:tab/>
      </w:r>
      <w:r>
        <w:rPr>
          <w:b/>
          <w:bCs/>
        </w:rPr>
        <w:tab/>
      </w:r>
      <w:r>
        <w:rPr>
          <w:b/>
          <w:bCs/>
        </w:rPr>
        <w:tab/>
      </w:r>
      <w:r>
        <w:t>: Kata Benda Maskulin: Kesenangan/kesukaan.</w:t>
      </w:r>
      <w:r>
        <w:rPr>
          <w:b/>
          <w:bCs/>
        </w:rPr>
        <w:t xml:space="preserve"> </w:t>
      </w:r>
    </w:p>
    <w:p w14:paraId="1865324C" w14:textId="77777777" w:rsidR="00C531DC" w:rsidRDefault="00C531DC">
      <w:pPr>
        <w:spacing w:line="360" w:lineRule="auto"/>
        <w:jc w:val="both"/>
        <w:rPr>
          <w:highlight w:val="yellow"/>
        </w:rPr>
      </w:pPr>
    </w:p>
    <w:p w14:paraId="7D473BFD" w14:textId="77777777" w:rsidR="00C531DC" w:rsidRDefault="00000000">
      <w:pPr>
        <w:spacing w:line="360" w:lineRule="auto"/>
        <w:ind w:left="6480"/>
        <w:jc w:val="both"/>
        <w:rPr>
          <w:b/>
          <w:bCs/>
        </w:rPr>
      </w:pPr>
      <w:r>
        <w:rPr>
          <w:b/>
          <w:bCs/>
        </w:rPr>
        <w:t xml:space="preserve">Pengkhotbah 12:7 </w:t>
      </w:r>
    </w:p>
    <w:p w14:paraId="30D54376" w14:textId="77777777" w:rsidR="00C531DC" w:rsidRDefault="00000000">
      <w:pPr>
        <w:spacing w:line="360" w:lineRule="auto"/>
        <w:ind w:left="3600"/>
        <w:jc w:val="both"/>
        <w:rPr>
          <w:b/>
          <w:bCs/>
          <w:i/>
          <w:iCs/>
        </w:rPr>
      </w:pPr>
      <w:r>
        <w:rPr>
          <w:b/>
          <w:bCs/>
          <w:i/>
          <w:iCs/>
          <w:rtl/>
        </w:rPr>
        <w:t>וְעָפָר יָשׁוּב לְאֲדָמָה כְּרִאשׁוֹן וְרוּחַ תָּשׁוּב אֶל אֱלֹהִים אֲשֶׁר נָתַן</w:t>
      </w:r>
      <w:r>
        <w:rPr>
          <w:b/>
          <w:bCs/>
          <w:i/>
          <w:iCs/>
        </w:rPr>
        <w:t>.</w:t>
      </w:r>
      <w:r>
        <w:rPr>
          <w:b/>
          <w:bCs/>
          <w:i/>
          <w:iCs/>
          <w:vertAlign w:val="superscript"/>
        </w:rPr>
        <w:footnoteReference w:id="11"/>
      </w:r>
    </w:p>
    <w:p w14:paraId="0089C4BC" w14:textId="77777777" w:rsidR="00C531DC" w:rsidRDefault="00000000">
      <w:pPr>
        <w:spacing w:line="360" w:lineRule="auto"/>
        <w:jc w:val="both"/>
        <w:rPr>
          <w:b/>
          <w:bCs/>
          <w:i/>
          <w:iCs/>
        </w:rPr>
      </w:pPr>
      <w:r>
        <w:rPr>
          <w:b/>
          <w:bCs/>
          <w:i/>
          <w:iCs/>
          <w:rtl/>
        </w:rPr>
        <w:t>ו</w:t>
      </w:r>
      <w:r>
        <w:rPr>
          <w:b/>
          <w:bCs/>
          <w:i/>
          <w:iCs/>
        </w:rPr>
        <w:t>ְ (</w:t>
      </w:r>
      <w:r>
        <w:rPr>
          <w:b/>
          <w:bCs/>
          <w:i/>
          <w:iCs/>
          <w:highlight w:val="white"/>
        </w:rPr>
        <w:t>ve')</w:t>
      </w:r>
      <w:r>
        <w:tab/>
      </w:r>
      <w:r>
        <w:tab/>
      </w:r>
      <w:r>
        <w:tab/>
      </w:r>
      <w:r>
        <w:tab/>
        <w:t>: Konjungsi: Dan.</w:t>
      </w:r>
    </w:p>
    <w:p w14:paraId="404D22FC" w14:textId="77777777" w:rsidR="00C531DC" w:rsidRDefault="00000000">
      <w:pPr>
        <w:tabs>
          <w:tab w:val="left" w:pos="0"/>
        </w:tabs>
        <w:spacing w:line="360" w:lineRule="auto"/>
        <w:jc w:val="both"/>
      </w:pPr>
      <w:r>
        <w:rPr>
          <w:b/>
          <w:bCs/>
          <w:i/>
          <w:iCs/>
        </w:rPr>
        <w:t xml:space="preserve"> </w:t>
      </w:r>
      <w:r>
        <w:rPr>
          <w:b/>
          <w:bCs/>
          <w:i/>
          <w:iCs/>
          <w:rtl/>
        </w:rPr>
        <w:t>עָפָר</w:t>
      </w:r>
      <w:r>
        <w:rPr>
          <w:b/>
          <w:bCs/>
          <w:i/>
          <w:iCs/>
        </w:rPr>
        <w:t xml:space="preserve"> (</w:t>
      </w:r>
      <w:r>
        <w:rPr>
          <w:b/>
          <w:bCs/>
          <w:i/>
          <w:iCs/>
          <w:highlight w:val="white"/>
        </w:rPr>
        <w:t>afar)</w:t>
      </w:r>
      <w:r>
        <w:rPr>
          <w:b/>
          <w:bCs/>
          <w:i/>
          <w:iCs/>
          <w:highlight w:val="white"/>
        </w:rPr>
        <w:tab/>
      </w:r>
      <w:r>
        <w:tab/>
      </w:r>
      <w:r>
        <w:tab/>
        <w:t xml:space="preserve">:  Kata Benda Absolut Tunggal Maskulin: Debu. </w:t>
      </w:r>
    </w:p>
    <w:p w14:paraId="6A43EA59" w14:textId="77777777" w:rsidR="00C531DC" w:rsidRDefault="00000000">
      <w:pPr>
        <w:tabs>
          <w:tab w:val="left" w:pos="360"/>
          <w:tab w:val="left" w:pos="720"/>
          <w:tab w:val="left" w:pos="1440"/>
          <w:tab w:val="left" w:pos="2160"/>
          <w:tab w:val="left" w:pos="2880"/>
          <w:tab w:val="left" w:pos="3600"/>
        </w:tabs>
        <w:spacing w:line="360" w:lineRule="auto"/>
        <w:ind w:left="2880" w:hanging="2790"/>
        <w:jc w:val="both"/>
      </w:pPr>
      <w:r>
        <w:rPr>
          <w:b/>
          <w:bCs/>
          <w:i/>
          <w:iCs/>
          <w:rtl/>
        </w:rPr>
        <w:t>שׁוּב</w:t>
      </w:r>
      <w:r>
        <w:rPr>
          <w:b/>
          <w:bCs/>
          <w:i/>
          <w:iCs/>
          <w:highlight w:val="white"/>
        </w:rPr>
        <w:t xml:space="preserve"> (yashuv)</w:t>
      </w:r>
      <w:r>
        <w:rPr>
          <w:b/>
          <w:bCs/>
          <w:highlight w:val="white"/>
        </w:rPr>
        <w:tab/>
      </w:r>
      <w:r>
        <w:rPr>
          <w:b/>
          <w:bCs/>
          <w:highlight w:val="white"/>
        </w:rPr>
        <w:tab/>
      </w:r>
      <w:r>
        <w:rPr>
          <w:b/>
          <w:bCs/>
          <w:highlight w:val="white"/>
        </w:rPr>
        <w:tab/>
      </w:r>
      <w:r>
        <w:t>:</w:t>
      </w:r>
      <w:r>
        <w:rPr>
          <w:b/>
          <w:bCs/>
        </w:rPr>
        <w:t xml:space="preserve"> </w:t>
      </w:r>
      <w:r>
        <w:t xml:space="preserve">Kata Kerja: </w:t>
      </w:r>
      <w:r>
        <w:rPr>
          <w:i/>
          <w:iCs/>
        </w:rPr>
        <w:t>Qal Imperfect</w:t>
      </w:r>
      <w:r>
        <w:t xml:space="preserve"> Orang Ketiga Jamak Maskulin: Kembali. </w:t>
      </w:r>
    </w:p>
    <w:p w14:paraId="4A82449A" w14:textId="77777777" w:rsidR="00C531DC" w:rsidRDefault="00000000">
      <w:pPr>
        <w:tabs>
          <w:tab w:val="left" w:pos="360"/>
        </w:tabs>
        <w:spacing w:line="360" w:lineRule="auto"/>
        <w:ind w:left="90"/>
        <w:jc w:val="both"/>
      </w:pPr>
      <w:r>
        <w:rPr>
          <w:b/>
          <w:bCs/>
          <w:rtl/>
        </w:rPr>
        <w:t>ל</w:t>
      </w:r>
      <w:r>
        <w:rPr>
          <w:b/>
          <w:bCs/>
          <w:i/>
          <w:iCs/>
        </w:rPr>
        <w:t>ְ</w:t>
      </w:r>
      <w:r>
        <w:rPr>
          <w:b/>
          <w:bCs/>
          <w:i/>
          <w:iCs/>
          <w:highlight w:val="white"/>
        </w:rPr>
        <w:t xml:space="preserve"> (le')</w:t>
      </w:r>
      <w:r>
        <w:tab/>
      </w:r>
      <w:r>
        <w:tab/>
      </w:r>
      <w:r>
        <w:tab/>
      </w:r>
      <w:r>
        <w:tab/>
        <w:t>: Preposisi: Kepada.</w:t>
      </w:r>
    </w:p>
    <w:p w14:paraId="028EB3D9" w14:textId="77777777" w:rsidR="00C531DC" w:rsidRDefault="00000000">
      <w:pPr>
        <w:tabs>
          <w:tab w:val="left" w:pos="360"/>
        </w:tabs>
        <w:spacing w:line="360" w:lineRule="auto"/>
        <w:ind w:left="90" w:hanging="90"/>
        <w:jc w:val="both"/>
      </w:pPr>
      <w:r>
        <w:rPr>
          <w:b/>
          <w:bCs/>
        </w:rPr>
        <w:t xml:space="preserve">  </w:t>
      </w:r>
      <w:r>
        <w:rPr>
          <w:b/>
          <w:bCs/>
          <w:i/>
          <w:iCs/>
          <w:rtl/>
        </w:rPr>
        <w:t>אֲדָמָה</w:t>
      </w:r>
      <w:r>
        <w:rPr>
          <w:b/>
          <w:bCs/>
          <w:i/>
          <w:iCs/>
        </w:rPr>
        <w:t xml:space="preserve"> (</w:t>
      </w:r>
      <w:r>
        <w:rPr>
          <w:b/>
          <w:bCs/>
          <w:i/>
          <w:iCs/>
          <w:highlight w:val="white"/>
        </w:rPr>
        <w:t>adamah)</w:t>
      </w:r>
      <w:r>
        <w:rPr>
          <w:b/>
          <w:bCs/>
        </w:rPr>
        <w:tab/>
      </w:r>
      <w:r>
        <w:tab/>
        <w:t>:  Kata Benda Absolut Tunggal Feminim: Tanah.</w:t>
      </w:r>
    </w:p>
    <w:p w14:paraId="37962E86" w14:textId="77777777" w:rsidR="00C531DC" w:rsidRDefault="00000000">
      <w:pPr>
        <w:tabs>
          <w:tab w:val="left" w:pos="360"/>
          <w:tab w:val="left" w:pos="720"/>
          <w:tab w:val="left" w:pos="1440"/>
          <w:tab w:val="left" w:pos="2160"/>
          <w:tab w:val="left" w:pos="2880"/>
          <w:tab w:val="left" w:pos="3600"/>
          <w:tab w:val="left" w:pos="4320"/>
          <w:tab w:val="left" w:pos="5445"/>
        </w:tabs>
        <w:spacing w:line="360" w:lineRule="auto"/>
        <w:ind w:firstLine="90"/>
        <w:jc w:val="both"/>
        <w:rPr>
          <w:b/>
          <w:bCs/>
        </w:rPr>
      </w:pPr>
      <w:r>
        <w:rPr>
          <w:b/>
          <w:bCs/>
          <w:i/>
          <w:iCs/>
        </w:rPr>
        <w:t xml:space="preserve">  </w:t>
      </w:r>
      <w:r>
        <w:rPr>
          <w:b/>
          <w:bCs/>
          <w:i/>
          <w:iCs/>
          <w:rtl/>
        </w:rPr>
        <w:t>כ</w:t>
      </w:r>
      <w:r>
        <w:rPr>
          <w:b/>
          <w:bCs/>
          <w:i/>
          <w:iCs/>
        </w:rPr>
        <w:t xml:space="preserve">ְּ </w:t>
      </w:r>
      <w:r>
        <w:rPr>
          <w:i/>
          <w:iCs/>
          <w:highlight w:val="white"/>
        </w:rPr>
        <w:t>(k)</w:t>
      </w:r>
      <w:r>
        <w:tab/>
      </w:r>
      <w:r>
        <w:tab/>
      </w:r>
      <w:r>
        <w:tab/>
      </w:r>
      <w:r>
        <w:tab/>
        <w:t>: Preposisi: Seperti.</w:t>
      </w:r>
      <w:r>
        <w:tab/>
      </w:r>
    </w:p>
    <w:p w14:paraId="1783A858" w14:textId="77777777" w:rsidR="00C531DC" w:rsidRDefault="00000000">
      <w:pPr>
        <w:tabs>
          <w:tab w:val="left" w:pos="360"/>
        </w:tabs>
        <w:spacing w:line="360" w:lineRule="auto"/>
        <w:ind w:left="450" w:hanging="360"/>
        <w:jc w:val="both"/>
        <w:rPr>
          <w:b/>
          <w:bCs/>
        </w:rPr>
      </w:pPr>
      <w:r>
        <w:rPr>
          <w:b/>
          <w:bCs/>
        </w:rPr>
        <w:t xml:space="preserve"> </w:t>
      </w:r>
      <w:r>
        <w:rPr>
          <w:b/>
          <w:bCs/>
          <w:i/>
          <w:iCs/>
          <w:rtl/>
        </w:rPr>
        <w:t>רִאשׁוֹן</w:t>
      </w:r>
      <w:r>
        <w:rPr>
          <w:b/>
          <w:bCs/>
          <w:i/>
          <w:iCs/>
        </w:rPr>
        <w:t xml:space="preserve"> </w:t>
      </w:r>
      <w:r>
        <w:rPr>
          <w:i/>
          <w:iCs/>
          <w:highlight w:val="white"/>
        </w:rPr>
        <w:t>(rishon)</w:t>
      </w:r>
      <w:r>
        <w:tab/>
      </w:r>
      <w:r>
        <w:tab/>
        <w:t>: Kata Benda Absolut Tunggal Maskulin: Semula.</w:t>
      </w:r>
    </w:p>
    <w:p w14:paraId="30DE0466" w14:textId="77777777" w:rsidR="00C531DC" w:rsidRDefault="00000000">
      <w:pPr>
        <w:tabs>
          <w:tab w:val="left" w:pos="90"/>
          <w:tab w:val="left" w:pos="360"/>
        </w:tabs>
        <w:spacing w:line="360" w:lineRule="auto"/>
        <w:ind w:left="450" w:hanging="360"/>
        <w:jc w:val="both"/>
      </w:pPr>
      <w:r>
        <w:rPr>
          <w:i/>
          <w:iCs/>
        </w:rPr>
        <w:t xml:space="preserve">  </w:t>
      </w:r>
      <w:r>
        <w:rPr>
          <w:i/>
          <w:iCs/>
          <w:rtl/>
        </w:rPr>
        <w:t>ו</w:t>
      </w:r>
      <w:r>
        <w:rPr>
          <w:i/>
          <w:iCs/>
        </w:rPr>
        <w:t>ְ</w:t>
      </w:r>
      <w:r>
        <w:rPr>
          <w:i/>
          <w:iCs/>
        </w:rPr>
        <w:tab/>
      </w:r>
      <w:r>
        <w:rPr>
          <w:i/>
          <w:iCs/>
          <w:highlight w:val="white"/>
        </w:rPr>
        <w:t>(ve)</w:t>
      </w:r>
      <w:r>
        <w:rPr>
          <w:i/>
          <w:iCs/>
        </w:rPr>
        <w:tab/>
      </w:r>
      <w:r>
        <w:rPr>
          <w:b/>
          <w:bCs/>
        </w:rPr>
        <w:tab/>
      </w:r>
      <w:r>
        <w:rPr>
          <w:b/>
          <w:bCs/>
        </w:rPr>
        <w:tab/>
      </w:r>
      <w:r>
        <w:t>: Konjungsi: Dan.</w:t>
      </w:r>
    </w:p>
    <w:p w14:paraId="505B7B05" w14:textId="77777777" w:rsidR="00C531DC" w:rsidRDefault="00000000">
      <w:pPr>
        <w:tabs>
          <w:tab w:val="left" w:pos="360"/>
        </w:tabs>
        <w:spacing w:line="360" w:lineRule="auto"/>
        <w:ind w:left="450" w:hanging="360"/>
        <w:jc w:val="both"/>
        <w:rPr>
          <w:b/>
          <w:bCs/>
        </w:rPr>
      </w:pPr>
      <w:r>
        <w:rPr>
          <w:b/>
          <w:bCs/>
        </w:rPr>
        <w:t xml:space="preserve">   </w:t>
      </w:r>
      <w:r>
        <w:rPr>
          <w:b/>
          <w:bCs/>
          <w:i/>
          <w:iCs/>
          <w:rtl/>
        </w:rPr>
        <w:t>רוּח</w:t>
      </w:r>
      <w:r>
        <w:rPr>
          <w:b/>
          <w:bCs/>
          <w:i/>
          <w:iCs/>
        </w:rPr>
        <w:t xml:space="preserve">ַ </w:t>
      </w:r>
      <w:r>
        <w:rPr>
          <w:i/>
          <w:iCs/>
          <w:highlight w:val="white"/>
        </w:rPr>
        <w:t>(ruach)</w:t>
      </w:r>
      <w:r>
        <w:tab/>
      </w:r>
      <w:r>
        <w:rPr>
          <w:b/>
          <w:bCs/>
        </w:rPr>
        <w:tab/>
      </w:r>
      <w:r>
        <w:rPr>
          <w:b/>
          <w:bCs/>
        </w:rPr>
        <w:tab/>
      </w:r>
      <w:r>
        <w:t>: Kata Benda Absolut Tunggal Feminim: Roh.</w:t>
      </w:r>
    </w:p>
    <w:p w14:paraId="608B50F9" w14:textId="77777777" w:rsidR="00C531DC" w:rsidRDefault="00000000">
      <w:pPr>
        <w:tabs>
          <w:tab w:val="left" w:pos="360"/>
        </w:tabs>
        <w:spacing w:line="360" w:lineRule="auto"/>
        <w:ind w:left="360" w:hanging="360"/>
        <w:jc w:val="both"/>
      </w:pPr>
      <w:r>
        <w:rPr>
          <w:b/>
          <w:bCs/>
        </w:rPr>
        <w:t xml:space="preserve">   </w:t>
      </w:r>
      <w:r>
        <w:rPr>
          <w:b/>
          <w:bCs/>
          <w:i/>
          <w:iCs/>
          <w:rtl/>
        </w:rPr>
        <w:t>יָשׁוּב</w:t>
      </w:r>
      <w:r>
        <w:rPr>
          <w:b/>
          <w:bCs/>
          <w:i/>
          <w:iCs/>
        </w:rPr>
        <w:t xml:space="preserve"> </w:t>
      </w:r>
      <w:r>
        <w:rPr>
          <w:i/>
          <w:iCs/>
          <w:highlight w:val="white"/>
        </w:rPr>
        <w:t>(tashuv)</w:t>
      </w:r>
      <w:r>
        <w:rPr>
          <w:b/>
          <w:bCs/>
          <w:highlight w:val="white"/>
        </w:rPr>
        <w:tab/>
      </w:r>
      <w:r>
        <w:rPr>
          <w:b/>
          <w:bCs/>
          <w:highlight w:val="white"/>
        </w:rPr>
        <w:tab/>
      </w:r>
      <w:r>
        <w:rPr>
          <w:b/>
          <w:bCs/>
        </w:rPr>
        <w:t xml:space="preserve">: </w:t>
      </w:r>
      <w:r>
        <w:t xml:space="preserve">Kata Kerja: </w:t>
      </w:r>
      <w:r>
        <w:rPr>
          <w:i/>
          <w:iCs/>
        </w:rPr>
        <w:t>Qal Imperfect</w:t>
      </w:r>
      <w:r>
        <w:t xml:space="preserve"> Orang Ketiga Jamak Maskulin,  </w:t>
      </w:r>
    </w:p>
    <w:p w14:paraId="5BAE3859" w14:textId="77777777" w:rsidR="00C531DC" w:rsidRDefault="00000000">
      <w:pPr>
        <w:tabs>
          <w:tab w:val="left" w:pos="360"/>
        </w:tabs>
        <w:spacing w:line="360" w:lineRule="auto"/>
        <w:ind w:left="180" w:hanging="270"/>
        <w:jc w:val="both"/>
        <w:rPr>
          <w:b/>
          <w:bCs/>
        </w:rPr>
      </w:pPr>
      <w:r>
        <w:rPr>
          <w:b/>
          <w:bCs/>
        </w:rPr>
        <w:t xml:space="preserve">      </w:t>
      </w:r>
      <w:r>
        <w:rPr>
          <w:b/>
          <w:bCs/>
          <w:i/>
          <w:iCs/>
          <w:rtl/>
        </w:rPr>
        <w:t>אֶל</w:t>
      </w:r>
      <w:r>
        <w:rPr>
          <w:b/>
          <w:bCs/>
          <w:i/>
          <w:iCs/>
        </w:rPr>
        <w:t xml:space="preserve"> </w:t>
      </w:r>
      <w:r>
        <w:rPr>
          <w:i/>
          <w:iCs/>
          <w:highlight w:val="white"/>
        </w:rPr>
        <w:t>(el)</w:t>
      </w:r>
      <w:r>
        <w:rPr>
          <w:i/>
          <w:iCs/>
          <w:highlight w:val="white"/>
        </w:rPr>
        <w:tab/>
      </w:r>
      <w:r>
        <w:rPr>
          <w:highlight w:val="white"/>
        </w:rPr>
        <w:tab/>
      </w:r>
      <w:r>
        <w:rPr>
          <w:highlight w:val="white"/>
        </w:rPr>
        <w:tab/>
      </w:r>
      <w:r>
        <w:t>: Preposisi: Kepada.</w:t>
      </w:r>
    </w:p>
    <w:p w14:paraId="45B48AA5" w14:textId="77777777" w:rsidR="00C531DC" w:rsidRDefault="00000000">
      <w:pPr>
        <w:tabs>
          <w:tab w:val="left" w:pos="270"/>
          <w:tab w:val="left" w:pos="360"/>
        </w:tabs>
        <w:spacing w:line="360" w:lineRule="auto"/>
        <w:ind w:left="180" w:hanging="270"/>
        <w:jc w:val="both"/>
      </w:pPr>
      <w:r>
        <w:rPr>
          <w:b/>
          <w:bCs/>
          <w:i/>
          <w:iCs/>
        </w:rPr>
        <w:t xml:space="preserve"> </w:t>
      </w:r>
      <w:r>
        <w:rPr>
          <w:b/>
          <w:bCs/>
          <w:i/>
          <w:iCs/>
        </w:rPr>
        <w:tab/>
        <w:t xml:space="preserve"> </w:t>
      </w:r>
      <w:r>
        <w:rPr>
          <w:b/>
          <w:bCs/>
          <w:i/>
          <w:iCs/>
          <w:rtl/>
        </w:rPr>
        <w:t>אֱלֹהִים</w:t>
      </w:r>
      <w:r>
        <w:rPr>
          <w:b/>
          <w:bCs/>
          <w:i/>
          <w:iCs/>
        </w:rPr>
        <w:t xml:space="preserve"> </w:t>
      </w:r>
      <w:r>
        <w:rPr>
          <w:i/>
          <w:iCs/>
          <w:highlight w:val="white"/>
        </w:rPr>
        <w:t>(Elohim)</w:t>
      </w:r>
      <w:r>
        <w:rPr>
          <w:highlight w:val="white"/>
        </w:rPr>
        <w:tab/>
      </w:r>
      <w:r>
        <w:rPr>
          <w:highlight w:val="white"/>
        </w:rPr>
        <w:tab/>
      </w:r>
      <w:r>
        <w:t>:  Kata Benda Nama: Allah.</w:t>
      </w:r>
    </w:p>
    <w:p w14:paraId="3A37AD64" w14:textId="77777777" w:rsidR="00C531DC" w:rsidRDefault="00000000">
      <w:pPr>
        <w:tabs>
          <w:tab w:val="left" w:pos="360"/>
        </w:tabs>
        <w:spacing w:line="360" w:lineRule="auto"/>
        <w:ind w:left="450" w:hanging="360"/>
        <w:jc w:val="both"/>
        <w:rPr>
          <w:b/>
          <w:bCs/>
        </w:rPr>
      </w:pPr>
      <w:r>
        <w:rPr>
          <w:b/>
          <w:bCs/>
        </w:rPr>
        <w:t xml:space="preserve">    </w:t>
      </w:r>
      <w:r>
        <w:rPr>
          <w:b/>
          <w:bCs/>
          <w:i/>
          <w:iCs/>
          <w:rtl/>
        </w:rPr>
        <w:t>אֲשֶׁר</w:t>
      </w:r>
      <w:r>
        <w:rPr>
          <w:b/>
          <w:bCs/>
          <w:i/>
          <w:iCs/>
        </w:rPr>
        <w:t xml:space="preserve">  </w:t>
      </w:r>
      <w:r>
        <w:rPr>
          <w:i/>
          <w:iCs/>
          <w:highlight w:val="white"/>
        </w:rPr>
        <w:t>(asher)</w:t>
      </w:r>
      <w:r>
        <w:rPr>
          <w:b/>
          <w:bCs/>
          <w:highlight w:val="white"/>
        </w:rPr>
        <w:tab/>
      </w:r>
      <w:r>
        <w:rPr>
          <w:b/>
          <w:bCs/>
          <w:highlight w:val="white"/>
        </w:rPr>
        <w:tab/>
      </w:r>
      <w:r>
        <w:rPr>
          <w:b/>
          <w:bCs/>
        </w:rPr>
        <w:t xml:space="preserve">: </w:t>
      </w:r>
      <w:r>
        <w:t>Kata Penghubung: Yang.</w:t>
      </w:r>
    </w:p>
    <w:p w14:paraId="050399D1" w14:textId="77777777" w:rsidR="00C531DC" w:rsidRDefault="00000000">
      <w:pPr>
        <w:tabs>
          <w:tab w:val="left" w:pos="360"/>
        </w:tabs>
        <w:spacing w:line="360" w:lineRule="auto"/>
        <w:ind w:left="2880" w:hanging="2880"/>
        <w:jc w:val="both"/>
      </w:pPr>
      <w:r>
        <w:rPr>
          <w:b/>
          <w:bCs/>
        </w:rPr>
        <w:t xml:space="preserve">     </w:t>
      </w:r>
      <w:r>
        <w:rPr>
          <w:b/>
          <w:bCs/>
          <w:i/>
          <w:iCs/>
          <w:rtl/>
        </w:rPr>
        <w:t>נָתַן</w:t>
      </w:r>
      <w:r>
        <w:rPr>
          <w:b/>
          <w:bCs/>
          <w:i/>
          <w:iCs/>
        </w:rPr>
        <w:t xml:space="preserve"> </w:t>
      </w:r>
      <w:r>
        <w:rPr>
          <w:i/>
          <w:iCs/>
          <w:highlight w:val="white"/>
        </w:rPr>
        <w:t>(natan)</w:t>
      </w:r>
      <w:r>
        <w:rPr>
          <w:b/>
          <w:bCs/>
          <w:highlight w:val="white"/>
        </w:rPr>
        <w:tab/>
      </w:r>
      <w:r>
        <w:rPr>
          <w:b/>
          <w:bCs/>
        </w:rPr>
        <w:t xml:space="preserve">: </w:t>
      </w:r>
      <w:r>
        <w:t xml:space="preserve">Kata Kerja: </w:t>
      </w:r>
      <w:r>
        <w:rPr>
          <w:i/>
          <w:iCs/>
        </w:rPr>
        <w:t>Qal Perfect</w:t>
      </w:r>
      <w:r>
        <w:t xml:space="preserve"> Orang Ketiga Tunggal Maskulin Makna: Memberikan.</w:t>
      </w:r>
    </w:p>
    <w:p w14:paraId="76309B26" w14:textId="77777777" w:rsidR="00C531DC" w:rsidRDefault="00000000">
      <w:pPr>
        <w:spacing w:line="360" w:lineRule="auto"/>
      </w:pPr>
      <w:r>
        <w:t xml:space="preserve">   Pada ayat 1:</w:t>
      </w:r>
    </w:p>
    <w:p w14:paraId="41BCF1CC" w14:textId="77777777" w:rsidR="00C531DC" w:rsidRDefault="00000000">
      <w:pPr>
        <w:spacing w:line="360" w:lineRule="auto"/>
        <w:ind w:left="2250" w:hanging="2250"/>
        <w:jc w:val="both"/>
        <w:rPr>
          <w:i/>
          <w:iCs/>
        </w:rPr>
      </w:pPr>
      <w:r>
        <w:rPr>
          <w:i/>
          <w:iCs/>
        </w:rPr>
        <w:t xml:space="preserve">   King James Version: “Remember now thy Creator in the days of thy youth, while the evil days come not, nor the years draw nigh, when thou shalt say, I have no pleasure in them.” </w:t>
      </w:r>
    </w:p>
    <w:p w14:paraId="0894F5A8" w14:textId="77777777" w:rsidR="00C531DC" w:rsidRDefault="00000000">
      <w:pPr>
        <w:spacing w:line="360" w:lineRule="auto"/>
        <w:ind w:left="2250" w:hanging="2250"/>
        <w:jc w:val="both"/>
        <w:rPr>
          <w:i/>
          <w:iCs/>
        </w:rPr>
      </w:pPr>
      <w:r>
        <w:rPr>
          <w:i/>
          <w:iCs/>
        </w:rPr>
        <w:lastRenderedPageBreak/>
        <w:t>New International Version: “Remember your Creator in the days of your youth, before the days of trouble come and the years approach when you will say, ‘I find no pleasure in them.”</w:t>
      </w:r>
    </w:p>
    <w:p w14:paraId="55A0D9A3" w14:textId="77777777" w:rsidR="00C531DC" w:rsidRDefault="00000000">
      <w:pPr>
        <w:spacing w:line="360" w:lineRule="auto"/>
        <w:ind w:left="2250" w:hanging="2250"/>
        <w:jc w:val="both"/>
        <w:rPr>
          <w:i/>
          <w:iCs/>
        </w:rPr>
      </w:pPr>
      <w:r>
        <w:t xml:space="preserve">Terjemahan Baru 1: </w:t>
      </w:r>
      <w:r>
        <w:tab/>
        <w:t>“</w:t>
      </w:r>
      <w:r>
        <w:rPr>
          <w:i/>
          <w:iCs/>
        </w:rPr>
        <w:t>Ingatlah akan Penciptamu pada masa mudamu, sebelum tiba hari-hari yang malang dan mendekat tahun-tahun yang ku katakan: “Tak ada kesenangan bagi di dalamnya!”</w:t>
      </w:r>
    </w:p>
    <w:p w14:paraId="16CA377B" w14:textId="77777777" w:rsidR="00C531DC" w:rsidRDefault="00000000">
      <w:pPr>
        <w:spacing w:line="360" w:lineRule="auto"/>
        <w:ind w:left="2250" w:hanging="2250"/>
        <w:jc w:val="both"/>
        <w:rPr>
          <w:i/>
          <w:iCs/>
          <w:highlight w:val="white"/>
        </w:rPr>
      </w:pPr>
      <w:r>
        <w:t xml:space="preserve">Terjemahan Baru 2: </w:t>
      </w:r>
      <w:r>
        <w:tab/>
        <w:t>“</w:t>
      </w:r>
      <w:r>
        <w:rPr>
          <w:i/>
          <w:iCs/>
          <w:highlight w:val="white"/>
        </w:rPr>
        <w:t>Ingatlah akan Penciptamu pada masa mudamu, sebelum tiba hari-hari yang malang dan mendekat tahun-tahun yang kaukatakan: "Tak ada kesenangan bagiku di dalamnya!”</w:t>
      </w:r>
    </w:p>
    <w:p w14:paraId="66BF276C" w14:textId="77777777" w:rsidR="00C531DC" w:rsidRDefault="00000000">
      <w:pPr>
        <w:spacing w:line="360" w:lineRule="auto"/>
        <w:ind w:left="2160" w:hanging="2160"/>
        <w:jc w:val="both"/>
      </w:pPr>
      <w:r>
        <w:t xml:space="preserve">Bahasa Batak Toba: </w:t>
      </w:r>
      <w:r>
        <w:tab/>
        <w:t>“</w:t>
      </w:r>
      <w:r>
        <w:rPr>
          <w:i/>
          <w:iCs/>
        </w:rPr>
        <w:t>Sai, dipaingotingpt ma roham ma Sitompa ho di angka ari haposoonmu, tangan so dope angka ari hinamago, jala ngomngom taon pandohonanmu: Ndang lomo rohangku di angka i.</w:t>
      </w:r>
      <w:r>
        <w:t>”</w:t>
      </w:r>
    </w:p>
    <w:p w14:paraId="4E584DD9" w14:textId="77777777" w:rsidR="00C531DC" w:rsidRDefault="00000000">
      <w:pPr>
        <w:spacing w:line="360" w:lineRule="auto"/>
        <w:ind w:left="2160" w:hanging="2250"/>
      </w:pPr>
      <w:r>
        <w:t xml:space="preserve">Pada ayat 7: </w:t>
      </w:r>
    </w:p>
    <w:p w14:paraId="2CAF6216" w14:textId="77777777" w:rsidR="00C531DC" w:rsidRDefault="00000000">
      <w:pPr>
        <w:spacing w:line="360" w:lineRule="auto"/>
        <w:ind w:left="2160" w:hanging="2250"/>
        <w:jc w:val="both"/>
      </w:pPr>
      <w:r>
        <w:rPr>
          <w:i/>
          <w:iCs/>
        </w:rPr>
        <w:t>King James Version</w:t>
      </w:r>
      <w:r>
        <w:t xml:space="preserve">: </w:t>
      </w:r>
      <w:r>
        <w:rPr>
          <w:i/>
          <w:iCs/>
        </w:rPr>
        <w:t>“Then shall the dust return to the earth as it was: and the spirit shall return unto God who gave it."</w:t>
      </w:r>
    </w:p>
    <w:p w14:paraId="5F52C12E" w14:textId="77777777" w:rsidR="00C531DC" w:rsidRDefault="00000000">
      <w:pPr>
        <w:spacing w:line="360" w:lineRule="auto"/>
        <w:ind w:left="2160" w:hanging="2250"/>
        <w:jc w:val="both"/>
      </w:pPr>
      <w:r>
        <w:rPr>
          <w:i/>
          <w:iCs/>
        </w:rPr>
        <w:t>New International Version</w:t>
      </w:r>
      <w:r>
        <w:t xml:space="preserve">: </w:t>
      </w:r>
      <w:r>
        <w:rPr>
          <w:i/>
          <w:iCs/>
        </w:rPr>
        <w:t>"And the dust returns to the ground it came from, and the spirit returns to God who gave it."</w:t>
      </w:r>
    </w:p>
    <w:p w14:paraId="04C9DDBA" w14:textId="77777777" w:rsidR="00C531DC" w:rsidRDefault="00000000">
      <w:pPr>
        <w:spacing w:line="360" w:lineRule="auto"/>
        <w:ind w:left="2160" w:hanging="2250"/>
        <w:jc w:val="both"/>
      </w:pPr>
      <w:r>
        <w:t xml:space="preserve">Terjemahan Baru 1: </w:t>
      </w:r>
      <w:r>
        <w:tab/>
        <w:t>“</w:t>
      </w:r>
      <w:r>
        <w:rPr>
          <w:i/>
          <w:iCs/>
        </w:rPr>
        <w:t>Dan debu kembali menjadi tanah seperti semula dan roh kembali kepada Allah yang mengaruniakannya.”</w:t>
      </w:r>
    </w:p>
    <w:p w14:paraId="4F4BDE25" w14:textId="77777777" w:rsidR="00C531DC" w:rsidRDefault="00000000">
      <w:pPr>
        <w:spacing w:line="360" w:lineRule="auto"/>
        <w:ind w:left="2160" w:hanging="2250"/>
        <w:jc w:val="both"/>
        <w:rPr>
          <w:highlight w:val="white"/>
        </w:rPr>
      </w:pPr>
      <w:r>
        <w:t>Terjemahan Baru 2: “</w:t>
      </w:r>
      <w:r>
        <w:rPr>
          <w:i/>
          <w:iCs/>
          <w:highlight w:val="white"/>
        </w:rPr>
        <w:t>Dan debu kembali ke tanah seperti semula, dan roh kembali kepada Allah yang mengaruniakannya.</w:t>
      </w:r>
      <w:r>
        <w:rPr>
          <w:highlight w:val="white"/>
        </w:rPr>
        <w:t>”</w:t>
      </w:r>
    </w:p>
    <w:p w14:paraId="2C960669" w14:textId="77777777" w:rsidR="00C531DC" w:rsidRDefault="00000000">
      <w:pPr>
        <w:spacing w:line="360" w:lineRule="auto"/>
        <w:ind w:left="2160" w:hanging="2250"/>
        <w:jc w:val="both"/>
      </w:pPr>
      <w:r>
        <w:rPr>
          <w:highlight w:val="white"/>
        </w:rPr>
        <w:t xml:space="preserve"> </w:t>
      </w:r>
      <w:r>
        <w:t>Bahasa Batak Toba: “</w:t>
      </w:r>
      <w:r>
        <w:rPr>
          <w:i/>
          <w:iCs/>
        </w:rPr>
        <w:t>Jala mulak orbuk i tu tano, pambuatanna hian, alai anggo tondi mulak tu Debata, nampunasa hian.”</w:t>
      </w:r>
    </w:p>
    <w:p w14:paraId="1280C33D" w14:textId="77777777" w:rsidR="00C531DC" w:rsidRDefault="00000000">
      <w:pPr>
        <w:spacing w:line="360" w:lineRule="auto"/>
        <w:ind w:firstLine="720"/>
        <w:jc w:val="both"/>
        <w:rPr>
          <w:highlight w:val="white"/>
        </w:rPr>
      </w:pPr>
      <w:r>
        <w:rPr>
          <w:highlight w:val="white"/>
        </w:rPr>
        <w:t>Dengan melihat analisis dalam perbandingan ayat ini, maka dapat diterangkan bahwa ayat 1 dalam Kitab Pengkhotbah memperingatkan akan pencipta pada masa muda dengan sebuah urgensi terpusat pada kata</w:t>
      </w:r>
      <w:r>
        <w:rPr>
          <w:b/>
          <w:bCs/>
          <w:i/>
          <w:iCs/>
        </w:rPr>
        <w:t xml:space="preserve"> </w:t>
      </w:r>
      <w:r>
        <w:rPr>
          <w:b/>
          <w:bCs/>
          <w:i/>
          <w:iCs/>
          <w:rtl/>
        </w:rPr>
        <w:t>זְכֹר</w:t>
      </w:r>
      <w:r>
        <w:rPr>
          <w:b/>
          <w:bCs/>
          <w:i/>
          <w:iCs/>
        </w:rPr>
        <w:t xml:space="preserve"> </w:t>
      </w:r>
      <w:r>
        <w:rPr>
          <w:i/>
          <w:iCs/>
        </w:rPr>
        <w:t xml:space="preserve">(zekhor). </w:t>
      </w:r>
      <w:r>
        <w:t>Kata ini merupakan kata kerja imperatif maskulin tunggal</w:t>
      </w:r>
      <w:r>
        <w:rPr>
          <w:i/>
          <w:iCs/>
          <w:highlight w:val="white"/>
        </w:rPr>
        <w:t xml:space="preserve"> </w:t>
      </w:r>
      <w:r>
        <w:rPr>
          <w:highlight w:val="white"/>
        </w:rPr>
        <w:t xml:space="preserve">yaitu kata ingatlah. Ada berbagai terjemahan yang menjelaskan akan kata ini seperti </w:t>
      </w:r>
      <w:r>
        <w:rPr>
          <w:i/>
          <w:iCs/>
          <w:highlight w:val="white"/>
        </w:rPr>
        <w:t>King James Version, New International Version</w:t>
      </w:r>
      <w:r>
        <w:rPr>
          <w:highlight w:val="white"/>
        </w:rPr>
        <w:t>, Bahasa Batak Toba, dan TB 1 serta TB 2 LAI yang memperlihatkan usaha dalam mempertahankan arti yang sama dengan esensi sumber bahasa dan bentuk linguistik yang berbeda variasi. Dalam Analisis perbandingan sumber kata ini mendeskripsikan ajakan pada kesetiaan dalam makna simboliknya. Juga selain kata</w:t>
      </w:r>
      <w:r>
        <w:rPr>
          <w:b/>
          <w:bCs/>
          <w:i/>
          <w:iCs/>
        </w:rPr>
        <w:t xml:space="preserve"> </w:t>
      </w:r>
      <w:r>
        <w:rPr>
          <w:b/>
          <w:bCs/>
          <w:i/>
          <w:iCs/>
          <w:rtl/>
        </w:rPr>
        <w:t>זְכֹר</w:t>
      </w:r>
      <w:r>
        <w:rPr>
          <w:b/>
          <w:bCs/>
          <w:i/>
          <w:iCs/>
        </w:rPr>
        <w:t xml:space="preserve"> </w:t>
      </w:r>
      <w:r>
        <w:rPr>
          <w:i/>
          <w:iCs/>
        </w:rPr>
        <w:t>(zekhor)</w:t>
      </w:r>
      <w:r>
        <w:rPr>
          <w:i/>
          <w:iCs/>
          <w:highlight w:val="white"/>
        </w:rPr>
        <w:t xml:space="preserve">, </w:t>
      </w:r>
      <w:r>
        <w:rPr>
          <w:highlight w:val="white"/>
        </w:rPr>
        <w:t xml:space="preserve">terdapat kata </w:t>
      </w:r>
      <w:r>
        <w:rPr>
          <w:b/>
          <w:bCs/>
          <w:i/>
          <w:iCs/>
          <w:highlight w:val="white"/>
          <w:rtl/>
        </w:rPr>
        <w:t>בְּחוּרוֹתֶיך</w:t>
      </w:r>
      <w:r>
        <w:rPr>
          <w:b/>
          <w:bCs/>
          <w:i/>
          <w:iCs/>
          <w:highlight w:val="white"/>
        </w:rPr>
        <w:t xml:space="preserve">ָ </w:t>
      </w:r>
      <w:r>
        <w:rPr>
          <w:i/>
          <w:iCs/>
          <w:highlight w:val="white"/>
        </w:rPr>
        <w:t xml:space="preserve">(bekhuroteikha), </w:t>
      </w:r>
      <w:r>
        <w:rPr>
          <w:highlight w:val="white"/>
        </w:rPr>
        <w:t xml:space="preserve">terlihat sebagai kata benda abstrak jamak feminim + Sufiks yang memiliki kata dasar yaitu </w:t>
      </w:r>
      <w:r>
        <w:rPr>
          <w:i/>
          <w:iCs/>
          <w:highlight w:val="white"/>
          <w:rtl/>
        </w:rPr>
        <w:t>בָּחוּר</w:t>
      </w:r>
      <w:r>
        <w:rPr>
          <w:highlight w:val="white"/>
        </w:rPr>
        <w:t xml:space="preserve"> </w:t>
      </w:r>
      <w:r>
        <w:rPr>
          <w:i/>
          <w:iCs/>
          <w:highlight w:val="white"/>
        </w:rPr>
        <w:t xml:space="preserve">(bahur) </w:t>
      </w:r>
      <w:r>
        <w:rPr>
          <w:highlight w:val="white"/>
        </w:rPr>
        <w:t xml:space="preserve">yaitu masa mudamu. Berdasarkan terjemahan dalam sebuah perbandingan tidak </w:t>
      </w:r>
      <w:r>
        <w:rPr>
          <w:highlight w:val="white"/>
        </w:rPr>
        <w:lastRenderedPageBreak/>
        <w:t xml:space="preserve">terdapat perbedaan dalam penggunaan prosa makna kata yang berubah dalam ayat ini. Namun, hanya proses dalam bentuk bahasa saja yang beda baik dalam KJV, NIV, TB 1 yang tetap sama dengan TB 2, dan bahasa Batak Toba. </w:t>
      </w:r>
    </w:p>
    <w:p w14:paraId="70CEAD82" w14:textId="77777777" w:rsidR="00C531DC" w:rsidRDefault="00000000">
      <w:pPr>
        <w:spacing w:line="360" w:lineRule="auto"/>
        <w:ind w:firstLine="720"/>
        <w:jc w:val="both"/>
        <w:rPr>
          <w:highlight w:val="white"/>
        </w:rPr>
      </w:pPr>
      <w:r>
        <w:rPr>
          <w:highlight w:val="white"/>
        </w:rPr>
        <w:t xml:space="preserve">Sedangkan dalam perikop ayat ke-7, pada kalimat </w:t>
      </w:r>
      <w:r>
        <w:rPr>
          <w:i/>
          <w:iCs/>
          <w:highlight w:val="white"/>
        </w:rPr>
        <w:t xml:space="preserve">“kembalinya debu ke bumi dan roh ke Allah” </w:t>
      </w:r>
      <w:r>
        <w:rPr>
          <w:highlight w:val="white"/>
        </w:rPr>
        <w:t xml:space="preserve">sesuai dengan pertanyaan gap penelitian yang ditawarkan sebelumnya merujuk pada kata debu, bumi, roh dan Allah. Pada kata bahasa Ibrani-Nya sesuai penganalisisan dibagi menjadi </w:t>
      </w:r>
      <w:r>
        <w:rPr>
          <w:i/>
          <w:iCs/>
          <w:highlight w:val="white"/>
        </w:rPr>
        <w:t xml:space="preserve"> </w:t>
      </w:r>
      <w:r>
        <w:rPr>
          <w:b/>
          <w:bCs/>
          <w:i/>
          <w:iCs/>
          <w:highlight w:val="white"/>
          <w:rtl/>
        </w:rPr>
        <w:t>עָפָר</w:t>
      </w:r>
      <w:r>
        <w:rPr>
          <w:b/>
          <w:bCs/>
          <w:i/>
          <w:iCs/>
          <w:highlight w:val="white"/>
        </w:rPr>
        <w:t xml:space="preserve"> (</w:t>
      </w:r>
      <w:r>
        <w:rPr>
          <w:i/>
          <w:iCs/>
          <w:highlight w:val="white"/>
        </w:rPr>
        <w:t xml:space="preserve">afar) </w:t>
      </w:r>
      <w:r>
        <w:rPr>
          <w:highlight w:val="white"/>
        </w:rPr>
        <w:t xml:space="preserve">disebut sebagai kata benda absolut tunggal maskulin yang dapat diartikan sebagai Debu. Kemudian pada kata </w:t>
      </w:r>
      <w:r>
        <w:rPr>
          <w:b/>
          <w:bCs/>
          <w:i/>
          <w:iCs/>
          <w:highlight w:val="white"/>
          <w:rtl/>
        </w:rPr>
        <w:t>אֲדָמָה</w:t>
      </w:r>
      <w:r>
        <w:rPr>
          <w:b/>
          <w:bCs/>
          <w:i/>
          <w:iCs/>
          <w:highlight w:val="white"/>
        </w:rPr>
        <w:t xml:space="preserve"> (</w:t>
      </w:r>
      <w:r>
        <w:rPr>
          <w:i/>
          <w:iCs/>
          <w:highlight w:val="white"/>
        </w:rPr>
        <w:t xml:space="preserve">adamah), </w:t>
      </w:r>
      <w:r>
        <w:rPr>
          <w:highlight w:val="white"/>
        </w:rPr>
        <w:t>yaitu,</w:t>
      </w:r>
      <w:r>
        <w:rPr>
          <w:b/>
          <w:bCs/>
          <w:highlight w:val="white"/>
        </w:rPr>
        <w:t xml:space="preserve"> </w:t>
      </w:r>
      <w:r>
        <w:rPr>
          <w:highlight w:val="white"/>
        </w:rPr>
        <w:t xml:space="preserve">kata benda absolut tunggal feminim yaitu tanah. Kemudian kata </w:t>
      </w:r>
      <w:r>
        <w:rPr>
          <w:highlight w:val="white"/>
          <w:rtl/>
        </w:rPr>
        <w:t>רו</w:t>
      </w:r>
      <w:r>
        <w:rPr>
          <w:b/>
          <w:bCs/>
          <w:i/>
          <w:iCs/>
          <w:highlight w:val="white"/>
        </w:rPr>
        <w:t>ּ</w:t>
      </w:r>
      <w:r>
        <w:rPr>
          <w:b/>
          <w:bCs/>
          <w:i/>
          <w:iCs/>
          <w:highlight w:val="white"/>
          <w:rtl/>
        </w:rPr>
        <w:t>ח</w:t>
      </w:r>
      <w:r>
        <w:rPr>
          <w:b/>
          <w:bCs/>
          <w:i/>
          <w:iCs/>
          <w:highlight w:val="white"/>
        </w:rPr>
        <w:t xml:space="preserve">ַ </w:t>
      </w:r>
      <w:r>
        <w:rPr>
          <w:i/>
          <w:iCs/>
          <w:highlight w:val="white"/>
        </w:rPr>
        <w:t>(ruach</w:t>
      </w:r>
      <w:r>
        <w:rPr>
          <w:highlight w:val="white"/>
        </w:rPr>
        <w:t>), disebut sebagai kata benda absolut tunggal feminim yang berarti Roh.</w:t>
      </w:r>
      <w:r>
        <w:rPr>
          <w:i/>
          <w:iCs/>
          <w:highlight w:val="white"/>
        </w:rPr>
        <w:t xml:space="preserve"> </w:t>
      </w:r>
      <w:r>
        <w:rPr>
          <w:highlight w:val="white"/>
        </w:rPr>
        <w:t>Kemudian, yang terakhir, yaitu kata</w:t>
      </w:r>
      <w:r>
        <w:rPr>
          <w:i/>
          <w:iCs/>
          <w:highlight w:val="white"/>
        </w:rPr>
        <w:t xml:space="preserve"> </w:t>
      </w:r>
      <w:r>
        <w:rPr>
          <w:b/>
          <w:bCs/>
          <w:i/>
          <w:iCs/>
          <w:highlight w:val="white"/>
          <w:rtl/>
        </w:rPr>
        <w:t>אֱלֹהִים</w:t>
      </w:r>
      <w:r>
        <w:rPr>
          <w:b/>
          <w:bCs/>
          <w:i/>
          <w:iCs/>
          <w:highlight w:val="white"/>
        </w:rPr>
        <w:t xml:space="preserve"> </w:t>
      </w:r>
      <w:r>
        <w:rPr>
          <w:i/>
          <w:iCs/>
          <w:highlight w:val="white"/>
        </w:rPr>
        <w:t xml:space="preserve">(Elohim), </w:t>
      </w:r>
      <w:r>
        <w:rPr>
          <w:highlight w:val="white"/>
        </w:rPr>
        <w:t xml:space="preserve">yang disebut sebagai kata benda nama yaitu Allah. Hal ini tidak terlihat indikasi dalam perubahan kata pada teks perbandingan yang terdiri dari KJV, NIV, TB 1, Tb 2 dan bahasa Batak Toba yang tetap memiliki indikasi makan simbolis yang sama. </w:t>
      </w:r>
    </w:p>
    <w:p w14:paraId="43E356D4" w14:textId="77777777" w:rsidR="00C531DC" w:rsidRDefault="00000000">
      <w:pPr>
        <w:spacing w:line="360" w:lineRule="auto"/>
        <w:ind w:firstLine="720"/>
        <w:jc w:val="both"/>
        <w:rPr>
          <w:highlight w:val="white"/>
        </w:rPr>
      </w:pPr>
      <w:r>
        <w:rPr>
          <w:highlight w:val="white"/>
        </w:rPr>
        <w:t xml:space="preserve">Dengan demikian, penganalisisan dan perbandingan ayat 1 dan 7 pada Kitab Pengkhotbah memperlihatkan adanya proses penerjemahan yang mengalami sebuah proses transfer kata yang panjang. Pada tiap kata demi kata melibatkan berbagai unsur proses dengan menyesuaikan secara kompleks konteks dalam budaya dan linguistik yang tidak sama namun alam konteks simbolik sama. </w:t>
      </w:r>
    </w:p>
    <w:p w14:paraId="0386CD93" w14:textId="77777777" w:rsidR="00C531DC" w:rsidRDefault="00000000">
      <w:pPr>
        <w:spacing w:line="360" w:lineRule="auto"/>
        <w:rPr>
          <w:b/>
          <w:bCs/>
        </w:rPr>
      </w:pPr>
      <w:r>
        <w:rPr>
          <w:b/>
          <w:bCs/>
        </w:rPr>
        <w:t>Eksposisi dalam Pengkhotbah 12:1-8</w:t>
      </w:r>
    </w:p>
    <w:p w14:paraId="6589299C" w14:textId="77777777" w:rsidR="00C531DC" w:rsidRDefault="00000000">
      <w:pPr>
        <w:spacing w:line="360" w:lineRule="auto"/>
        <w:jc w:val="both"/>
      </w:pPr>
      <w:r>
        <w:rPr>
          <w:b/>
          <w:bCs/>
        </w:rPr>
        <w:tab/>
      </w:r>
      <w:r>
        <w:t>Pada ayat pertama, dibuka dengan sebuah prolog seruan yang mendesak peringatan kepada sentral poros Tuhan. Hal ini berhubungan dalam mengingat Tuhan, dengan implikasi mengingat Tuhan bukan sebuah formalitas, namun menjadi indikasi panggilan, membentuk hubungan yang intim dengan Tuhan. Pada kata “ingatlah</w:t>
      </w:r>
      <w:r>
        <w:rPr>
          <w:i/>
          <w:iCs/>
        </w:rPr>
        <w:t>"</w:t>
      </w:r>
      <w:r>
        <w:rPr>
          <w:b/>
          <w:bCs/>
        </w:rPr>
        <w:t xml:space="preserve"> </w:t>
      </w:r>
      <w:r>
        <w:rPr>
          <w:i/>
          <w:iCs/>
        </w:rPr>
        <w:t>(zakhor),</w:t>
      </w:r>
      <w:r>
        <w:rPr>
          <w:b/>
          <w:bCs/>
          <w:i/>
          <w:iCs/>
        </w:rPr>
        <w:t xml:space="preserve"> </w:t>
      </w:r>
      <w:r>
        <w:t xml:space="preserve">memperlihatkan kesadaran dan kepedulian yang aktif untuk kepada Tuhan di dalam kehidupan manusia yang dalam hal ini konteks nya kepada pemuda di masa itu. Hal ini dapat dilihat dalam penekanan pada kalimat “masa mudamu” menunjukan akan waktu pada masa muda muda merupakan waktu krusial untuk mulai menanamkan diri dengan berbagai nilai-nilai spiritual dan moral yang menjadi bentuk dasar untuk menghadapi akan kesulitan di masa depan. Pada kalimat “hari-hari yang malang” dan “tahun-tahun” mendeskripsikan tantangan dalam hidup yang tidak terelakkan. Ayat pertama ini juga menjelaskan bahwa ketika seseorang mengabaikan hubungan-Nya terhadap Tuhan pada masa muda, maka mereka akan menemukan sebuah kekosongan dan kehilangan akan makna ketika akan menghadapi kesulitan di kemudian hari. Kata ingatlah ini, memiliki kemiripan dengan kata seruan untuk mengingat seperti akan </w:t>
      </w:r>
      <w:r>
        <w:lastRenderedPageBreak/>
        <w:t xml:space="preserve">kematian dalam kalimat </w:t>
      </w:r>
      <w:r>
        <w:rPr>
          <w:i/>
          <w:iCs/>
        </w:rPr>
        <w:t>“memento mori,”</w:t>
      </w:r>
      <w:r>
        <w:t xml:space="preserve"> (ingatlah akan kematianmu), dan hal lainnya pada kata </w:t>
      </w:r>
      <w:r>
        <w:rPr>
          <w:i/>
          <w:iCs/>
        </w:rPr>
        <w:t xml:space="preserve">“memento Creatoris” </w:t>
      </w:r>
      <w:r>
        <w:t>(ingatlah Penciptamu).</w:t>
      </w:r>
      <w:r>
        <w:rPr>
          <w:vertAlign w:val="superscript"/>
        </w:rPr>
        <w:footnoteReference w:id="12"/>
      </w:r>
    </w:p>
    <w:p w14:paraId="5A0E4220" w14:textId="77777777" w:rsidR="00C531DC" w:rsidRDefault="00000000">
      <w:pPr>
        <w:spacing w:line="360" w:lineRule="auto"/>
        <w:ind w:firstLine="720"/>
        <w:jc w:val="both"/>
      </w:pPr>
      <w:r>
        <w:t>Pada ayat kedua, penulis terlihat disini memakai simbolisme untuk menggambarkan kegelapan yang datang pada sebuah penuan dan juga akan kesulitan. Hal ini, dapat dilihat melalui kata-kata seperti ini “Matahari, Bulan, dan Bintang-bintang” yang melambangkan harapan dan cahaya. Namun, ketika semua elemen ini gelap ini akan mencerminkan akan kehilangan kegembiraan dan harapan dalam hidup. Perikop ini juga menjelaskan bahwa kegelapan menjadi sifat fisik, tetapi juga dapat berhubungan dengan rasa emosional dan spiritual yang berpusat pada Tuhan. Oleh karena itu, ketika kehidupan menghadapi kesuraman hidup. Maka, penting untuk memiliki fondasi spiritual yang kuat agar dalam kehidupan seseorang dapat bertahan dalam keadaan sulitnya. Penulis, dalam hal ini mengajak para pembaca untuk mengenal bahwa tidak ada kepastian yang datang jika tidak mengenal Tuhan sebagai lambang hal itu sebelum pengharapan itu akan pergi.</w:t>
      </w:r>
      <w:r>
        <w:rPr>
          <w:vertAlign w:val="superscript"/>
        </w:rPr>
        <w:footnoteReference w:id="13"/>
      </w:r>
    </w:p>
    <w:p w14:paraId="700BBA83" w14:textId="77777777" w:rsidR="00C531DC" w:rsidRDefault="00C531DC">
      <w:pPr>
        <w:spacing w:line="360" w:lineRule="auto"/>
        <w:ind w:firstLine="720"/>
        <w:jc w:val="both"/>
        <w:rPr>
          <w:b/>
          <w:bCs/>
          <w:highlight w:val="yellow"/>
        </w:rPr>
      </w:pPr>
    </w:p>
    <w:p w14:paraId="0CFF1B38" w14:textId="77777777" w:rsidR="00C531DC" w:rsidRDefault="00000000">
      <w:pPr>
        <w:spacing w:line="360" w:lineRule="auto"/>
        <w:ind w:firstLine="720"/>
        <w:jc w:val="both"/>
      </w:pPr>
      <w:r>
        <w:t>Pada ayat ke-3, ayat ini memperlihatkan akan sebuah deskripsi mengenai gambaran yang kuat akan penuaan dengan penggambaran pada kalimat “Penjaga-penjaga rumah” yang mungkin melambangkan penjaga-penjaga rumah ini adalah salah satu bagian yang ada dalam diri manusia yang pada awal nya kuat yang dapat melindungi dan menjaga diri atas kehidupan. Namun, kian lama mengalami kerentanan dan lemah. Dalam kalimat, “orang-orang kuat membungkuk” menggambarkan diri manusia yang seiring berjalan umur dan bertambah usia akan mengalami sebuah pencerminan realitas dengan kekuatan yang semakin berkurang. Kemudian, kalimat “perempuan-perempuan penggiling berhenti karena berkurang jumlahnya” memperlihatkan berkurangnya produktivitas dan energi. Kalimat “dan yang melihat jendela menjadi rabun semuanya” mencerminkan penglihatan dan perspektif hidup yang semakin tak karuan dan tak jelas. Teks ini menyiratkan proses penuaan yang akan membawa tantangan yang haruslah dihadapi dengan sebuah kesadaran akan realitas hidup dan pentingnya mengenal akan Tuhan untuk mengatasi semua itu.</w:t>
      </w:r>
      <w:r>
        <w:rPr>
          <w:vertAlign w:val="superscript"/>
        </w:rPr>
        <w:footnoteReference w:id="14"/>
      </w:r>
    </w:p>
    <w:p w14:paraId="31C3EEEA" w14:textId="77777777" w:rsidR="00C531DC" w:rsidRDefault="00000000">
      <w:pPr>
        <w:spacing w:line="360" w:lineRule="auto"/>
        <w:ind w:firstLine="720"/>
        <w:jc w:val="both"/>
      </w:pPr>
      <w:r>
        <w:lastRenderedPageBreak/>
        <w:t>Pada ayat yang ke-empat, kalimat “pintu-pintu jalan tertutup” diartikan sebagai penutupan kesempatan dan penurunan aktivitas yang sering dialami oleh manusia seiring bertambahnya usia. “Bunyi penggilingan menjadi lemah” mencerminkan akan hilangnya sebuah kekuatan sedangkan “suara menjadi kicauan burung” melambangkan pelemahan yang terjadi dalam fisik manusia. Pada kalimat “semua penyanyi menunduk lesu” menandakan harapan manusia yang selalu ada, namun karena faktor fisik manusia mengalami kelemahan hal ini dapat dilihat pada kalimat “menunduk lesu” Dengan demikian, pada ayat ke-4 ini, menggambarkan kehidupan yang diliputi dengan tantangan dan kehilangan, namun masih ada harapan dan ruang untuk menemukan kebahagiaan dalam kehidupan.</w:t>
      </w:r>
      <w:r>
        <w:rPr>
          <w:vertAlign w:val="superscript"/>
        </w:rPr>
        <w:footnoteReference w:id="15"/>
      </w:r>
      <w:r>
        <w:t xml:space="preserve"> </w:t>
      </w:r>
    </w:p>
    <w:p w14:paraId="44B149FE" w14:textId="77777777" w:rsidR="00C531DC" w:rsidRDefault="00000000">
      <w:pPr>
        <w:spacing w:line="360" w:lineRule="auto"/>
        <w:ind w:firstLine="720"/>
        <w:jc w:val="both"/>
      </w:pPr>
      <w:r>
        <w:t>Dalam ayat ke-5, mencakup berbagai metafora simbolis yang menggambarkan proses penuaan dan perasaan ketakutan yang menghampiri kehidupan manusia. Pada kalimat “orang menjadi takut akan ketinggian” diartikan sebagai ketidakpastian dan ketakutan masa depan dan kemudian pada kalimat “Pohon badam berbunga yang mekar” melambangkan sebuah penandaan waktu dan siklus kehidupan. Sedangkan pada kalimat “belalang menyeret dirinya” mencerminkan hilangnya kekuatan dan sebuah vitalitas. Dalam hal ini dapat digambarkan bahwa kehidupan itu sangat sementara dan hanya satu hubungan yang akan selalu abadi yaitu hubungan manusia dan Tuhan-Nya.</w:t>
      </w:r>
      <w:r>
        <w:rPr>
          <w:vertAlign w:val="superscript"/>
        </w:rPr>
        <w:footnoteReference w:id="16"/>
      </w:r>
    </w:p>
    <w:p w14:paraId="60707DF2" w14:textId="77777777" w:rsidR="00C531DC" w:rsidRDefault="00000000">
      <w:pPr>
        <w:spacing w:line="360" w:lineRule="auto"/>
        <w:ind w:firstLine="720"/>
        <w:jc w:val="both"/>
      </w:pPr>
      <w:r>
        <w:t xml:space="preserve">Ayat ke-enam, memiliki banyak simbol-simbol yang kuat untuk mendeskripsikan sebuah kematian dan kefanaan. Pada kalimat “rantai perak” dan “pelita emas” adalah gambaran representasi dari elemen-elemen kehidupan yang mulai rapuh. Ini menunjukan akan aspek kehidupan yang memiliki akhir yang tak terhindarkan. Gambaran ini mengingatkan dunia yang bersifat sementara dan manusia atau setiap individu harus menyadari bahwa mereka hidup mereka itu sangat rapuh. Hal ini menjadi pengingat bagi manusia, bahwasanya meskipun hidup ini penuh dengan pengalaman dan kebahagian pada akhirnya apapun yang ada pada manusia segera berakhir. Oleh karena itu, mengenal Tuhan adalah fondasi iman yang sangat diperlukan karena bersifat abadi. Ayat ke-6 ini juga secara keseluruhan mempertunjukkan kehancuran jiwa dan tubuh manusia yang disamakan dengan simbol kata metafora pelita emas yang berisikan minyak sebagai lampu yang digantungkan dengan rantai pereka. Kemudian, pada kalimat “roda timba” yang disimbolkan sebagai </w:t>
      </w:r>
      <w:r>
        <w:lastRenderedPageBreak/>
        <w:t>kehidupan yang terus berlanjut dan manusia harus memiliki hubungan dengan Allah.  Lampu dan kendil menjadi lambang kehidupan di zaman purba.</w:t>
      </w:r>
      <w:r>
        <w:rPr>
          <w:vertAlign w:val="superscript"/>
        </w:rPr>
        <w:footnoteReference w:id="17"/>
      </w:r>
      <w:r>
        <w:t xml:space="preserve"> </w:t>
      </w:r>
    </w:p>
    <w:p w14:paraId="569CA399" w14:textId="77777777" w:rsidR="00C531DC" w:rsidRDefault="00000000">
      <w:pPr>
        <w:spacing w:line="360" w:lineRule="auto"/>
        <w:ind w:firstLine="720"/>
        <w:jc w:val="both"/>
      </w:pPr>
      <w:r>
        <w:t>David George Moore dan Dr. Daniel L. Akin dalam buku-Nya “</w:t>
      </w:r>
      <w:r>
        <w:rPr>
          <w:i/>
          <w:iCs/>
        </w:rPr>
        <w:t>Holman Old Testament Commentary: Volume 14-Ecclesiastes &amp; Song of Song”</w:t>
      </w:r>
      <w:r>
        <w:t xml:space="preserve"> juga menambah keterangan bahwa “tali perak” juga kemungkinan merujuk pada tulang belakang. Namun, jika diamati dihubungkan dengan sebuah konsep teori rumah tangga. Sedangkan Mangkuk emas adalah lambang dari kepala dan kendi menyimbolkan gambaran jantung yang merupakan gambaran akhir dari kehidupan. Kemudian, terakhir “roda timba” yang ditafsirkan sebagai organ pencernaan, namun makna kata ini tidak dapat begitu jelas untuk ditafsirkan yang oleh karenanya makna metaforisnya hanya berada pada gambaran organ pencernaan.</w:t>
      </w:r>
      <w:r>
        <w:rPr>
          <w:vertAlign w:val="superscript"/>
        </w:rPr>
        <w:footnoteReference w:id="18"/>
      </w:r>
      <w:r>
        <w:t xml:space="preserve"> Meskipun terdapat perbedaan dalam tafsiran yang terdapat dalam ayat 6 ini, namun ini mengabarkan kepada pembaca bahwa kehidupan manusia lambat laun akan mengalami kerapuhan dan apapun yang ada pada manusia akan hilang dan kembali kepada Allah. Oleh karena itu, relasi keintiman dengan Allah sebelum menjelang kematian sangat diperlukan. </w:t>
      </w:r>
    </w:p>
    <w:p w14:paraId="523D19FE" w14:textId="77777777" w:rsidR="00C531DC" w:rsidRDefault="00000000">
      <w:pPr>
        <w:spacing w:line="360" w:lineRule="auto"/>
        <w:ind w:firstLine="720"/>
        <w:jc w:val="both"/>
      </w:pPr>
      <w:r>
        <w:t>Pada ayat ke-tujuh, menggambarkan konsep manusia yang akan kembali kepada pencipta sebagai asal dalam kehidupannya. Pada kalimat “debu kembali menjadi tanah” ini menginisiasi akan sebuah realitas dalam tubuh atau fisik yang dimiliki manusia yang bersifat sementara dan kemudian pada kalimat “nafas hidup kembali ke Allah” ini menekankan begitu pentingnya akan spiritualitas dalam aspek kehidupan manusia agar memiliki hubungan yang abadi dengan Allah. Ayat ini berfungsi sebagai pengingat kehidupan manusia yang mulai harus mempertimbangkan tujuan dari hidup-Nya mulai sekarang dan selalu berhubungan dengan Tuhan sebelum meninggalkan dunia. Hal ini menjadi fondasi dan pengajaran bagi manusia untuk selalu merenungkan makna hidup dengan memanfaatkan waktu yang ada.</w:t>
      </w:r>
      <w:r>
        <w:rPr>
          <w:vertAlign w:val="superscript"/>
        </w:rPr>
        <w:footnoteReference w:id="19"/>
      </w:r>
    </w:p>
    <w:p w14:paraId="0D1B1751" w14:textId="77777777" w:rsidR="00C531DC" w:rsidRDefault="00000000">
      <w:pPr>
        <w:spacing w:line="360" w:lineRule="auto"/>
        <w:jc w:val="both"/>
      </w:pPr>
      <w:r>
        <w:tab/>
        <w:t xml:space="preserve">Terakhir, pada ayat ke-delapan ayat ini ditutup dengan menyoroti sebauh kesia-siaan dalam kata “kesia-siaan” pada akhir teks. Pada ayat ini, Pengkhotbah begitu menyoroti tema sentral dari keseluruhan yang terdapat dalam Kitab, hal ini menggambarkan kehidupan yang sementara. Ayat ini memanggil para pembaca untuk merenungkan nilai kehidupaan dan mengajak untuk mencari sebuah makna yang dalam kehidupan duniawi. Ayat ini </w:t>
      </w:r>
      <w:r>
        <w:lastRenderedPageBreak/>
        <w:t>menyatakan bahwa setipa individu harus menemukan makna yang besar dalam hidup-Nya. Terlebih, hubunga keada Tuhan. Hal ini, menjadi peringatan agar umat manusia tidak terjebak dalam keinginan duniawi yang bersifat sementara.</w:t>
      </w:r>
      <w:r>
        <w:rPr>
          <w:vertAlign w:val="superscript"/>
        </w:rPr>
        <w:footnoteReference w:id="20"/>
      </w:r>
    </w:p>
    <w:p w14:paraId="635A436F" w14:textId="77777777" w:rsidR="00C531DC" w:rsidRDefault="00000000">
      <w:pPr>
        <w:spacing w:line="360" w:lineRule="auto"/>
        <w:jc w:val="both"/>
      </w:pPr>
      <w:r>
        <w:tab/>
        <w:t xml:space="preserve">Dengan demikian, Pengkhotbah 12:1-8 menjelaskan akan hubungan akan masa muda yang harus memiliki relasi spiritual yang kuat dengan Tuhan-Nya sebagai Pencipta sebelum mereka mengalami penuaan dan kesedihan yang berujung hidup dalam kesia-siaan dan kefanaan di ujung kematian-Nya.  Hal ini juga sesuai dengan pernyataan dari Tremper III, dalam bukunya, </w:t>
      </w:r>
      <w:r>
        <w:rPr>
          <w:i/>
          <w:iCs/>
        </w:rPr>
        <w:t xml:space="preserve">“The Book of Ecclesiastes” </w:t>
      </w:r>
      <w:r>
        <w:t>menyatakan bhawa pengkhotbah 12:1-8 adalah sebua alegori yang mendeskripsikan akan proses dalam penuaan manusia yang menuju kematian yang merupakan tahap sesudah proses penuaan. Oleh karena itu, longman menjelaskan pentingnya mengingat Sang Pencipta semasa muda, sebelum masa sulit menghampiri hidupnya.</w:t>
      </w:r>
      <w:r>
        <w:rPr>
          <w:vertAlign w:val="superscript"/>
        </w:rPr>
        <w:footnoteReference w:id="21"/>
      </w:r>
      <w:r>
        <w:t xml:space="preserve"> Walter C. Kaiser juga mengungkapkan pemahamannya yang sama dengan penulis hal ini terlihat dalam bukunya </w:t>
      </w:r>
      <w:r>
        <w:rPr>
          <w:i/>
          <w:iCs/>
        </w:rPr>
        <w:t>“Ecclesiastes: The Whole Life”</w:t>
      </w:r>
      <w:r>
        <w:t xml:space="preserve"> yang memandang konsep ayat 6 bukan saja berpusat pada proses akan penuaan fisik. Namun juga, hilangnya kegembiraan dan vitalitas hidup.  Ia juga menekankan bahwa mengabaikan Pencipta di masa muda adalah ada bentuk dari kesia-siaan manusia dalam hidup. Namun, pandangan dari kedua tokoh ini mengenai pentingnya mengingat pencipta di masa muda.</w:t>
      </w:r>
      <w:r>
        <w:rPr>
          <w:vertAlign w:val="superscript"/>
        </w:rPr>
        <w:footnoteReference w:id="22"/>
      </w:r>
    </w:p>
    <w:p w14:paraId="18D9DE55" w14:textId="77777777" w:rsidR="00C531DC" w:rsidRDefault="00C531DC">
      <w:pPr>
        <w:spacing w:line="360" w:lineRule="auto"/>
        <w:jc w:val="both"/>
      </w:pPr>
    </w:p>
    <w:p w14:paraId="793310A8" w14:textId="77777777" w:rsidR="00C531DC" w:rsidRDefault="00000000">
      <w:pPr>
        <w:spacing w:line="360" w:lineRule="auto"/>
        <w:jc w:val="both"/>
        <w:rPr>
          <w:b/>
          <w:bCs/>
        </w:rPr>
      </w:pPr>
      <w:r>
        <w:rPr>
          <w:b/>
          <w:bCs/>
        </w:rPr>
        <w:t xml:space="preserve">Gagasan Teologis </w:t>
      </w:r>
    </w:p>
    <w:p w14:paraId="3712FC8F" w14:textId="77777777" w:rsidR="00C531DC" w:rsidRDefault="00000000">
      <w:pPr>
        <w:spacing w:line="360" w:lineRule="auto"/>
        <w:jc w:val="both"/>
      </w:pPr>
      <w:r>
        <w:rPr>
          <w:b/>
          <w:bCs/>
        </w:rPr>
        <w:tab/>
      </w:r>
      <w:r>
        <w:t xml:space="preserve">Pengkhotbah 12:1-8 memuat gagasan teologis yang termuat di dalamnya. Hal ini disebabkan karena Pengkhotbah 12:1-8 terkandung hubungan akan teologi penciptaan. Oleh karena itu, perlu memperjelas bagaimana gagasan teologi ini terkandung dalam perikop Pengkhotbah 12:1-8. </w:t>
      </w:r>
      <w:r>
        <w:rPr>
          <w:b/>
          <w:bCs/>
        </w:rPr>
        <w:tab/>
      </w:r>
      <w:r>
        <w:t xml:space="preserve">Teologi penciptaan atau yang disebut juga teologi </w:t>
      </w:r>
      <w:r>
        <w:rPr>
          <w:i/>
          <w:iCs/>
        </w:rPr>
        <w:t xml:space="preserve">Quelet </w:t>
      </w:r>
      <w:r>
        <w:t xml:space="preserve">adalah pemikiran teologi yang lahir dari sebuah pengalaman perjumpamaan </w:t>
      </w:r>
      <w:r>
        <w:rPr>
          <w:i/>
          <w:iCs/>
        </w:rPr>
        <w:t>Qolehet</w:t>
      </w:r>
      <w:r>
        <w:t xml:space="preserve"> atas sebuah kehidupan yang dialaminya. Untuk Teologi Penciptaan dapat dideskripsikan melalui sebuah konteks kehidupan. Misalnya, sebuah kepimpinan menetapkan sistem subordinat dari pusat sampai ke daerah. Pola sistem ini dikritisi dan dikomentari oleh</w:t>
      </w:r>
      <w:r>
        <w:rPr>
          <w:i/>
          <w:iCs/>
        </w:rPr>
        <w:t xml:space="preserve"> Quelet</w:t>
      </w:r>
      <w:r>
        <w:t xml:space="preserve"> karena membatasi akan pola pengalaman akan hidup manusia dan Tuhan.  Penolakan sistem ini memberi keterbatasan dalam menentukan kedudukan karena masyarakat, semakin mengalami pertekanan dari pemerintah dan tidak memiliki kekuatan untuk melawan. Analogi semacam inilah yang ingin dijelaskan oleh </w:t>
      </w:r>
      <w:r>
        <w:rPr>
          <w:i/>
          <w:iCs/>
        </w:rPr>
        <w:t>Qhelet</w:t>
      </w:r>
      <w:r>
        <w:t xml:space="preserve"> sebagai pernyataan akan ketidakmampuan manusia </w:t>
      </w:r>
      <w:r>
        <w:lastRenderedPageBreak/>
        <w:t>terhadap ketetapan Allah walaupun adanya perlawanan yang dilakukan. Menurut Quelet Allah adalah pencipta yang bersifat transenden yang oleh karena itu, Teologi Pencipta mengingatkan kepada manusia agar perlunya menikmati segala apapun yang ada di kehidupannya selagi ia diberi oleh Allah (Pkh.5:18-10). Pemberian Allah kepada manusia selagi hidup bukan berada pada kekayaan, tepapi pada sebuah kebahagiaan atas nikmat hidup.</w:t>
      </w:r>
      <w:r>
        <w:rPr>
          <w:vertAlign w:val="superscript"/>
        </w:rPr>
        <w:footnoteReference w:id="23"/>
      </w:r>
    </w:p>
    <w:p w14:paraId="6E6FD9C8" w14:textId="77777777" w:rsidR="00C531DC" w:rsidRDefault="00000000">
      <w:pPr>
        <w:spacing w:line="360" w:lineRule="auto"/>
        <w:jc w:val="both"/>
      </w:pPr>
      <w:r>
        <w:tab/>
        <w:t>Selain teologi Pencipta, ternyata Pengkhotbah 12:1-8 juga mengandung teologi Kesia-siaan. Apakah yang dimaksud dengan teologi tersebut?  Teologi kesia-siaan merupakan teologi yang mengandung konsep filosofis “hebel” yang dalam bahasa aslinya yaitu Ibrani-Nya diterjemahkan sebagai kesia-siaan atau juga kekosongan. Adapun alasan utama yang paling penting mengapa adanya teologi kesia-siaan adalah disebabkan Pengkhotbah menyoroti kegagalan dunia akan materi. Hal ini juga dilihat oleh Raja Salomo selaku penulis ini, meskipun ada kemungkinan ditulis oleh orang lain.  Tokoh Salomo melihat bahwa kehidupan manusia itu dipenuhi dengan kekosongan, penderitaan, dan ketidakpuasan. Oleh karena itu, Salomo menekankan bahwa akhir dari segala sesuatu merupakan takdir dan hanya satu yang memberikan makna yang abadi adalah hubungan yang kuat dengan Tuhan.</w:t>
      </w:r>
      <w:r>
        <w:rPr>
          <w:vertAlign w:val="superscript"/>
        </w:rPr>
        <w:footnoteReference w:id="24"/>
      </w:r>
    </w:p>
    <w:p w14:paraId="5402B3B5" w14:textId="77777777" w:rsidR="00C531DC" w:rsidRDefault="00C531DC">
      <w:pPr>
        <w:spacing w:line="360" w:lineRule="auto"/>
        <w:jc w:val="both"/>
      </w:pPr>
    </w:p>
    <w:p w14:paraId="06B50FE2" w14:textId="77777777" w:rsidR="00C531DC" w:rsidRDefault="00000000">
      <w:pPr>
        <w:spacing w:line="360" w:lineRule="auto"/>
        <w:jc w:val="center"/>
        <w:rPr>
          <w:b/>
          <w:bCs/>
        </w:rPr>
      </w:pPr>
      <w:r>
        <w:rPr>
          <w:b/>
          <w:bCs/>
        </w:rPr>
        <w:t>Relevansi terhadap Pemuda-Pemudi Gereja HKBP</w:t>
      </w:r>
    </w:p>
    <w:p w14:paraId="6B2EFE81" w14:textId="77777777" w:rsidR="00C531DC" w:rsidRDefault="00000000">
      <w:pPr>
        <w:tabs>
          <w:tab w:val="left" w:pos="450"/>
        </w:tabs>
        <w:spacing w:line="360" w:lineRule="auto"/>
        <w:jc w:val="both"/>
      </w:pPr>
      <w:r>
        <w:tab/>
        <w:t xml:space="preserve">Pengkhotbah 12: 1-8 memberikan pesan khusus yang sangat bermanfaat bagi pemuda dan pemudi di masa kini, terkhususnya dalam membangun hubungan erat antara Tuhan dan ciptaan pada masa mudanya sebelum masa-masa akan kesia-siaan/tantangan dalam hidup muncul dalam diri manusia. Maka, membangun fondasi yang bersifat spiritual penting “mengingat Pencipta” yang harus menanamkan nilai-nilai spiritual dan sifat moral sejak mulai awal kepada Allah. Oleh karena itu melalui Pengkhotbah 12:1-8, mengajak para Pemuda dan pemudi HKBP harus memiliki jiwa yang transformatif untuk mengubah diri mendekat kepada Tuhan dalam hal spiritualitasnya. </w:t>
      </w:r>
    </w:p>
    <w:p w14:paraId="04E69DEB" w14:textId="77777777" w:rsidR="00C531DC" w:rsidRDefault="00000000">
      <w:pPr>
        <w:tabs>
          <w:tab w:val="left" w:pos="450"/>
        </w:tabs>
        <w:spacing w:line="360" w:lineRule="auto"/>
        <w:jc w:val="both"/>
      </w:pPr>
      <w:r>
        <w:rPr>
          <w:b/>
          <w:bCs/>
        </w:rPr>
        <w:tab/>
      </w:r>
      <w:r>
        <w:rPr>
          <w:highlight w:val="white"/>
        </w:rPr>
        <w:t>Pemuda HKBP harus memahami bahwa makna hidup sejati terletak pada hubungan dengan Tuhan dan menggunakan hidup mereka untuk melayani Tuhan</w:t>
      </w:r>
      <w:r>
        <w:rPr>
          <w:b/>
          <w:bCs/>
          <w:highlight w:val="white"/>
        </w:rPr>
        <w:t xml:space="preserve">. </w:t>
      </w:r>
      <w:r>
        <w:rPr>
          <w:highlight w:val="white"/>
        </w:rPr>
        <w:t>Pengkhotbah 12:1-</w:t>
      </w:r>
      <w:r>
        <w:rPr>
          <w:highlight w:val="white"/>
        </w:rPr>
        <w:lastRenderedPageBreak/>
        <w:t>8 mengingatkan kehidupan yang bersifat sementara dan bahwa setiap orang akan kembali kepada Tuhan.</w:t>
      </w:r>
      <w:r>
        <w:t xml:space="preserve"> Terlebih dalam hubungannya pada perikop ayat 7 juga mengingatkan manusia hubungan mengenai kematian melali simbol debu yang kembali menjadi tanah, sesuatu yang berasal dari Allah akan kembali kepada Allah. Oleh karenanya,</w:t>
      </w:r>
      <w:r>
        <w:rPr>
          <w:b/>
          <w:bCs/>
          <w:highlight w:val="white"/>
        </w:rPr>
        <w:t xml:space="preserve"> </w:t>
      </w:r>
      <w:r>
        <w:rPr>
          <w:highlight w:val="white"/>
        </w:rPr>
        <w:t>Pemuda-pemudi HKBP harus hidup dengan kesadaran ini, menggunakan dengan bijak dan bertanggung jawab. Mereka harus bertekad untuk menjalani hidup yang bermakna, di mana iman mereka menjadi pendorong utama dalam setiap keputusan dan tindakan.</w:t>
      </w:r>
      <w:r>
        <w:t xml:space="preserve"> Konfessi HKBP tahun 1996 memiliki jawaban mengenai hal ini. Konfessi menjelaskan agar manusia haruslah memberikan kehidupannya bagi semua yang diciptakan-nya agar tak mementingkan dirinya. Namun, ia juga harus mengingat akan dirinya yang merupakan ciptaan.</w:t>
      </w:r>
      <w:r>
        <w:rPr>
          <w:b/>
          <w:bCs/>
        </w:rPr>
        <w:t xml:space="preserve"> </w:t>
      </w:r>
      <w:r>
        <w:t xml:space="preserve">Para pemuda dan pemudi HKBP tidak boleh hanyut dalam keduniawiannya agar dapat membentuk kespiritualan yang intim dengan Allah </w:t>
      </w:r>
      <w:r>
        <w:rPr>
          <w:highlight w:val="white"/>
        </w:rPr>
        <w:t>"mengingat Pencipta"</w:t>
      </w:r>
      <w:r>
        <w:rPr>
          <w:b/>
          <w:bCs/>
          <w:highlight w:val="white"/>
        </w:rPr>
        <w:t xml:space="preserve"> </w:t>
      </w:r>
      <w:r>
        <w:t>sebelum kesia-siaan.</w:t>
      </w:r>
      <w:r>
        <w:rPr>
          <w:vertAlign w:val="superscript"/>
        </w:rPr>
        <w:footnoteReference w:id="25"/>
      </w:r>
    </w:p>
    <w:p w14:paraId="1E44E803" w14:textId="77777777" w:rsidR="00C531DC" w:rsidRDefault="00000000">
      <w:pPr>
        <w:tabs>
          <w:tab w:val="left" w:pos="450"/>
        </w:tabs>
        <w:spacing w:line="360" w:lineRule="auto"/>
        <w:jc w:val="both"/>
        <w:rPr>
          <w:highlight w:val="white"/>
        </w:rPr>
      </w:pPr>
      <w:r>
        <w:rPr>
          <w:b/>
          <w:bCs/>
          <w:color w:val="FF0000"/>
        </w:rPr>
        <w:tab/>
      </w:r>
      <w:r>
        <w:rPr>
          <w:highlight w:val="white"/>
        </w:rPr>
        <w:t>Bagi pemuda HKBP, harus aktif dalam kegiatan gereja, mempelajari Alkitab, dan merenungkan hubungan mereka dengan Tuhan (Kej. 2:5-15), maka untuk menjadi pemuda dan pemudi yang berguna selama hidup di dunia ini ada kalanya melestarikan semua ciptaan Allah agar hidup dalam beriman dan menjauhi gaya hidup yang tidak beriman (Mazmur. 8:4-10).</w:t>
      </w:r>
      <w:r>
        <w:rPr>
          <w:highlight w:val="white"/>
          <w:vertAlign w:val="superscript"/>
        </w:rPr>
        <w:footnoteReference w:id="26"/>
      </w:r>
      <w:r>
        <w:rPr>
          <w:highlight w:val="white"/>
        </w:rPr>
        <w:t xml:space="preserve"> Untuk memahami diri sebagai ciptaan Allah, tentunya manusia atau pemuda kini haruslah dapat bermanfaat, baik kepada sesama maupun kepada mahluk ciptaan Allah lain-nya seperti kepada hewan dan tumbuhan yang hidup. </w:t>
      </w:r>
    </w:p>
    <w:p w14:paraId="548571F0" w14:textId="77777777" w:rsidR="00C531DC" w:rsidRDefault="00000000">
      <w:pPr>
        <w:tabs>
          <w:tab w:val="left" w:pos="450"/>
        </w:tabs>
        <w:spacing w:line="360" w:lineRule="auto"/>
        <w:jc w:val="both"/>
        <w:rPr>
          <w:highlight w:val="white"/>
        </w:rPr>
      </w:pPr>
      <w:r>
        <w:rPr>
          <w:highlight w:val="white"/>
        </w:rPr>
        <w:tab/>
        <w:t xml:space="preserve">Adapun dampak dari ada kepedulian terhadap sesama dan lingkungan dunia menjadikan dan mengintegrasikan diri manusia mengenal Allah sebagai Pencipta yang hidup Agar manusia selalu berjalan dalam nama Allah pada masa muda-Nya dan kembali kepada Allah tanpa kesia-siaan menjelang masa ketuaan-nya atau kematiannya. Hal ini juga telah didukung HKBP sendiri dengan merujuk pada langkah baru menuju Transformasi Iman, Ephorus HKBP yaitu Pdt. Victor Tinambunan juga mengajak jemaat untuk mengasah kepekaan iman, melihat tanda-tanda kerjaaan Allah yang berlangsung dan merefleksikan sikap umat Kristen terhadap panggilan imannya. Terlebih kehidupan dalam bergereja agar gereja selalu dipenuhi oleh umatnya. Oleh karena, ini mungkin dapat menjadi masukan bagi pemuda dan pemudi HKBP yang merupakan bagian dari jemaat Gereja agar selalu mengingat Tuhan dalam masa muda-Nya. Melakukan segala hal dalam hidup oleh karena </w:t>
      </w:r>
      <w:r>
        <w:rPr>
          <w:highlight w:val="white"/>
        </w:rPr>
        <w:lastRenderedPageBreak/>
        <w:t>Tuhan saja agar hidup dalam masa-muda yang memiliki hubungan yang intim yang bersifat iman transformasi dengan sang Pencipta dimasa muda.</w:t>
      </w:r>
      <w:r>
        <w:rPr>
          <w:highlight w:val="white"/>
          <w:vertAlign w:val="superscript"/>
        </w:rPr>
        <w:footnoteReference w:id="27"/>
      </w:r>
    </w:p>
    <w:p w14:paraId="1E70DC88" w14:textId="77777777" w:rsidR="00C531DC" w:rsidRDefault="00C531DC">
      <w:pPr>
        <w:jc w:val="both"/>
      </w:pPr>
    </w:p>
    <w:p w14:paraId="6AC906CD" w14:textId="77777777" w:rsidR="00C531DC" w:rsidRDefault="00000000">
      <w:pPr>
        <w:tabs>
          <w:tab w:val="left" w:pos="284"/>
        </w:tabs>
        <w:jc w:val="both"/>
        <w:rPr>
          <w:b/>
          <w:bCs/>
        </w:rPr>
      </w:pPr>
      <w:commentRangeStart w:id="4"/>
      <w:r>
        <w:rPr>
          <w:b/>
          <w:bCs/>
        </w:rPr>
        <w:t>KESIMPULAN</w:t>
      </w:r>
      <w:commentRangeEnd w:id="4"/>
      <w:r w:rsidR="00E94102">
        <w:rPr>
          <w:rStyle w:val="ReferensiKomentar"/>
          <w:b/>
          <w:bCs/>
          <w:sz w:val="24"/>
          <w:szCs w:val="24"/>
        </w:rPr>
        <w:commentReference w:id="4"/>
      </w:r>
    </w:p>
    <w:p w14:paraId="3D16C58F" w14:textId="77777777" w:rsidR="00C531DC" w:rsidRDefault="00000000">
      <w:pPr>
        <w:tabs>
          <w:tab w:val="left" w:pos="284"/>
        </w:tabs>
        <w:jc w:val="both"/>
        <w:sectPr w:rsidR="00C531DC">
          <w:type w:val="continuous"/>
          <w:pgSz w:w="11906" w:h="16838"/>
          <w:pgMar w:top="1418" w:right="1418" w:bottom="1418" w:left="1701" w:header="708" w:footer="708" w:gutter="0"/>
          <w:cols w:space="720"/>
        </w:sectPr>
      </w:pPr>
      <w:r>
        <w:tab/>
      </w:r>
      <w:r>
        <w:tab/>
      </w:r>
      <w:r>
        <w:rPr>
          <w:highlight w:val="white"/>
        </w:rPr>
        <w:tab/>
        <w:t>Dengan demikian, melalui kajian ini dapat disimpulkan bahwa mengingat Pencipta di masa muda sang penting sebelum menyesali akan kehidupan dimasa Tua yang merupakan proses dari kematian. Pengkhotbah 12:1-8 mengantarkan sebuah peringatan kepada kaum pemuda agar tidak lengah di dalam hidupnya dan harus menjadikan hidup jauh dari segala perbuatan yang sia-sia. Melalui kajian ini, juga menjadi penekanan bagi pemuda dan pemudi HKBP agar tidak lupa untuk selalu memuliakan Tuhan di dalam hidupnya dan membangun transformasi iman untuk  menghindari perbuatan sia-sia sebelum dagingnya melemah dan badan nya mulai lemah.</w:t>
      </w:r>
    </w:p>
    <w:p w14:paraId="2DA5C5C2" w14:textId="77777777" w:rsidR="00C531DC" w:rsidRDefault="00C531DC">
      <w:pPr>
        <w:rPr>
          <w:b/>
          <w:bCs/>
        </w:rPr>
      </w:pPr>
    </w:p>
    <w:p w14:paraId="4BA06FE7" w14:textId="77777777" w:rsidR="00C531DC" w:rsidRDefault="00000000">
      <w:pPr>
        <w:spacing w:line="360" w:lineRule="auto"/>
        <w:ind w:left="1440" w:hanging="1440"/>
        <w:jc w:val="both"/>
        <w:rPr>
          <w:b/>
          <w:bCs/>
        </w:rPr>
      </w:pPr>
      <w:commentRangeStart w:id="5"/>
      <w:r>
        <w:rPr>
          <w:b/>
          <w:bCs/>
        </w:rPr>
        <w:t xml:space="preserve">DAFTAR PUSTAKA </w:t>
      </w:r>
      <w:commentRangeEnd w:id="5"/>
      <w:r w:rsidR="00E94102">
        <w:rPr>
          <w:rStyle w:val="ReferensiKomentar"/>
          <w:b/>
          <w:bCs/>
          <w:sz w:val="24"/>
          <w:szCs w:val="24"/>
        </w:rPr>
        <w:commentReference w:id="5"/>
      </w:r>
    </w:p>
    <w:p w14:paraId="64F1D53F" w14:textId="77777777" w:rsidR="00C531DC" w:rsidRDefault="00000000">
      <w:pPr>
        <w:spacing w:line="360" w:lineRule="auto"/>
        <w:ind w:left="1440" w:hanging="1440"/>
        <w:jc w:val="both"/>
      </w:pPr>
      <w:r>
        <w:t>Blommendal, J. Pengantar Kepada Perjanjian Lama. Jakarta: BPK Gunung Mulia, 2020.</w:t>
      </w:r>
    </w:p>
    <w:p w14:paraId="2C8EB40B" w14:textId="77777777" w:rsidR="00C531DC" w:rsidRDefault="00000000">
      <w:pPr>
        <w:spacing w:line="360" w:lineRule="auto"/>
        <w:ind w:left="1440" w:hanging="1440"/>
        <w:jc w:val="both"/>
      </w:pPr>
      <w:r>
        <w:t xml:space="preserve">Booterweck, G. Johanes, dan Helmer Ringgren, eds. Theological Dictionary of the Old Testament. Vol. 2. Grand Rapids, Ml: Eerdmans, 1975. </w:t>
      </w:r>
    </w:p>
    <w:p w14:paraId="799DE1E2" w14:textId="77777777" w:rsidR="00C531DC" w:rsidRDefault="00000000">
      <w:pPr>
        <w:spacing w:line="360" w:lineRule="auto"/>
        <w:ind w:left="720" w:hanging="720"/>
        <w:jc w:val="both"/>
      </w:pPr>
      <w:r>
        <w:t xml:space="preserve">Botterweck, G. Johaennes, dan Helmer Ringgren, eds. Theological Dictionary of the Old Testament, Vol.9. Grand Rapids, Ml: Eerdmans, 1998. </w:t>
      </w:r>
    </w:p>
    <w:p w14:paraId="38EF9DC7" w14:textId="77777777" w:rsidR="00C531DC" w:rsidRDefault="00000000">
      <w:pPr>
        <w:spacing w:line="360" w:lineRule="auto"/>
        <w:ind w:left="720" w:hanging="720"/>
        <w:jc w:val="both"/>
      </w:pPr>
      <w:r>
        <w:t xml:space="preserve">Crenshaw, James L. Ecclesiastes: A Commentary. Old Testament Library, Philadelphia: Westminster Press. 1987. </w:t>
      </w:r>
    </w:p>
    <w:p w14:paraId="5B84ACBD" w14:textId="77777777" w:rsidR="00C531DC" w:rsidRDefault="00000000">
      <w:pPr>
        <w:spacing w:line="360" w:lineRule="auto"/>
        <w:ind w:left="720" w:hanging="720"/>
        <w:jc w:val="both"/>
      </w:pPr>
      <w:r>
        <w:t xml:space="preserve">Eisihing, H. </w:t>
      </w:r>
      <w:r>
        <w:rPr>
          <w:i/>
          <w:iCs/>
        </w:rPr>
        <w:t>“</w:t>
      </w:r>
      <w:r>
        <w:rPr>
          <w:i/>
          <w:iCs/>
          <w:rtl/>
        </w:rPr>
        <w:t>זָכַר</w:t>
      </w:r>
      <w:r>
        <w:rPr>
          <w:i/>
          <w:iCs/>
        </w:rPr>
        <w:t xml:space="preserve">.” </w:t>
      </w:r>
      <w:r>
        <w:t>Dalam Theological Dictionary of the Old Testament, ed, G. Johannes Botterweck dan Helmer Riggren, terj. David E. Green, Vol 4. Grand Ra[ids, Ml: Eerdmans, 1980.</w:t>
      </w:r>
    </w:p>
    <w:p w14:paraId="0BE3B983" w14:textId="77777777" w:rsidR="00C531DC" w:rsidRDefault="00000000">
      <w:pPr>
        <w:spacing w:line="360" w:lineRule="auto"/>
        <w:ind w:left="720" w:hanging="720"/>
        <w:jc w:val="both"/>
      </w:pPr>
      <w:r>
        <w:t xml:space="preserve">HKBP, Panindangion Haporseaon: Konfessie 1951 &amp; 1996, Pearaja Tarutung: Kantor Pusat HKBP, 2013. </w:t>
      </w:r>
    </w:p>
    <w:p w14:paraId="3A508AD1" w14:textId="77777777" w:rsidR="00C531DC" w:rsidRDefault="00000000">
      <w:pPr>
        <w:spacing w:line="360" w:lineRule="auto"/>
        <w:ind w:left="720" w:hanging="720"/>
        <w:jc w:val="both"/>
      </w:pPr>
      <w:r>
        <w:t xml:space="preserve">Kaiser Jr., Walter C. Ecclesiastes: Total Life. Chicago: Moody Press, 1979. </w:t>
      </w:r>
    </w:p>
    <w:p w14:paraId="3EEA3E8E" w14:textId="77777777" w:rsidR="00C531DC" w:rsidRDefault="00000000">
      <w:pPr>
        <w:spacing w:line="360" w:lineRule="auto"/>
        <w:ind w:left="720" w:hanging="720"/>
        <w:jc w:val="both"/>
      </w:pPr>
      <w:r>
        <w:t xml:space="preserve">Leeuwen. R.C. van, The Book of Ecclesiastes. The New International Biblical Commentary. Grand Rapids: Zodervan, 1997. </w:t>
      </w:r>
    </w:p>
    <w:p w14:paraId="3B6EA421" w14:textId="77777777" w:rsidR="00C531DC" w:rsidRDefault="00000000">
      <w:pPr>
        <w:spacing w:line="360" w:lineRule="auto"/>
        <w:ind w:left="720" w:hanging="720"/>
        <w:jc w:val="both"/>
      </w:pPr>
      <w:r>
        <w:t xml:space="preserve">Longman III. Tremper. The Book of Ecclesiastes, New American Commentary. Nashville: Broadman &amp; Holman Publisher, 1998. </w:t>
      </w:r>
    </w:p>
    <w:p w14:paraId="1E9B57F6" w14:textId="77777777" w:rsidR="00C531DC" w:rsidRDefault="00000000">
      <w:pPr>
        <w:spacing w:line="360" w:lineRule="auto"/>
        <w:ind w:left="720" w:hanging="720"/>
        <w:jc w:val="both"/>
      </w:pPr>
      <w:r>
        <w:t xml:space="preserve">Longman III. Tremper. The Book of Ecclesiastes, New International Commentary on the Old Testament. Grand Rapids: Eerdmans, 1998. </w:t>
      </w:r>
    </w:p>
    <w:p w14:paraId="488A4744" w14:textId="77777777" w:rsidR="00C531DC" w:rsidRDefault="00000000">
      <w:pPr>
        <w:spacing w:line="360" w:lineRule="auto"/>
        <w:ind w:left="720" w:hanging="720"/>
        <w:jc w:val="both"/>
      </w:pPr>
      <w:r>
        <w:t xml:space="preserve">McCown, C.C. The Promise of the Covenant: A Commentary on Deuteronomy. New Century Bible. London: Marshall, Morgan &amp; Scott, 1970. </w:t>
      </w:r>
    </w:p>
    <w:p w14:paraId="7BDCDFCE" w14:textId="77777777" w:rsidR="00C531DC" w:rsidRDefault="00000000">
      <w:pPr>
        <w:spacing w:line="360" w:lineRule="auto"/>
        <w:ind w:left="720" w:hanging="720"/>
        <w:jc w:val="both"/>
      </w:pPr>
      <w:r>
        <w:t xml:space="preserve">Smith, J. M. </w:t>
      </w:r>
      <w:r>
        <w:rPr>
          <w:i/>
          <w:iCs/>
        </w:rPr>
        <w:t>The Book of Ecclesiastes: A New Translation with Introduction and Commentary.</w:t>
      </w:r>
      <w:r>
        <w:t xml:space="preserve"> Anchor Bible. New York: Doubleday, 1989. </w:t>
      </w:r>
    </w:p>
    <w:p w14:paraId="6382D573" w14:textId="77777777" w:rsidR="00C531DC" w:rsidRDefault="00000000">
      <w:pPr>
        <w:spacing w:line="360" w:lineRule="auto"/>
        <w:ind w:left="720" w:hanging="720"/>
        <w:jc w:val="both"/>
      </w:pPr>
      <w:r>
        <w:t>Sitanggang. Grollus. “HKBP 2025: Langkah Baru Menuju Transformasi Iman,” Diakses 12 Mei 2025,</w:t>
      </w:r>
      <w:r>
        <w:rPr>
          <w:b/>
          <w:bCs/>
        </w:rPr>
        <w:t xml:space="preserve"> </w:t>
      </w:r>
      <w:hyperlink r:id="rId18">
        <w:r w:rsidR="00C531DC">
          <w:rPr>
            <w:color w:val="0000FF"/>
            <w:u w:val="single"/>
          </w:rPr>
          <w:t>https://kabarbaik1.com/hkbp-2025-langkah-baru-menuju-transformasi-iman</w:t>
        </w:r>
      </w:hyperlink>
      <w:r>
        <w:t>.</w:t>
      </w:r>
    </w:p>
    <w:p w14:paraId="2D43811C" w14:textId="77777777" w:rsidR="00C531DC" w:rsidRDefault="00000000">
      <w:pPr>
        <w:spacing w:line="360" w:lineRule="auto"/>
        <w:ind w:left="720" w:hanging="720"/>
        <w:jc w:val="both"/>
      </w:pPr>
      <w:r>
        <w:t xml:space="preserve">Wainarisi, Yane Octavia Rismawati. “Menafsir Ulang Makna    dalam Pengkhotbah 12:1 (Sebuah Upaya Menangkap Pesan Qelet Terhadap Mileu-nya)” Danum Pambelum: Jurnal Teologi dan Musik Gereja 1, no. 1 (Mei 2021):11. </w:t>
      </w:r>
    </w:p>
    <w:p w14:paraId="11BCCAF8" w14:textId="77777777" w:rsidR="00C531DC" w:rsidRDefault="00000000">
      <w:pPr>
        <w:spacing w:line="360" w:lineRule="auto"/>
        <w:ind w:left="720" w:hanging="720"/>
        <w:jc w:val="both"/>
      </w:pPr>
      <w:r>
        <w:t xml:space="preserve">Whybray, R. N. The Book of Ecclesiastes, New International Commentary on the Old Testament. Grand Rapids: Wm. B. Eerdmans Publishing Co., 1989. </w:t>
      </w:r>
    </w:p>
    <w:p w14:paraId="12C33DA0" w14:textId="77777777" w:rsidR="00C531DC" w:rsidRDefault="00000000">
      <w:pPr>
        <w:spacing w:line="360" w:lineRule="auto"/>
        <w:ind w:left="720" w:hanging="720"/>
        <w:jc w:val="both"/>
      </w:pPr>
      <w:r>
        <w:lastRenderedPageBreak/>
        <w:t xml:space="preserve">Lumbantobing, Roselita Sinaga dan Michael Juan Nababan. “Teologi Kesia-siaan menurut Kitab Pengkhotbah”, Jurnal Pendidikan Agama Kristen dan Pastoral (Lumen) 3, no. 1 (Juni 2024): 123-132. </w:t>
      </w:r>
    </w:p>
    <w:p w14:paraId="671FD912" w14:textId="77777777" w:rsidR="00C531DC" w:rsidRDefault="00000000">
      <w:pPr>
        <w:spacing w:line="360" w:lineRule="auto"/>
        <w:ind w:left="720" w:hanging="720"/>
        <w:jc w:val="both"/>
      </w:pPr>
      <w:r>
        <w:t xml:space="preserve">Lembaga Alkitab Indonesia, </w:t>
      </w:r>
      <w:r>
        <w:rPr>
          <w:i/>
          <w:iCs/>
        </w:rPr>
        <w:t>Biblia Hebraica Stuttgartensia</w:t>
      </w:r>
      <w:r>
        <w:t xml:space="preserve">. Jakarta Lembaga Alkitab Indonesia, 2024. </w:t>
      </w:r>
    </w:p>
    <w:p w14:paraId="4BD77F59" w14:textId="77777777" w:rsidR="00C531DC" w:rsidRDefault="00C531DC">
      <w:pPr>
        <w:ind w:left="360" w:hanging="360"/>
        <w:jc w:val="both"/>
      </w:pPr>
    </w:p>
    <w:sectPr w:rsidR="00C531DC">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6D17DBC2" w14:textId="77777777" w:rsidR="00E94102" w:rsidRDefault="00E94102" w:rsidP="00E94102">
      <w:pPr>
        <w:pStyle w:val="TeksKomentar"/>
      </w:pPr>
      <w:r>
        <w:rPr>
          <w:rStyle w:val="ReferensiKomentar"/>
        </w:rPr>
        <w:annotationRef/>
      </w:r>
      <w:r>
        <w:t xml:space="preserve">Usulan Judul: </w:t>
      </w:r>
      <w:r>
        <w:rPr>
          <w:b/>
          <w:bCs/>
          <w:lang w:val="en-US"/>
        </w:rPr>
        <w:t>Ingatlah Pencipta Pada Masa Mudamu: Tinjauan Historis-Kritis atas Pengkhotbah 12:1-8 bagi Pemuda-Pemudi Gereja HKBP</w:t>
      </w:r>
    </w:p>
  </w:comment>
  <w:comment w:id="1" w:author="Penulis" w:initials="A">
    <w:p w14:paraId="590EC156" w14:textId="77777777" w:rsidR="00802392" w:rsidRDefault="00802392" w:rsidP="00802392">
      <w:pPr>
        <w:pStyle w:val="TeksKomentar"/>
      </w:pPr>
      <w:r>
        <w:rPr>
          <w:rStyle w:val="ReferensiKomentar"/>
        </w:rPr>
        <w:annotationRef/>
      </w:r>
      <w:r>
        <w:t>Abstrak di dalamnya harus mencakup:</w:t>
      </w:r>
    </w:p>
    <w:p w14:paraId="261BEAB8" w14:textId="77777777" w:rsidR="00802392" w:rsidRDefault="00802392" w:rsidP="00802392">
      <w:pPr>
        <w:pStyle w:val="TeksKomentar"/>
        <w:numPr>
          <w:ilvl w:val="0"/>
          <w:numId w:val="1"/>
        </w:numPr>
      </w:pPr>
      <w:r>
        <w:t>Latar belakang;</w:t>
      </w:r>
    </w:p>
    <w:p w14:paraId="18084C98" w14:textId="77777777" w:rsidR="00802392" w:rsidRDefault="00802392" w:rsidP="00802392">
      <w:pPr>
        <w:pStyle w:val="TeksKomentar"/>
        <w:numPr>
          <w:ilvl w:val="0"/>
          <w:numId w:val="1"/>
        </w:numPr>
      </w:pPr>
      <w:r>
        <w:t>Tujuan</w:t>
      </w:r>
    </w:p>
    <w:p w14:paraId="116F1C18" w14:textId="77777777" w:rsidR="00802392" w:rsidRDefault="00802392" w:rsidP="00802392">
      <w:pPr>
        <w:pStyle w:val="TeksKomentar"/>
        <w:numPr>
          <w:ilvl w:val="0"/>
          <w:numId w:val="1"/>
        </w:numPr>
      </w:pPr>
      <w:r>
        <w:t>Metode</w:t>
      </w:r>
    </w:p>
    <w:p w14:paraId="6E957306" w14:textId="77777777" w:rsidR="00802392" w:rsidRDefault="00802392" w:rsidP="00802392">
      <w:pPr>
        <w:pStyle w:val="TeksKomentar"/>
        <w:numPr>
          <w:ilvl w:val="0"/>
          <w:numId w:val="1"/>
        </w:numPr>
      </w:pPr>
      <w:r>
        <w:t>Hasil</w:t>
      </w:r>
    </w:p>
    <w:p w14:paraId="5D6D80AA" w14:textId="77777777" w:rsidR="00802392" w:rsidRDefault="00802392" w:rsidP="00802392">
      <w:pPr>
        <w:pStyle w:val="TeksKomentar"/>
        <w:numPr>
          <w:ilvl w:val="0"/>
          <w:numId w:val="1"/>
        </w:numPr>
      </w:pPr>
      <w:r>
        <w:t>kontribusi</w:t>
      </w:r>
    </w:p>
  </w:comment>
  <w:comment w:id="2" w:author="Penulis" w:initials="A">
    <w:p w14:paraId="7FC4B236" w14:textId="77777777" w:rsidR="00E94102" w:rsidRDefault="00E94102" w:rsidP="00E94102">
      <w:pPr>
        <w:pStyle w:val="TeksKomentar"/>
      </w:pPr>
      <w:r>
        <w:rPr>
          <w:rStyle w:val="ReferensiKomentar"/>
        </w:rPr>
        <w:annotationRef/>
      </w:r>
      <w:r>
        <w:t>Pada pendahuluan ini belum ditemukan bahasan tentang penelitian terdahulu sehubungan dengan penelitian ini. Oleh karena itu, perlu untuk dilengkapi dengan penelitian terdagulu, minimal 3 dan maksimal 5 penelitian terdahulu.</w:t>
      </w:r>
    </w:p>
    <w:p w14:paraId="37F5B828" w14:textId="77777777" w:rsidR="00E94102" w:rsidRDefault="00E94102" w:rsidP="00E94102">
      <w:pPr>
        <w:pStyle w:val="TeksKomentar"/>
      </w:pPr>
    </w:p>
    <w:p w14:paraId="4551C6D1" w14:textId="77777777" w:rsidR="00E94102" w:rsidRDefault="00E94102" w:rsidP="00E94102">
      <w:pPr>
        <w:pStyle w:val="TeksKomentar"/>
      </w:pPr>
      <w:r>
        <w:t xml:space="preserve">Juga belum ditemukan unsur kabaharuan atau </w:t>
      </w:r>
      <w:r>
        <w:rPr>
          <w:i/>
          <w:iCs/>
        </w:rPr>
        <w:t>novelty</w:t>
      </w:r>
      <w:r>
        <w:t xml:space="preserve"> dari penelitian ini, untuk itu, penulis diminta untuk melengkapinya terlebih dahulu.</w:t>
      </w:r>
    </w:p>
  </w:comment>
  <w:comment w:id="3" w:author="Penulis" w:initials="A">
    <w:p w14:paraId="495A23FC" w14:textId="77777777" w:rsidR="00E94102" w:rsidRDefault="00E94102" w:rsidP="00E94102">
      <w:pPr>
        <w:pStyle w:val="TeksKomentar"/>
      </w:pPr>
      <w:r>
        <w:rPr>
          <w:rStyle w:val="ReferensiKomentar"/>
        </w:rPr>
        <w:annotationRef/>
      </w:r>
      <w:r>
        <w:t>Perlu ditambahkan referensi sehubungan dengan Metode Penelitian minimal 2 referensi.</w:t>
      </w:r>
    </w:p>
  </w:comment>
  <w:comment w:id="4" w:author="Penulis" w:initials="A">
    <w:p w14:paraId="14AC8F44" w14:textId="77777777" w:rsidR="00E94102" w:rsidRDefault="00E94102" w:rsidP="00E94102">
      <w:pPr>
        <w:pStyle w:val="TeksKomentar"/>
      </w:pPr>
      <w:r>
        <w:rPr>
          <w:rStyle w:val="ReferensiKomentar"/>
        </w:rPr>
        <w:annotationRef/>
      </w:r>
      <w:r>
        <w:t>Kesimpulannya sangat sedikit. Untuk itu, Anda diminta untuk dapat menambahkan kesimpulannya.</w:t>
      </w:r>
    </w:p>
  </w:comment>
  <w:comment w:id="5" w:author="Penulis" w:initials="A">
    <w:p w14:paraId="6CD6115E" w14:textId="77777777" w:rsidR="00E94102" w:rsidRDefault="00E94102" w:rsidP="00E94102">
      <w:pPr>
        <w:pStyle w:val="TeksKomentar"/>
      </w:pPr>
      <w:r>
        <w:rPr>
          <w:rStyle w:val="ReferensiKomentar"/>
        </w:rPr>
        <w:annotationRef/>
      </w:r>
      <w:r>
        <w:t xml:space="preserve">Anda belum menggunakan Management Referensi seperty Mendeley atau Zotero dalam penulisan catatan kaki maupun daftar pustaka. Untuk itu, Anda diminta untuk menggunakannya terlebih dahulu.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17DBC2" w15:done="0"/>
  <w15:commentEx w15:paraId="5D6D80AA" w15:done="0"/>
  <w15:commentEx w15:paraId="4551C6D1" w15:done="0"/>
  <w15:commentEx w15:paraId="495A23FC" w15:done="0"/>
  <w15:commentEx w15:paraId="14AC8F44" w15:done="0"/>
  <w15:commentEx w15:paraId="6CD611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17DBC2" w16cid:durableId="55978C5E"/>
  <w16cid:commentId w16cid:paraId="5D6D80AA" w16cid:durableId="0AB1316C"/>
  <w16cid:commentId w16cid:paraId="4551C6D1" w16cid:durableId="3A7455CC"/>
  <w16cid:commentId w16cid:paraId="495A23FC" w16cid:durableId="446A9D00"/>
  <w16cid:commentId w16cid:paraId="14AC8F44" w16cid:durableId="1CE41D08"/>
  <w16cid:commentId w16cid:paraId="6CD6115E" w16cid:durableId="3716DD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E5C8B" w14:textId="77777777" w:rsidR="00E476EA" w:rsidRDefault="00E476EA">
      <w:r>
        <w:separator/>
      </w:r>
    </w:p>
  </w:endnote>
  <w:endnote w:type="continuationSeparator" w:id="0">
    <w:p w14:paraId="5601A484" w14:textId="77777777" w:rsidR="00E476EA" w:rsidRDefault="00E4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Bold r:id="rId1" w:fontKey="{1221DD4D-B6B9-4B70-B6E1-ABC7E7699F75}"/>
  </w:font>
  <w:font w:name="Georgia">
    <w:panose1 w:val="02040502050405020303"/>
    <w:charset w:val="00"/>
    <w:family w:val="roman"/>
    <w:pitch w:val="variable"/>
    <w:sig w:usb0="00000287" w:usb1="00000000" w:usb2="00000000" w:usb3="00000000" w:csb0="0000009F" w:csb1="00000000"/>
    <w:embedRegular r:id="rId2" w:fontKey="{6B641434-1ABA-41FF-B72A-E711BFBF21B5}"/>
    <w:embedItalic r:id="rId3" w:fontKey="{AD206912-4907-4C58-B9CF-46D43D806E82}"/>
  </w:font>
  <w:font w:name="Lustria">
    <w:altName w:val="Cambria"/>
    <w:charset w:val="00"/>
    <w:family w:val="auto"/>
    <w:pitch w:val="default"/>
    <w:embedRegular r:id="rId4" w:fontKey="{F69EADE3-417C-496F-8E3F-BE38D96E601B}"/>
    <w:embedBold r:id="rId5" w:fontKey="{CC48E724-15B8-45D7-BE7C-1970349E616B}"/>
    <w:embedItalic r:id="rId6" w:fontKey="{F2ABC5B6-1648-43CE-A0D6-2DCC51B0E3C5}"/>
  </w:font>
  <w:font w:name="EB Garamond">
    <w:altName w:val="Calibri"/>
    <w:charset w:val="00"/>
    <w:family w:val="auto"/>
    <w:pitch w:val="variable"/>
    <w:sig w:usb0="E00002FF" w:usb1="02000413" w:usb2="00000000" w:usb3="00000000" w:csb0="0000019F" w:csb1="00000000"/>
    <w:embedRegular r:id="rId7" w:fontKey="{5532F27E-E868-497F-B374-F3D964B284EF}"/>
  </w:font>
  <w:font w:name="Cambria">
    <w:panose1 w:val="02040503050406030204"/>
    <w:charset w:val="00"/>
    <w:family w:val="roman"/>
    <w:pitch w:val="variable"/>
    <w:sig w:usb0="E00006FF" w:usb1="420024FF" w:usb2="02000000" w:usb3="00000000" w:csb0="0000019F" w:csb1="00000000"/>
    <w:embedRegular r:id="rId8" w:fontKey="{D262CAE6-0E3E-44D2-ABA9-242534CBBB5F}"/>
    <w:embedBoldItalic r:id="rId9" w:fontKey="{339119CD-906A-4F9A-AAD4-0624B42FE6FD}"/>
  </w:font>
  <w:font w:name="Garamond">
    <w:panose1 w:val="02020404030301010803"/>
    <w:charset w:val="00"/>
    <w:family w:val="roman"/>
    <w:pitch w:val="variable"/>
    <w:sig w:usb0="00000287" w:usb1="00000000" w:usb2="00000000" w:usb3="00000000" w:csb0="0000009F" w:csb1="00000000"/>
    <w:embedRegular r:id="rId10" w:fontKey="{4F032622-337C-46A7-AA8A-5EB8996E6306}"/>
  </w:font>
  <w:font w:name="Corben">
    <w:altName w:val="Calibri"/>
    <w:charset w:val="00"/>
    <w:family w:val="auto"/>
    <w:pitch w:val="default"/>
    <w:embedRegular r:id="rId11" w:fontKey="{736DF87B-9594-45B6-A354-1EF336F751A1}"/>
  </w:font>
  <w:font w:name="Verdana">
    <w:panose1 w:val="020B0604030504040204"/>
    <w:charset w:val="00"/>
    <w:family w:val="swiss"/>
    <w:pitch w:val="variable"/>
    <w:sig w:usb0="A00006FF" w:usb1="4000205B" w:usb2="00000010" w:usb3="00000000" w:csb0="0000019F" w:csb1="00000000"/>
    <w:embedBold r:id="rId12" w:fontKey="{95FA7B53-32DE-4155-8EBE-2A19762B472B}"/>
  </w:font>
  <w:font w:name="Calibri">
    <w:panose1 w:val="020F0502020204030204"/>
    <w:charset w:val="00"/>
    <w:family w:val="swiss"/>
    <w:pitch w:val="variable"/>
    <w:sig w:usb0="E4002EFF" w:usb1="C200247B" w:usb2="00000009" w:usb3="00000000" w:csb0="000001FF" w:csb1="00000000"/>
    <w:embedRegular r:id="rId13" w:fontKey="{57D3D5B9-EFE2-4DD2-8403-6155D26E60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0A3D" w14:textId="77777777" w:rsidR="00C531DC" w:rsidRDefault="00000000">
    <w:pPr>
      <w:pBdr>
        <w:top w:val="single" w:sz="4" w:space="1" w:color="000000"/>
        <w:left w:val="nil"/>
        <w:bottom w:val="nil"/>
        <w:right w:val="nil"/>
        <w:between w:val="nil"/>
      </w:pBdr>
      <w:tabs>
        <w:tab w:val="center" w:pos="4513"/>
        <w:tab w:val="right" w:pos="9026"/>
      </w:tabs>
      <w:rPr>
        <w:b/>
        <w:bCs/>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5C008F">
      <w:rPr>
        <w:noProof/>
        <w:color w:val="000000"/>
        <w:sz w:val="22"/>
        <w:szCs w:val="22"/>
      </w:rPr>
      <w:t>2</w:t>
    </w:r>
    <w:r>
      <w:rPr>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2DCB" w14:textId="77777777" w:rsidR="00C531DC" w:rsidRDefault="00000000">
    <w:pPr>
      <w:pBdr>
        <w:top w:val="single" w:sz="4" w:space="1" w:color="000000"/>
        <w:left w:val="nil"/>
        <w:bottom w:val="nil"/>
        <w:right w:val="nil"/>
        <w:between w:val="nil"/>
      </w:pBdr>
      <w:tabs>
        <w:tab w:val="center" w:pos="4513"/>
        <w:tab w:val="right" w:pos="9026"/>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5C008F">
      <w:rPr>
        <w:noProof/>
        <w:color w:val="000000"/>
        <w:sz w:val="22"/>
        <w:szCs w:val="22"/>
      </w:rPr>
      <w:t>1</w:t>
    </w:r>
    <w:r>
      <w:rPr>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EC32" w14:textId="77777777" w:rsidR="00C531DC"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bCs/>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F5BE4" w14:textId="77777777" w:rsidR="00E476EA" w:rsidRDefault="00E476EA">
      <w:r>
        <w:separator/>
      </w:r>
    </w:p>
  </w:footnote>
  <w:footnote w:type="continuationSeparator" w:id="0">
    <w:p w14:paraId="3CB6C693" w14:textId="77777777" w:rsidR="00E476EA" w:rsidRDefault="00E476EA">
      <w:r>
        <w:continuationSeparator/>
      </w:r>
    </w:p>
  </w:footnote>
  <w:footnote w:id="1">
    <w:p w14:paraId="4671323B"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Secara historis, meskipun tradisi mengaitkan kitab ini dengan Raja Salomo, mayoritas sarjana modern menempatkan komposisinya pada periode Helenistik, sekitar abad 3 SM Konteks menunjukkan pertemuan antara pemikiran Yahudi tradisional dengan filsafat Yunani, yang tercermin dalam pendekatan skeptis dan reflektif dari Kitab ini. </w:t>
      </w:r>
      <w:r>
        <w:rPr>
          <w:sz w:val="20"/>
          <w:szCs w:val="20"/>
        </w:rPr>
        <w:t>Tremper</w:t>
      </w:r>
      <w:r>
        <w:rPr>
          <w:color w:val="000000"/>
          <w:sz w:val="20"/>
          <w:szCs w:val="20"/>
        </w:rPr>
        <w:t xml:space="preserve"> Longman III, </w:t>
      </w:r>
      <w:r>
        <w:rPr>
          <w:i/>
          <w:iCs/>
          <w:color w:val="000000"/>
          <w:sz w:val="20"/>
          <w:szCs w:val="20"/>
        </w:rPr>
        <w:t>The Book of Ecclesiastes</w:t>
      </w:r>
      <w:r>
        <w:rPr>
          <w:color w:val="000000"/>
          <w:sz w:val="20"/>
          <w:szCs w:val="20"/>
        </w:rPr>
        <w:t xml:space="preserve">: </w:t>
      </w:r>
      <w:r>
        <w:rPr>
          <w:i/>
          <w:iCs/>
          <w:color w:val="000000"/>
          <w:sz w:val="20"/>
          <w:szCs w:val="20"/>
        </w:rPr>
        <w:t>New International Commentary on the Old Testament</w:t>
      </w:r>
      <w:r>
        <w:rPr>
          <w:color w:val="000000"/>
          <w:sz w:val="20"/>
          <w:szCs w:val="20"/>
        </w:rPr>
        <w:t xml:space="preserve"> (Grand Rapids: Eerdmans, 1998), 265.</w:t>
      </w:r>
    </w:p>
  </w:footnote>
  <w:footnote w:id="2">
    <w:p w14:paraId="7FA0D4FA"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James L. Crenshaw, </w:t>
      </w:r>
      <w:r>
        <w:rPr>
          <w:i/>
          <w:iCs/>
          <w:color w:val="000000"/>
          <w:sz w:val="20"/>
          <w:szCs w:val="20"/>
        </w:rPr>
        <w:t>Ecclesiastes: A Commentary, Old Testament Library</w:t>
      </w:r>
      <w:r>
        <w:rPr>
          <w:color w:val="000000"/>
          <w:sz w:val="20"/>
          <w:szCs w:val="20"/>
        </w:rPr>
        <w:t xml:space="preserve"> (Philadelphia: Westminster Press, 1987), 28.</w:t>
      </w:r>
    </w:p>
  </w:footnote>
  <w:footnote w:id="3">
    <w:p w14:paraId="581768F7"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J. Blommendal, </w:t>
      </w:r>
      <w:r>
        <w:rPr>
          <w:i/>
          <w:iCs/>
          <w:color w:val="000000"/>
          <w:sz w:val="20"/>
          <w:szCs w:val="20"/>
        </w:rPr>
        <w:t xml:space="preserve">Pengantar Kepada Perjanjian Lama </w:t>
      </w:r>
      <w:r>
        <w:rPr>
          <w:color w:val="000000"/>
          <w:sz w:val="20"/>
          <w:szCs w:val="20"/>
        </w:rPr>
        <w:t xml:space="preserve">(Jakarta: BPK Gunung Mulia, 2020), 155. </w:t>
      </w:r>
    </w:p>
  </w:footnote>
  <w:footnote w:id="4">
    <w:p w14:paraId="1522A62C"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Blommendal, </w:t>
      </w:r>
      <w:r>
        <w:rPr>
          <w:i/>
          <w:iCs/>
          <w:color w:val="000000"/>
          <w:sz w:val="20"/>
          <w:szCs w:val="20"/>
        </w:rPr>
        <w:t xml:space="preserve">Pengantar Kepada Perjanjian Lama, </w:t>
      </w:r>
      <w:r>
        <w:rPr>
          <w:color w:val="000000"/>
          <w:sz w:val="20"/>
          <w:szCs w:val="20"/>
        </w:rPr>
        <w:t xml:space="preserve">158-160. </w:t>
      </w:r>
    </w:p>
  </w:footnote>
  <w:footnote w:id="5">
    <w:p w14:paraId="6D4DA2AD"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Crenshaw, </w:t>
      </w:r>
      <w:r>
        <w:rPr>
          <w:i/>
          <w:iCs/>
          <w:sz w:val="20"/>
          <w:szCs w:val="20"/>
        </w:rPr>
        <w:t>Ecclesiastes</w:t>
      </w:r>
      <w:r>
        <w:rPr>
          <w:i/>
          <w:iCs/>
          <w:color w:val="000000"/>
          <w:sz w:val="20"/>
          <w:szCs w:val="20"/>
        </w:rPr>
        <w:t xml:space="preserve">, </w:t>
      </w:r>
      <w:r>
        <w:rPr>
          <w:color w:val="000000"/>
          <w:sz w:val="20"/>
          <w:szCs w:val="20"/>
        </w:rPr>
        <w:t xml:space="preserve">28.                                                                                                                                                                                                                                                                                                                                                                                                                                                                                                                                                                                                                                                                                 </w:t>
      </w:r>
    </w:p>
  </w:footnote>
  <w:footnote w:id="6">
    <w:p w14:paraId="5666A5A2"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H. Eising, </w:t>
      </w:r>
      <w:r>
        <w:rPr>
          <w:i/>
          <w:iCs/>
          <w:color w:val="000000"/>
          <w:sz w:val="20"/>
          <w:szCs w:val="20"/>
        </w:rPr>
        <w:t>“</w:t>
      </w:r>
      <w:r>
        <w:rPr>
          <w:i/>
          <w:iCs/>
          <w:color w:val="000000"/>
          <w:sz w:val="20"/>
          <w:szCs w:val="20"/>
          <w:rtl/>
        </w:rPr>
        <w:t>זָכַר</w:t>
      </w:r>
      <w:r>
        <w:rPr>
          <w:i/>
          <w:iCs/>
          <w:color w:val="000000"/>
          <w:sz w:val="20"/>
          <w:szCs w:val="20"/>
        </w:rPr>
        <w:t>,"</w:t>
      </w:r>
      <w:r>
        <w:rPr>
          <w:color w:val="000000"/>
          <w:sz w:val="20"/>
          <w:szCs w:val="20"/>
        </w:rPr>
        <w:t xml:space="preserve"> dalam </w:t>
      </w:r>
      <w:r>
        <w:rPr>
          <w:i/>
          <w:iCs/>
          <w:color w:val="000000"/>
          <w:sz w:val="20"/>
          <w:szCs w:val="20"/>
        </w:rPr>
        <w:t>Theologixal Dictinary of the Old Testament</w:t>
      </w:r>
      <w:r>
        <w:rPr>
          <w:color w:val="000000"/>
          <w:sz w:val="20"/>
          <w:szCs w:val="20"/>
        </w:rPr>
        <w:t xml:space="preserve">, ed. G. </w:t>
      </w:r>
      <w:r>
        <w:rPr>
          <w:sz w:val="20"/>
          <w:szCs w:val="20"/>
        </w:rPr>
        <w:t>Johannes</w:t>
      </w:r>
      <w:r>
        <w:rPr>
          <w:color w:val="000000"/>
          <w:sz w:val="20"/>
          <w:szCs w:val="20"/>
        </w:rPr>
        <w:t xml:space="preserve"> Botterweck dan Herlmer Ringgren, terj. David E. Green, vol. 4 (Grand Rapids, Ml: Eerdmans, 1980), 66-70. </w:t>
      </w:r>
    </w:p>
  </w:footnote>
  <w:footnote w:id="7">
    <w:p w14:paraId="3AED0926"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Eising, </w:t>
      </w:r>
      <w:r>
        <w:rPr>
          <w:i/>
          <w:iCs/>
          <w:sz w:val="20"/>
          <w:szCs w:val="20"/>
        </w:rPr>
        <w:t>Theological</w:t>
      </w:r>
      <w:r>
        <w:rPr>
          <w:i/>
          <w:iCs/>
          <w:color w:val="000000"/>
          <w:sz w:val="20"/>
          <w:szCs w:val="20"/>
        </w:rPr>
        <w:t xml:space="preserve"> </w:t>
      </w:r>
      <w:r>
        <w:rPr>
          <w:i/>
          <w:iCs/>
          <w:sz w:val="20"/>
          <w:szCs w:val="20"/>
        </w:rPr>
        <w:t>Dictionary</w:t>
      </w:r>
      <w:r>
        <w:rPr>
          <w:i/>
          <w:iCs/>
          <w:color w:val="000000"/>
          <w:sz w:val="20"/>
          <w:szCs w:val="20"/>
        </w:rPr>
        <w:t xml:space="preserve"> of the Old Testament, </w:t>
      </w:r>
      <w:r>
        <w:rPr>
          <w:color w:val="000000"/>
          <w:sz w:val="20"/>
          <w:szCs w:val="20"/>
        </w:rPr>
        <w:t>70-84.</w:t>
      </w:r>
      <w:r>
        <w:rPr>
          <w:i/>
          <w:iCs/>
          <w:color w:val="000000"/>
          <w:sz w:val="20"/>
          <w:szCs w:val="20"/>
        </w:rPr>
        <w:t xml:space="preserve"> </w:t>
      </w:r>
    </w:p>
  </w:footnote>
  <w:footnote w:id="8">
    <w:p w14:paraId="3284D3B8"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G. Johannes Boterweck dan Helmer Riggren,</w:t>
      </w:r>
      <w:r>
        <w:rPr>
          <w:b/>
          <w:bCs/>
          <w:i/>
          <w:iCs/>
          <w:color w:val="000000"/>
          <w:sz w:val="20"/>
          <w:szCs w:val="20"/>
        </w:rPr>
        <w:t xml:space="preserve"> </w:t>
      </w:r>
      <w:r>
        <w:rPr>
          <w:color w:val="000000"/>
          <w:sz w:val="20"/>
          <w:szCs w:val="20"/>
        </w:rPr>
        <w:t>ed.,</w:t>
      </w:r>
      <w:r>
        <w:rPr>
          <w:i/>
          <w:iCs/>
          <w:color w:val="000000"/>
          <w:sz w:val="20"/>
          <w:szCs w:val="20"/>
        </w:rPr>
        <w:t xml:space="preserve"> "</w:t>
      </w:r>
      <w:r>
        <w:rPr>
          <w:i/>
          <w:iCs/>
          <w:color w:val="000000"/>
          <w:sz w:val="20"/>
          <w:szCs w:val="20"/>
          <w:rtl/>
        </w:rPr>
        <w:t>בָּרָא</w:t>
      </w:r>
      <w:r>
        <w:rPr>
          <w:i/>
          <w:iCs/>
          <w:color w:val="000000"/>
          <w:sz w:val="20"/>
          <w:szCs w:val="20"/>
        </w:rPr>
        <w:t xml:space="preserve">" </w:t>
      </w:r>
      <w:r>
        <w:rPr>
          <w:b/>
          <w:bCs/>
          <w:i/>
          <w:iCs/>
          <w:color w:val="000000"/>
          <w:sz w:val="20"/>
          <w:szCs w:val="20"/>
        </w:rPr>
        <w:t xml:space="preserve"> </w:t>
      </w:r>
      <w:r>
        <w:rPr>
          <w:color w:val="000000"/>
          <w:sz w:val="20"/>
          <w:szCs w:val="20"/>
        </w:rPr>
        <w:t xml:space="preserve">dalam </w:t>
      </w:r>
      <w:r>
        <w:rPr>
          <w:i/>
          <w:iCs/>
          <w:color w:val="000000"/>
          <w:sz w:val="20"/>
          <w:szCs w:val="20"/>
        </w:rPr>
        <w:t xml:space="preserve">Theological </w:t>
      </w:r>
      <w:r>
        <w:rPr>
          <w:i/>
          <w:iCs/>
          <w:sz w:val="20"/>
          <w:szCs w:val="20"/>
        </w:rPr>
        <w:t>Dictionary</w:t>
      </w:r>
      <w:r>
        <w:rPr>
          <w:i/>
          <w:iCs/>
          <w:color w:val="000000"/>
          <w:sz w:val="20"/>
          <w:szCs w:val="20"/>
        </w:rPr>
        <w:t xml:space="preserve"> of </w:t>
      </w:r>
      <w:r>
        <w:rPr>
          <w:i/>
          <w:iCs/>
          <w:sz w:val="20"/>
          <w:szCs w:val="20"/>
        </w:rPr>
        <w:t>the</w:t>
      </w:r>
      <w:r>
        <w:rPr>
          <w:i/>
          <w:iCs/>
          <w:color w:val="000000"/>
          <w:sz w:val="20"/>
          <w:szCs w:val="20"/>
        </w:rPr>
        <w:t xml:space="preserve"> Old Testament, Vol. 2</w:t>
      </w:r>
      <w:r>
        <w:rPr>
          <w:color w:val="000000"/>
          <w:sz w:val="20"/>
          <w:szCs w:val="20"/>
        </w:rPr>
        <w:t xml:space="preserve"> (Grand Rapids, Ml: 1975), 242-245. </w:t>
      </w:r>
    </w:p>
  </w:footnote>
  <w:footnote w:id="9">
    <w:p w14:paraId="2CBAF650"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G. Johaens, Botterweck, dan Helmer Ringgren, eds., dalam   </w:t>
      </w:r>
      <w:r>
        <w:rPr>
          <w:i/>
          <w:iCs/>
          <w:color w:val="000000"/>
          <w:sz w:val="20"/>
          <w:szCs w:val="20"/>
        </w:rPr>
        <w:t>Theological Dictionary of the Old Testament, Vol. 9</w:t>
      </w:r>
      <w:r>
        <w:rPr>
          <w:color w:val="000000"/>
          <w:sz w:val="20"/>
          <w:szCs w:val="20"/>
        </w:rPr>
        <w:t xml:space="preserve"> (Grand Rapids, MI: Eerdmans, 1998), 474-478. </w:t>
      </w:r>
    </w:p>
  </w:footnote>
  <w:footnote w:id="10">
    <w:p w14:paraId="1B8824F2"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Lembaga Alkitab Indonesia, </w:t>
      </w:r>
      <w:r>
        <w:rPr>
          <w:i/>
          <w:iCs/>
          <w:sz w:val="20"/>
          <w:szCs w:val="20"/>
        </w:rPr>
        <w:t>Biblia</w:t>
      </w:r>
      <w:r>
        <w:rPr>
          <w:i/>
          <w:iCs/>
          <w:color w:val="000000"/>
          <w:sz w:val="20"/>
          <w:szCs w:val="20"/>
        </w:rPr>
        <w:t xml:space="preserve"> Hebraica </w:t>
      </w:r>
      <w:r>
        <w:rPr>
          <w:i/>
          <w:iCs/>
          <w:sz w:val="20"/>
          <w:szCs w:val="20"/>
        </w:rPr>
        <w:t>Stuttgartensia</w:t>
      </w:r>
      <w:r>
        <w:rPr>
          <w:color w:val="000000"/>
          <w:sz w:val="20"/>
          <w:szCs w:val="20"/>
        </w:rPr>
        <w:t xml:space="preserve">, (Jakarta: Lembaga Alkitab Indonesia, 2004) 848. </w:t>
      </w:r>
    </w:p>
    <w:p w14:paraId="50FE0F23" w14:textId="77777777" w:rsidR="00C531DC" w:rsidRDefault="00C531DC">
      <w:pPr>
        <w:pBdr>
          <w:top w:val="nil"/>
          <w:left w:val="nil"/>
          <w:bottom w:val="nil"/>
          <w:right w:val="nil"/>
          <w:between w:val="nil"/>
        </w:pBdr>
        <w:jc w:val="both"/>
        <w:rPr>
          <w:color w:val="000000"/>
          <w:sz w:val="20"/>
          <w:szCs w:val="20"/>
          <w:highlight w:val="yellow"/>
        </w:rPr>
      </w:pPr>
    </w:p>
  </w:footnote>
  <w:footnote w:id="11">
    <w:p w14:paraId="3D978689"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LAI, </w:t>
      </w:r>
      <w:r>
        <w:rPr>
          <w:i/>
          <w:iCs/>
          <w:color w:val="000000"/>
          <w:sz w:val="20"/>
          <w:szCs w:val="20"/>
        </w:rPr>
        <w:t>Bablia Hebraica Stutgettgertensia</w:t>
      </w:r>
      <w:r>
        <w:rPr>
          <w:color w:val="000000"/>
          <w:sz w:val="20"/>
          <w:szCs w:val="20"/>
        </w:rPr>
        <w:t xml:space="preserve">, 849. </w:t>
      </w:r>
    </w:p>
    <w:p w14:paraId="791100EB" w14:textId="77777777" w:rsidR="00C531DC" w:rsidRDefault="00C531DC">
      <w:pPr>
        <w:pBdr>
          <w:top w:val="nil"/>
          <w:left w:val="nil"/>
          <w:bottom w:val="nil"/>
          <w:right w:val="nil"/>
          <w:between w:val="nil"/>
        </w:pBdr>
        <w:jc w:val="both"/>
        <w:rPr>
          <w:color w:val="000000"/>
          <w:sz w:val="20"/>
          <w:szCs w:val="20"/>
          <w:highlight w:val="yellow"/>
        </w:rPr>
      </w:pPr>
    </w:p>
  </w:footnote>
  <w:footnote w:id="12">
    <w:p w14:paraId="1C5D3EB2"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R. N. Whybray, </w:t>
      </w:r>
      <w:r>
        <w:rPr>
          <w:i/>
          <w:iCs/>
          <w:color w:val="000000"/>
          <w:sz w:val="20"/>
          <w:szCs w:val="20"/>
        </w:rPr>
        <w:t xml:space="preserve">The Book of </w:t>
      </w:r>
      <w:r>
        <w:rPr>
          <w:i/>
          <w:iCs/>
          <w:sz w:val="20"/>
          <w:szCs w:val="20"/>
        </w:rPr>
        <w:t>Ecclesiastes</w:t>
      </w:r>
      <w:r>
        <w:rPr>
          <w:i/>
          <w:iCs/>
          <w:color w:val="000000"/>
          <w:sz w:val="20"/>
          <w:szCs w:val="20"/>
        </w:rPr>
        <w:t>, New International Commentary in the Old Testament</w:t>
      </w:r>
      <w:r>
        <w:rPr>
          <w:color w:val="000000"/>
          <w:sz w:val="20"/>
          <w:szCs w:val="20"/>
        </w:rPr>
        <w:t xml:space="preserve"> (</w:t>
      </w:r>
      <w:r>
        <w:rPr>
          <w:sz w:val="20"/>
          <w:szCs w:val="20"/>
        </w:rPr>
        <w:t>Grand</w:t>
      </w:r>
      <w:r>
        <w:rPr>
          <w:color w:val="000000"/>
          <w:sz w:val="20"/>
          <w:szCs w:val="20"/>
        </w:rPr>
        <w:t xml:space="preserve"> Rapids: Wm. B. Eerdmans Publishing Co., 1989), 225-228. </w:t>
      </w:r>
    </w:p>
    <w:p w14:paraId="403AE7F0" w14:textId="77777777" w:rsidR="00C531DC" w:rsidRDefault="00C531DC">
      <w:pPr>
        <w:pBdr>
          <w:top w:val="nil"/>
          <w:left w:val="nil"/>
          <w:bottom w:val="nil"/>
          <w:right w:val="nil"/>
          <w:between w:val="nil"/>
        </w:pBdr>
        <w:jc w:val="both"/>
        <w:rPr>
          <w:color w:val="000000"/>
          <w:sz w:val="20"/>
          <w:szCs w:val="20"/>
          <w:highlight w:val="yellow"/>
        </w:rPr>
      </w:pPr>
    </w:p>
  </w:footnote>
  <w:footnote w:id="13">
    <w:p w14:paraId="2EE0C1A6"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 Tremper </w:t>
      </w:r>
      <w:r>
        <w:rPr>
          <w:sz w:val="20"/>
          <w:szCs w:val="20"/>
        </w:rPr>
        <w:t>Longman</w:t>
      </w:r>
      <w:r>
        <w:rPr>
          <w:color w:val="000000"/>
          <w:sz w:val="20"/>
          <w:szCs w:val="20"/>
        </w:rPr>
        <w:t xml:space="preserve"> III, </w:t>
      </w:r>
      <w:r>
        <w:rPr>
          <w:i/>
          <w:iCs/>
          <w:color w:val="000000"/>
          <w:sz w:val="20"/>
          <w:szCs w:val="20"/>
        </w:rPr>
        <w:t xml:space="preserve">The Book of </w:t>
      </w:r>
      <w:r>
        <w:rPr>
          <w:i/>
          <w:iCs/>
          <w:sz w:val="20"/>
          <w:szCs w:val="20"/>
        </w:rPr>
        <w:t>Ecclesiastes</w:t>
      </w:r>
      <w:r>
        <w:rPr>
          <w:i/>
          <w:iCs/>
          <w:color w:val="000000"/>
          <w:sz w:val="20"/>
          <w:szCs w:val="20"/>
        </w:rPr>
        <w:t>, New American Commentary</w:t>
      </w:r>
      <w:r>
        <w:rPr>
          <w:color w:val="000000"/>
          <w:sz w:val="20"/>
          <w:szCs w:val="20"/>
        </w:rPr>
        <w:t xml:space="preserve"> (Nashville: Brodmana &amp; Holman Publisher, 1998), 243-245. </w:t>
      </w:r>
    </w:p>
  </w:footnote>
  <w:footnote w:id="14">
    <w:p w14:paraId="7F71C083"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C, C McCown, </w:t>
      </w:r>
      <w:r>
        <w:rPr>
          <w:i/>
          <w:iCs/>
          <w:color w:val="000000"/>
          <w:sz w:val="20"/>
          <w:szCs w:val="20"/>
        </w:rPr>
        <w:t xml:space="preserve">The Promise of the Covenant: A </w:t>
      </w:r>
      <w:r>
        <w:rPr>
          <w:i/>
          <w:iCs/>
          <w:sz w:val="20"/>
          <w:szCs w:val="20"/>
        </w:rPr>
        <w:t>Commentary</w:t>
      </w:r>
      <w:r>
        <w:rPr>
          <w:i/>
          <w:iCs/>
          <w:color w:val="000000"/>
          <w:sz w:val="20"/>
          <w:szCs w:val="20"/>
        </w:rPr>
        <w:t xml:space="preserve"> in </w:t>
      </w:r>
      <w:r>
        <w:rPr>
          <w:i/>
          <w:iCs/>
          <w:sz w:val="20"/>
          <w:szCs w:val="20"/>
        </w:rPr>
        <w:t>Deuteronomy</w:t>
      </w:r>
      <w:r>
        <w:rPr>
          <w:i/>
          <w:iCs/>
          <w:color w:val="000000"/>
          <w:sz w:val="20"/>
          <w:szCs w:val="20"/>
        </w:rPr>
        <w:t>: New Century Bible</w:t>
      </w:r>
      <w:r>
        <w:rPr>
          <w:color w:val="000000"/>
          <w:sz w:val="20"/>
          <w:szCs w:val="20"/>
        </w:rPr>
        <w:t xml:space="preserve"> (London: Marshall, Morgan &amp; Scoot, 1970), 150-152. </w:t>
      </w:r>
    </w:p>
  </w:footnote>
  <w:footnote w:id="15">
    <w:p w14:paraId="49F35F2B"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J.M. Smith, </w:t>
      </w:r>
      <w:r>
        <w:rPr>
          <w:i/>
          <w:iCs/>
          <w:color w:val="000000"/>
          <w:sz w:val="20"/>
          <w:szCs w:val="20"/>
        </w:rPr>
        <w:t xml:space="preserve">The Book of </w:t>
      </w:r>
      <w:r>
        <w:rPr>
          <w:i/>
          <w:iCs/>
          <w:sz w:val="20"/>
          <w:szCs w:val="20"/>
        </w:rPr>
        <w:t>Ecclesiastes</w:t>
      </w:r>
      <w:r>
        <w:rPr>
          <w:i/>
          <w:iCs/>
          <w:color w:val="000000"/>
          <w:sz w:val="20"/>
          <w:szCs w:val="20"/>
        </w:rPr>
        <w:t xml:space="preserve">: A New </w:t>
      </w:r>
      <w:r>
        <w:rPr>
          <w:i/>
          <w:iCs/>
          <w:sz w:val="20"/>
          <w:szCs w:val="20"/>
        </w:rPr>
        <w:t>Translation</w:t>
      </w:r>
      <w:r>
        <w:rPr>
          <w:i/>
          <w:iCs/>
          <w:color w:val="000000"/>
          <w:sz w:val="20"/>
          <w:szCs w:val="20"/>
        </w:rPr>
        <w:t xml:space="preserve"> With Introduction and Commentary</w:t>
      </w:r>
      <w:r>
        <w:rPr>
          <w:color w:val="000000"/>
          <w:sz w:val="20"/>
          <w:szCs w:val="20"/>
        </w:rPr>
        <w:t xml:space="preserve"> (New York: Anchor Bible, 1989), 278-280. </w:t>
      </w:r>
    </w:p>
  </w:footnote>
  <w:footnote w:id="16">
    <w:p w14:paraId="1896DEF2"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 McCown, </w:t>
      </w:r>
      <w:r>
        <w:rPr>
          <w:i/>
          <w:iCs/>
          <w:color w:val="000000"/>
          <w:sz w:val="20"/>
          <w:szCs w:val="20"/>
        </w:rPr>
        <w:t xml:space="preserve">The Promise of the </w:t>
      </w:r>
      <w:r>
        <w:rPr>
          <w:i/>
          <w:iCs/>
          <w:sz w:val="20"/>
          <w:szCs w:val="20"/>
        </w:rPr>
        <w:t>Covenant</w:t>
      </w:r>
      <w:r>
        <w:rPr>
          <w:i/>
          <w:iCs/>
          <w:color w:val="000000"/>
          <w:sz w:val="20"/>
          <w:szCs w:val="20"/>
        </w:rPr>
        <w:t xml:space="preserve">: A </w:t>
      </w:r>
      <w:r>
        <w:rPr>
          <w:i/>
          <w:iCs/>
          <w:sz w:val="20"/>
          <w:szCs w:val="20"/>
        </w:rPr>
        <w:t>Commentary</w:t>
      </w:r>
      <w:r>
        <w:rPr>
          <w:i/>
          <w:iCs/>
          <w:color w:val="000000"/>
          <w:sz w:val="20"/>
          <w:szCs w:val="20"/>
        </w:rPr>
        <w:t xml:space="preserve"> in </w:t>
      </w:r>
      <w:r>
        <w:rPr>
          <w:i/>
          <w:iCs/>
          <w:sz w:val="20"/>
          <w:szCs w:val="20"/>
        </w:rPr>
        <w:t>Deuteronomy</w:t>
      </w:r>
      <w:r>
        <w:rPr>
          <w:i/>
          <w:iCs/>
          <w:color w:val="000000"/>
          <w:sz w:val="20"/>
          <w:szCs w:val="20"/>
        </w:rPr>
        <w:t>, New Century Bible</w:t>
      </w:r>
      <w:r>
        <w:rPr>
          <w:color w:val="000000"/>
          <w:sz w:val="20"/>
          <w:szCs w:val="20"/>
        </w:rPr>
        <w:t xml:space="preserve"> (London: Marshall, Morgan &amp; Scot, 1970), 150-152. </w:t>
      </w:r>
    </w:p>
  </w:footnote>
  <w:footnote w:id="17">
    <w:p w14:paraId="6EF3BA16"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R.C Van Leeuwen, </w:t>
      </w:r>
      <w:r>
        <w:rPr>
          <w:i/>
          <w:iCs/>
          <w:color w:val="000000"/>
          <w:sz w:val="20"/>
          <w:szCs w:val="20"/>
        </w:rPr>
        <w:t xml:space="preserve">The Book of </w:t>
      </w:r>
      <w:r>
        <w:rPr>
          <w:i/>
          <w:iCs/>
          <w:sz w:val="20"/>
          <w:szCs w:val="20"/>
        </w:rPr>
        <w:t>Ecclesiastes</w:t>
      </w:r>
      <w:r>
        <w:rPr>
          <w:i/>
          <w:iCs/>
          <w:color w:val="000000"/>
          <w:sz w:val="20"/>
          <w:szCs w:val="20"/>
        </w:rPr>
        <w:t>, The New International Biblical</w:t>
      </w:r>
      <w:r>
        <w:rPr>
          <w:color w:val="000000"/>
          <w:sz w:val="20"/>
          <w:szCs w:val="20"/>
        </w:rPr>
        <w:t xml:space="preserve"> (Commentary: Grand Rapids: Zondervan , 1997), 295-297. </w:t>
      </w:r>
    </w:p>
  </w:footnote>
  <w:footnote w:id="18">
    <w:p w14:paraId="1736C579"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David Gerorge Moore &amp; Daniel L. Akin, </w:t>
      </w:r>
      <w:r>
        <w:rPr>
          <w:i/>
          <w:iCs/>
          <w:color w:val="000000"/>
          <w:sz w:val="20"/>
          <w:szCs w:val="20"/>
        </w:rPr>
        <w:t>Holman Old Testament Commentary: Volume 14-Ecclesiates &amp; Song of Song</w:t>
      </w:r>
      <w:r>
        <w:rPr>
          <w:color w:val="000000"/>
          <w:sz w:val="20"/>
          <w:szCs w:val="20"/>
        </w:rPr>
        <w:t xml:space="preserve">, ed. Max. E. Anders (Nashville: B&amp;H </w:t>
      </w:r>
      <w:r>
        <w:rPr>
          <w:sz w:val="20"/>
          <w:szCs w:val="20"/>
        </w:rPr>
        <w:t>Publishing</w:t>
      </w:r>
      <w:r>
        <w:rPr>
          <w:color w:val="000000"/>
          <w:sz w:val="20"/>
          <w:szCs w:val="20"/>
        </w:rPr>
        <w:t xml:space="preserve"> Group, 2003), 33. </w:t>
      </w:r>
    </w:p>
  </w:footnote>
  <w:footnote w:id="19">
    <w:p w14:paraId="2B426097"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Leeuwen, </w:t>
      </w:r>
      <w:r>
        <w:rPr>
          <w:i/>
          <w:iCs/>
          <w:color w:val="000000"/>
          <w:sz w:val="20"/>
          <w:szCs w:val="20"/>
        </w:rPr>
        <w:t xml:space="preserve">The Book of </w:t>
      </w:r>
      <w:r>
        <w:rPr>
          <w:i/>
          <w:iCs/>
          <w:sz w:val="20"/>
          <w:szCs w:val="20"/>
        </w:rPr>
        <w:t>Ecclesiastes</w:t>
      </w:r>
      <w:r>
        <w:rPr>
          <w:color w:val="000000"/>
          <w:sz w:val="20"/>
          <w:szCs w:val="20"/>
        </w:rPr>
        <w:t xml:space="preserve">, 298. </w:t>
      </w:r>
    </w:p>
  </w:footnote>
  <w:footnote w:id="20">
    <w:p w14:paraId="2C804C16" w14:textId="77777777" w:rsidR="00C531DC" w:rsidRDefault="00000000">
      <w:pPr>
        <w:pBdr>
          <w:top w:val="nil"/>
          <w:left w:val="nil"/>
          <w:bottom w:val="nil"/>
          <w:right w:val="nil"/>
          <w:between w:val="nil"/>
        </w:pBdr>
        <w:jc w:val="both"/>
        <w:rPr>
          <w:color w:val="000000"/>
          <w:sz w:val="20"/>
          <w:szCs w:val="20"/>
          <w:highlight w:val="yellow"/>
        </w:rPr>
      </w:pPr>
      <w:r>
        <w:rPr>
          <w:vertAlign w:val="superscript"/>
        </w:rPr>
        <w:footnoteRef/>
      </w:r>
      <w:r>
        <w:rPr>
          <w:color w:val="000000"/>
          <w:sz w:val="20"/>
          <w:szCs w:val="20"/>
        </w:rPr>
        <w:t xml:space="preserve"> R.N. Whybray, </w:t>
      </w:r>
      <w:r>
        <w:rPr>
          <w:i/>
          <w:iCs/>
          <w:color w:val="000000"/>
          <w:sz w:val="20"/>
          <w:szCs w:val="20"/>
        </w:rPr>
        <w:t xml:space="preserve">The Book of </w:t>
      </w:r>
      <w:r>
        <w:rPr>
          <w:i/>
          <w:iCs/>
          <w:sz w:val="20"/>
          <w:szCs w:val="20"/>
        </w:rPr>
        <w:t>Ecclesiastes</w:t>
      </w:r>
      <w:r>
        <w:rPr>
          <w:i/>
          <w:iCs/>
          <w:color w:val="000000"/>
          <w:sz w:val="20"/>
          <w:szCs w:val="20"/>
        </w:rPr>
        <w:t xml:space="preserve">, </w:t>
      </w:r>
      <w:r>
        <w:rPr>
          <w:color w:val="000000"/>
          <w:sz w:val="20"/>
          <w:szCs w:val="20"/>
        </w:rPr>
        <w:t>225-228.</w:t>
      </w:r>
    </w:p>
  </w:footnote>
  <w:footnote w:id="21">
    <w:p w14:paraId="50F3A98E"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Longman III, </w:t>
      </w:r>
      <w:r>
        <w:rPr>
          <w:i/>
          <w:iCs/>
          <w:color w:val="000000"/>
          <w:sz w:val="20"/>
          <w:szCs w:val="20"/>
        </w:rPr>
        <w:t xml:space="preserve">The Book of </w:t>
      </w:r>
      <w:r>
        <w:rPr>
          <w:i/>
          <w:iCs/>
          <w:sz w:val="20"/>
          <w:szCs w:val="20"/>
        </w:rPr>
        <w:t>Ecclesiastes</w:t>
      </w:r>
      <w:r>
        <w:rPr>
          <w:color w:val="000000"/>
          <w:sz w:val="20"/>
          <w:szCs w:val="20"/>
        </w:rPr>
        <w:t xml:space="preserve">, 171-264. </w:t>
      </w:r>
    </w:p>
  </w:footnote>
  <w:footnote w:id="22">
    <w:p w14:paraId="2EBC83F4" w14:textId="77777777" w:rsidR="00C531DC" w:rsidRDefault="00000000">
      <w:pPr>
        <w:jc w:val="both"/>
        <w:rPr>
          <w:sz w:val="20"/>
          <w:szCs w:val="20"/>
        </w:rPr>
      </w:pPr>
      <w:r>
        <w:rPr>
          <w:vertAlign w:val="superscript"/>
        </w:rPr>
        <w:footnoteRef/>
      </w:r>
      <w:r>
        <w:rPr>
          <w:sz w:val="20"/>
          <w:szCs w:val="20"/>
        </w:rPr>
        <w:t xml:space="preserve"> Wlater C Kaiser Jr, </w:t>
      </w:r>
      <w:r>
        <w:rPr>
          <w:i/>
          <w:iCs/>
          <w:sz w:val="20"/>
          <w:szCs w:val="20"/>
        </w:rPr>
        <w:t>Ecclesiastes: Total Life</w:t>
      </w:r>
      <w:r>
        <w:rPr>
          <w:sz w:val="20"/>
          <w:szCs w:val="20"/>
        </w:rPr>
        <w:t xml:space="preserve"> (Chicago: Moody Press, 1979), 116-122. </w:t>
      </w:r>
    </w:p>
  </w:footnote>
  <w:footnote w:id="23">
    <w:p w14:paraId="111EF98A"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Yane Octavia Rismawati Wainarisi, “Menafsir Ulang Makna “</w:t>
      </w:r>
      <w:r>
        <w:rPr>
          <w:i/>
          <w:iCs/>
          <w:color w:val="000000"/>
          <w:sz w:val="20"/>
          <w:szCs w:val="20"/>
          <w:rtl/>
        </w:rPr>
        <w:t>בָּרוּר</w:t>
      </w:r>
      <w:r>
        <w:rPr>
          <w:i/>
          <w:iCs/>
          <w:color w:val="000000"/>
          <w:sz w:val="20"/>
          <w:szCs w:val="20"/>
        </w:rPr>
        <w:t xml:space="preserve">” </w:t>
      </w:r>
      <w:r>
        <w:rPr>
          <w:color w:val="000000"/>
          <w:sz w:val="20"/>
          <w:szCs w:val="20"/>
        </w:rPr>
        <w:t xml:space="preserve">dalam Pengkhotbah 12:1 (Sebuah Upaya Menangkap Pesan </w:t>
      </w:r>
      <w:r>
        <w:rPr>
          <w:i/>
          <w:iCs/>
          <w:color w:val="000000"/>
          <w:sz w:val="20"/>
          <w:szCs w:val="20"/>
        </w:rPr>
        <w:t>Quelet</w:t>
      </w:r>
      <w:r>
        <w:rPr>
          <w:color w:val="000000"/>
          <w:sz w:val="20"/>
          <w:szCs w:val="20"/>
        </w:rPr>
        <w:t xml:space="preserve"> Terhadap Mileu-nya),” </w:t>
      </w:r>
      <w:r>
        <w:rPr>
          <w:i/>
          <w:iCs/>
          <w:color w:val="000000"/>
          <w:sz w:val="20"/>
          <w:szCs w:val="20"/>
        </w:rPr>
        <w:t>Danum Pambelum: Jurnal Teologi dan Musik</w:t>
      </w:r>
      <w:r>
        <w:rPr>
          <w:color w:val="000000"/>
          <w:sz w:val="20"/>
          <w:szCs w:val="20"/>
        </w:rPr>
        <w:t xml:space="preserve"> Gereja 1, no. 1 (Mei 2021):11. </w:t>
      </w:r>
    </w:p>
    <w:p w14:paraId="6C57EB10" w14:textId="77777777" w:rsidR="00C531DC" w:rsidRDefault="00C531DC">
      <w:pPr>
        <w:pBdr>
          <w:top w:val="nil"/>
          <w:left w:val="nil"/>
          <w:bottom w:val="nil"/>
          <w:right w:val="nil"/>
          <w:between w:val="nil"/>
        </w:pBdr>
        <w:jc w:val="both"/>
        <w:rPr>
          <w:color w:val="000000"/>
          <w:sz w:val="20"/>
          <w:szCs w:val="20"/>
        </w:rPr>
      </w:pPr>
    </w:p>
  </w:footnote>
  <w:footnote w:id="24">
    <w:p w14:paraId="03E1AD0B"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Gabriel Lumbantobing, Roselita Sinaga &amp; Michael Juan Nababan, “Teologi Kesia-siaan menurut Kitab Pengkhotbah,” </w:t>
      </w:r>
      <w:r>
        <w:rPr>
          <w:i/>
          <w:iCs/>
          <w:color w:val="000000"/>
          <w:sz w:val="20"/>
          <w:szCs w:val="20"/>
        </w:rPr>
        <w:t>Jurnal Pendidikan Agama Kristen dan Pastoral (Lumen)</w:t>
      </w:r>
      <w:r>
        <w:rPr>
          <w:color w:val="000000"/>
          <w:sz w:val="20"/>
          <w:szCs w:val="20"/>
        </w:rPr>
        <w:t xml:space="preserve"> 3, no.1 (Juni 2024), 123-132. </w:t>
      </w:r>
    </w:p>
  </w:footnote>
  <w:footnote w:id="25">
    <w:p w14:paraId="03B82597"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HKBP, </w:t>
      </w:r>
      <w:r>
        <w:rPr>
          <w:i/>
          <w:iCs/>
          <w:color w:val="000000"/>
          <w:sz w:val="20"/>
          <w:szCs w:val="20"/>
        </w:rPr>
        <w:t xml:space="preserve">Panindangion </w:t>
      </w:r>
      <w:r>
        <w:rPr>
          <w:i/>
          <w:iCs/>
          <w:sz w:val="20"/>
          <w:szCs w:val="20"/>
        </w:rPr>
        <w:t>Haporseaon</w:t>
      </w:r>
      <w:r>
        <w:rPr>
          <w:i/>
          <w:iCs/>
          <w:color w:val="000000"/>
          <w:sz w:val="20"/>
          <w:szCs w:val="20"/>
        </w:rPr>
        <w:t>; Konfessie 1951&amp;1996</w:t>
      </w:r>
      <w:r>
        <w:rPr>
          <w:color w:val="000000"/>
          <w:sz w:val="20"/>
          <w:szCs w:val="20"/>
        </w:rPr>
        <w:t xml:space="preserve"> (Pearaja Tarutung: Kantor Pusat HKBP, 2013), 131. </w:t>
      </w:r>
    </w:p>
  </w:footnote>
  <w:footnote w:id="26">
    <w:p w14:paraId="4A86B3DF" w14:textId="77777777" w:rsidR="00C531DC"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HKBP, </w:t>
      </w:r>
      <w:r>
        <w:rPr>
          <w:i/>
          <w:iCs/>
          <w:color w:val="000000"/>
          <w:sz w:val="20"/>
          <w:szCs w:val="20"/>
        </w:rPr>
        <w:t xml:space="preserve">Panindangion </w:t>
      </w:r>
      <w:r>
        <w:rPr>
          <w:i/>
          <w:iCs/>
          <w:sz w:val="20"/>
          <w:szCs w:val="20"/>
        </w:rPr>
        <w:t>Haporseaon</w:t>
      </w:r>
      <w:r>
        <w:rPr>
          <w:color w:val="000000"/>
          <w:sz w:val="20"/>
          <w:szCs w:val="20"/>
        </w:rPr>
        <w:t xml:space="preserve">, 132. </w:t>
      </w:r>
    </w:p>
  </w:footnote>
  <w:footnote w:id="27">
    <w:p w14:paraId="2CAF5DAF" w14:textId="77777777" w:rsidR="00C531D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Grollus </w:t>
      </w:r>
      <w:r>
        <w:rPr>
          <w:sz w:val="20"/>
          <w:szCs w:val="20"/>
        </w:rPr>
        <w:t>Sitanggang</w:t>
      </w:r>
      <w:r>
        <w:rPr>
          <w:color w:val="000000"/>
          <w:sz w:val="20"/>
          <w:szCs w:val="20"/>
        </w:rPr>
        <w:t xml:space="preserve">, “HKBP 2025: Langkah Baru Menuju Transformasi Iman,” </w:t>
      </w:r>
      <w:hyperlink r:id="rId1">
        <w:r w:rsidR="00C531DC">
          <w:rPr>
            <w:color w:val="0000FF"/>
            <w:sz w:val="20"/>
            <w:szCs w:val="20"/>
            <w:u w:val="single"/>
          </w:rPr>
          <w:t>https://kabarbaik1.com/hkbp-2025-langkah-baru-menuju-transformasi-iman</w:t>
        </w:r>
      </w:hyperlink>
      <w:r>
        <w:rPr>
          <w:color w:val="000000"/>
          <w:sz w:val="20"/>
          <w:szCs w:val="20"/>
          <w:u w:val="single"/>
        </w:rPr>
        <w:t xml:space="preserve"> </w:t>
      </w:r>
      <w:r>
        <w:rPr>
          <w:color w:val="000000"/>
          <w:sz w:val="20"/>
          <w:szCs w:val="20"/>
        </w:rPr>
        <w:t xml:space="preserve">(dikunjungi 12 Mei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3766" w14:textId="77777777" w:rsidR="00C531DC"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bCs/>
        <w:i/>
        <w:iCs/>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DC1B0" w14:textId="77777777" w:rsidR="00C531DC" w:rsidRDefault="00C531DC">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67D2B"/>
    <w:multiLevelType w:val="hybridMultilevel"/>
    <w:tmpl w:val="7DD4CBBA"/>
    <w:lvl w:ilvl="0" w:tplc="3DC8AC06">
      <w:start w:val="1"/>
      <w:numFmt w:val="decimal"/>
      <w:lvlText w:val="%1."/>
      <w:lvlJc w:val="left"/>
      <w:pPr>
        <w:ind w:left="1020" w:hanging="360"/>
      </w:pPr>
    </w:lvl>
    <w:lvl w:ilvl="1" w:tplc="D5BE7B1E">
      <w:start w:val="1"/>
      <w:numFmt w:val="decimal"/>
      <w:lvlText w:val="%2."/>
      <w:lvlJc w:val="left"/>
      <w:pPr>
        <w:ind w:left="1020" w:hanging="360"/>
      </w:pPr>
    </w:lvl>
    <w:lvl w:ilvl="2" w:tplc="BE323358">
      <w:start w:val="1"/>
      <w:numFmt w:val="decimal"/>
      <w:lvlText w:val="%3."/>
      <w:lvlJc w:val="left"/>
      <w:pPr>
        <w:ind w:left="1020" w:hanging="360"/>
      </w:pPr>
    </w:lvl>
    <w:lvl w:ilvl="3" w:tplc="02083952">
      <w:start w:val="1"/>
      <w:numFmt w:val="decimal"/>
      <w:lvlText w:val="%4."/>
      <w:lvlJc w:val="left"/>
      <w:pPr>
        <w:ind w:left="1020" w:hanging="360"/>
      </w:pPr>
    </w:lvl>
    <w:lvl w:ilvl="4" w:tplc="82CAF24C">
      <w:start w:val="1"/>
      <w:numFmt w:val="decimal"/>
      <w:lvlText w:val="%5."/>
      <w:lvlJc w:val="left"/>
      <w:pPr>
        <w:ind w:left="1020" w:hanging="360"/>
      </w:pPr>
    </w:lvl>
    <w:lvl w:ilvl="5" w:tplc="14BCD782">
      <w:start w:val="1"/>
      <w:numFmt w:val="decimal"/>
      <w:lvlText w:val="%6."/>
      <w:lvlJc w:val="left"/>
      <w:pPr>
        <w:ind w:left="1020" w:hanging="360"/>
      </w:pPr>
    </w:lvl>
    <w:lvl w:ilvl="6" w:tplc="51326F50">
      <w:start w:val="1"/>
      <w:numFmt w:val="decimal"/>
      <w:lvlText w:val="%7."/>
      <w:lvlJc w:val="left"/>
      <w:pPr>
        <w:ind w:left="1020" w:hanging="360"/>
      </w:pPr>
    </w:lvl>
    <w:lvl w:ilvl="7" w:tplc="AB021BDE">
      <w:start w:val="1"/>
      <w:numFmt w:val="decimal"/>
      <w:lvlText w:val="%8."/>
      <w:lvlJc w:val="left"/>
      <w:pPr>
        <w:ind w:left="1020" w:hanging="360"/>
      </w:pPr>
    </w:lvl>
    <w:lvl w:ilvl="8" w:tplc="58FC2AFA">
      <w:start w:val="1"/>
      <w:numFmt w:val="decimal"/>
      <w:lvlText w:val="%9."/>
      <w:lvlJc w:val="left"/>
      <w:pPr>
        <w:ind w:left="1020" w:hanging="360"/>
      </w:pPr>
    </w:lvl>
  </w:abstractNum>
  <w:num w:numId="1" w16cid:durableId="183249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1DC"/>
    <w:rsid w:val="005C008F"/>
    <w:rsid w:val="0062008A"/>
    <w:rsid w:val="00802392"/>
    <w:rsid w:val="00803BAC"/>
    <w:rsid w:val="00C531DC"/>
    <w:rsid w:val="00E476EA"/>
    <w:rsid w:val="00E56195"/>
    <w:rsid w:val="00E94102"/>
    <w:rsid w:val="00EB6E99"/>
    <w:rsid w:val="00F61E8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2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480" w:after="120"/>
      <w:outlineLvl w:val="0"/>
    </w:pPr>
    <w:rPr>
      <w:b/>
      <w:bCs/>
      <w:sz w:val="48"/>
      <w:szCs w:val="48"/>
    </w:rPr>
  </w:style>
  <w:style w:type="paragraph" w:styleId="Judul2">
    <w:name w:val="heading 2"/>
    <w:basedOn w:val="Normal"/>
    <w:next w:val="Normal"/>
    <w:uiPriority w:val="9"/>
    <w:semiHidden/>
    <w:unhideWhenUsed/>
    <w:qFormat/>
    <w:pPr>
      <w:outlineLvl w:val="1"/>
    </w:pPr>
    <w:rPr>
      <w:b/>
      <w:bCs/>
      <w:sz w:val="36"/>
      <w:szCs w:val="36"/>
    </w:rPr>
  </w:style>
  <w:style w:type="paragraph" w:styleId="Judul3">
    <w:name w:val="heading 3"/>
    <w:basedOn w:val="Normal"/>
    <w:next w:val="Normal"/>
    <w:uiPriority w:val="9"/>
    <w:semiHidden/>
    <w:unhideWhenUsed/>
    <w:qFormat/>
    <w:pPr>
      <w:keepNext/>
      <w:keepLines/>
      <w:spacing w:before="280" w:after="80"/>
      <w:outlineLvl w:val="2"/>
    </w:pPr>
    <w:rPr>
      <w:b/>
      <w:bCs/>
      <w:sz w:val="28"/>
      <w:szCs w:val="28"/>
    </w:rPr>
  </w:style>
  <w:style w:type="paragraph" w:styleId="Judul4">
    <w:name w:val="heading 4"/>
    <w:basedOn w:val="Normal"/>
    <w:next w:val="Normal"/>
    <w:uiPriority w:val="9"/>
    <w:semiHidden/>
    <w:unhideWhenUsed/>
    <w:qFormat/>
    <w:pPr>
      <w:keepNext/>
      <w:keepLines/>
      <w:spacing w:before="240" w:after="40"/>
      <w:outlineLvl w:val="3"/>
    </w:pPr>
    <w:rPr>
      <w:b/>
      <w:bCs/>
    </w:rPr>
  </w:style>
  <w:style w:type="paragraph" w:styleId="Judul5">
    <w:name w:val="heading 5"/>
    <w:basedOn w:val="Normal"/>
    <w:next w:val="Normal"/>
    <w:uiPriority w:val="9"/>
    <w:semiHidden/>
    <w:unhideWhenUsed/>
    <w:qFormat/>
    <w:pPr>
      <w:keepNext/>
      <w:keepLines/>
      <w:spacing w:before="220" w:after="40"/>
      <w:outlineLvl w:val="4"/>
    </w:pPr>
    <w:rPr>
      <w:b/>
      <w:bCs/>
      <w:sz w:val="22"/>
      <w:szCs w:val="22"/>
    </w:rPr>
  </w:style>
  <w:style w:type="paragraph" w:styleId="Judul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spacing w:line="480" w:lineRule="auto"/>
      <w:jc w:val="center"/>
    </w:pPr>
    <w:rPr>
      <w:rFonts w:ascii="Tahoma" w:eastAsia="Tahoma" w:hAnsi="Tahoma" w:cs="Tahoma"/>
      <w:b/>
      <w:bCs/>
      <w:sz w:val="22"/>
      <w:szCs w:val="22"/>
    </w:r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character" w:styleId="ReferensiKomentar">
    <w:name w:val="annotation reference"/>
    <w:basedOn w:val="FontParagrafDefault"/>
    <w:uiPriority w:val="99"/>
    <w:semiHidden/>
    <w:unhideWhenUsed/>
    <w:rsid w:val="00E94102"/>
    <w:rPr>
      <w:sz w:val="16"/>
      <w:szCs w:val="16"/>
    </w:rPr>
  </w:style>
  <w:style w:type="paragraph" w:styleId="TeksKomentar">
    <w:name w:val="annotation text"/>
    <w:basedOn w:val="Normal"/>
    <w:link w:val="TeksKomentarKAR"/>
    <w:uiPriority w:val="99"/>
    <w:unhideWhenUsed/>
    <w:rsid w:val="00E94102"/>
    <w:rPr>
      <w:sz w:val="20"/>
      <w:szCs w:val="20"/>
    </w:rPr>
  </w:style>
  <w:style w:type="character" w:customStyle="1" w:styleId="TeksKomentarKAR">
    <w:name w:val="Teks Komentar KAR"/>
    <w:basedOn w:val="FontParagrafDefault"/>
    <w:link w:val="TeksKomentar"/>
    <w:uiPriority w:val="99"/>
    <w:rsid w:val="00E94102"/>
    <w:rPr>
      <w:sz w:val="20"/>
      <w:szCs w:val="20"/>
    </w:rPr>
  </w:style>
  <w:style w:type="paragraph" w:styleId="SubjekKomentar">
    <w:name w:val="annotation subject"/>
    <w:basedOn w:val="TeksKomentar"/>
    <w:next w:val="TeksKomentar"/>
    <w:link w:val="SubjekKomentarKAR"/>
    <w:uiPriority w:val="99"/>
    <w:semiHidden/>
    <w:unhideWhenUsed/>
    <w:rsid w:val="00E94102"/>
    <w:rPr>
      <w:b/>
      <w:bCs/>
    </w:rPr>
  </w:style>
  <w:style w:type="character" w:customStyle="1" w:styleId="SubjekKomentarKAR">
    <w:name w:val="Subjek Komentar KAR"/>
    <w:basedOn w:val="TeksKomentarKAR"/>
    <w:link w:val="SubjekKomentar"/>
    <w:uiPriority w:val="99"/>
    <w:semiHidden/>
    <w:rsid w:val="00E94102"/>
    <w:rPr>
      <w:b/>
      <w:bCs/>
      <w:sz w:val="20"/>
      <w:szCs w:val="20"/>
    </w:rPr>
  </w:style>
  <w:style w:type="paragraph" w:styleId="Header">
    <w:name w:val="header"/>
    <w:basedOn w:val="Normal"/>
    <w:link w:val="HeaderKAR"/>
    <w:uiPriority w:val="99"/>
    <w:unhideWhenUsed/>
    <w:rsid w:val="00FD7D2A"/>
    <w:pPr>
      <w:tabs>
        <w:tab w:val="center" w:pos="4513"/>
        <w:tab w:val="right" w:pos="9026"/>
      </w:tabs>
    </w:pPr>
  </w:style>
  <w:style w:type="character" w:customStyle="1" w:styleId="HeaderKAR">
    <w:name w:val="Header KAR"/>
    <w:basedOn w:val="FontParagrafDefault"/>
    <w:link w:val="Header"/>
    <w:uiPriority w:val="99"/>
    <w:rsid w:val="00FD7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1.xml"/><Relationship Id="rId18" Type="http://schemas.openxmlformats.org/officeDocument/2006/relationships/hyperlink" Target="https://kabarbaik1.com/hkbp-2025-langkah-baru-menuju-transformasi-ima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bonifasiussihombing16@gmail.com"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kabarbaik1.com/hkbp-2025-langkah-baru-menuju-transformasi-i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5854</Words>
  <Characters>33369</Characters>
  <Application>Microsoft Office Word</Application>
  <DocSecurity>0</DocSecurity>
  <Lines>278</Lines>
  <Paragraphs>78</Paragraphs>
  <ScaleCrop>false</ScaleCrop>
  <Company/>
  <LinksUpToDate>false</LinksUpToDate>
  <CharactersWithSpaces>39145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2026-05-09T08:30:00Z</dcterms:created>
  <dcterms:modified xsi:type="dcterms:W3CDTF">2026-05-09T08:30:00Z</dcterms:modified>
</cp:coreProperties>
</file>