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032F99" w:rsidRDefault="00032F99" w:rsidP="00116740">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032F99">
              <w:rPr>
                <w:rFonts w:eastAsia="Times New Roman"/>
                <w:b/>
                <w:color w:val="000000"/>
                <w:sz w:val="32"/>
                <w:szCs w:val="32"/>
              </w:rPr>
              <w:t>Konseling untuk Self-Care</w:t>
            </w:r>
          </w:p>
          <w:p w14:paraId="63AE5820" w14:textId="5E2CB8E8" w:rsidR="00AE35FD" w:rsidRDefault="00032F9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Herlina </w:t>
            </w:r>
            <w:proofErr w:type="gramStart"/>
            <w:r>
              <w:rPr>
                <w:b/>
                <w:i/>
                <w:color w:val="000000"/>
                <w:sz w:val="28"/>
                <w:szCs w:val="28"/>
              </w:rPr>
              <w:t>I.Fialay</w:t>
            </w:r>
            <w:proofErr w:type="gramEnd"/>
          </w:p>
          <w:p w14:paraId="1FDC63BD" w14:textId="2B089F52" w:rsidR="00116740" w:rsidRDefault="00116740" w:rsidP="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Sherly Mudak*</w:t>
            </w:r>
          </w:p>
          <w:p w14:paraId="201DDD48" w14:textId="6492FD65" w:rsidR="00116740" w:rsidRDefault="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Erwin Gusti Parubak</w:t>
            </w:r>
          </w:p>
          <w:p w14:paraId="6EDB9016" w14:textId="1B6C8807" w:rsidR="00C30472" w:rsidRDefault="00000000">
            <w:pPr>
              <w:jc w:val="center"/>
            </w:pPr>
            <w:bookmarkStart w:id="0" w:name="_heading=h.gjdgxs" w:colFirst="0" w:colLast="0"/>
            <w:bookmarkEnd w:id="0"/>
            <w:r>
              <w:rPr>
                <w:i/>
                <w:color w:val="000000"/>
              </w:rPr>
              <w:t xml:space="preserve">Sekolah Tinggi Teologi </w:t>
            </w:r>
            <w:r w:rsidR="00032F99">
              <w:rPr>
                <w:i/>
                <w:color w:val="000000"/>
              </w:rPr>
              <w:t>Arrabona Bogor</w:t>
            </w:r>
          </w:p>
          <w:p w14:paraId="783395F9" w14:textId="3CB0AC79" w:rsidR="00C30472" w:rsidRDefault="00000000">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032F99">
              <w:rPr>
                <w:i/>
                <w:color w:val="000000"/>
              </w:rPr>
              <w:t>mashe1611@gmail.com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32F99" w:rsidRPr="00032F99">
              <w:rPr>
                <w:rFonts w:eastAsia="Times New Roman"/>
                <w:color w:val="000000"/>
                <w:sz w:val="22"/>
                <w:szCs w:val="22"/>
              </w:rPr>
              <w:t>Komitmen hidup dan pelayanan Kristen sering kali dihadapkan pada tantangan fisik, emosional, dan spiritual yang dapat mempengaruhi efektivitas pelayanan jangka panjang. Artikel ini mengkaji hubungan antara komitmen hidup dalam pelayanan yang berakar pada kasih karunia Tuhan (1 Korintus 15:3-10) dan pentingnya self-care bagi pelayan. Teori self-care dan konsep burnout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w:t>
            </w:r>
            <w:r w:rsidRPr="00032F99">
              <w:rPr>
                <w:rFonts w:eastAsia="Times New Roman"/>
                <w:bCs/>
                <w:i/>
                <w:color w:val="000000"/>
                <w:sz w:val="22"/>
                <w:szCs w:val="22"/>
              </w:rPr>
              <w:lastRenderedPageBreak/>
              <w:t>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 Namun, dalam realitasnya, semangat pelayanan yang berakar pada kasih karunia sering kali mendorong individu untuk mengabaikan aspek penting lainnya, seperti kesehatan fisik dan mental. Kondisi ini kerap terjadi, terutama dalam konteks pelayanan, di mana komitmen tinggi untuk menjawab panggilan Allah dapat mengarah pada kelelahan fisik, emosional, dan spiritual yang parah</w:t>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 xml:space="preserve">Fenomena ini terlihat jelas dalam kasus para pendeta dan pelayan misi yang mengalami </w:t>
      </w:r>
      <w:r w:rsidRPr="00032F99">
        <w:rPr>
          <w:rFonts w:eastAsia="Times New Roman"/>
          <w:i/>
          <w:iCs/>
          <w:lang w:eastAsia="en-US"/>
        </w:rPr>
        <w:t>burnout</w:t>
      </w:r>
      <w:r w:rsidRPr="00032F99">
        <w:rPr>
          <w:rFonts w:eastAsia="Times New Roman"/>
          <w:lang w:eastAsia="en-US"/>
        </w:rPr>
        <w:t xml:space="preserve"> karena mengesampingkan </w:t>
      </w:r>
      <w:r w:rsidRPr="00032F99">
        <w:rPr>
          <w:rFonts w:eastAsia="Times New Roman"/>
          <w:i/>
          <w:iCs/>
          <w:lang w:eastAsia="en-US"/>
        </w:rPr>
        <w:t>self-care</w:t>
      </w:r>
      <w:r w:rsidRPr="00032F99">
        <w:rPr>
          <w:rFonts w:eastAsia="Times New Roman"/>
          <w:lang w:eastAsia="en-US"/>
        </w:rPr>
        <w:t xml:space="preserve"> dalam menjalankan pelayanan mereka</w:t>
      </w:r>
      <w:r w:rsidRPr="00032F99">
        <w:rPr>
          <w:rFonts w:eastAsia="Times New Roman"/>
          <w:vertAlign w:val="superscript"/>
          <w:lang w:eastAsia="en-US"/>
        </w:rPr>
        <w:footnoteReference w:id="2"/>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Namun, penelitian yang mengintegrasikan kasih karunia, pelayanan misi, dan pastoral </w:t>
      </w:r>
      <w:r w:rsidRPr="00032F99">
        <w:rPr>
          <w:rFonts w:eastAsia="Times New Roman"/>
          <w:lang w:eastAsia="en-US"/>
        </w:rPr>
        <w:lastRenderedPageBreak/>
        <w:t xml:space="preserve">konseling dengan fokus pada </w:t>
      </w:r>
      <w:r w:rsidRPr="00032F99">
        <w:rPr>
          <w:rFonts w:eastAsia="Times New Roman"/>
          <w:i/>
          <w:iCs/>
          <w:lang w:eastAsia="en-US"/>
        </w:rPr>
        <w:t>self-care</w:t>
      </w:r>
      <w:r w:rsidRPr="00032F99">
        <w:rPr>
          <w:rFonts w:eastAsia="Times New Roman"/>
          <w:lang w:eastAsia="en-US"/>
        </w:rPr>
        <w:t xml:space="preserve"> masih sangat terbatas, khususnya dalam konteks pendeta dan misi.</w:t>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90FB5B8" w14:textId="77777777"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Penelitian ini menggunakan metode kualitatif dengan pendekatan studi literatur untuk menelaah secara mendalam komitmen hidup dan pelayanan yang berakar pada Injil, khususnya dalam 1 Korintus 15:3–10, serta relevansinya dengan praktik self-care dalam pelayanan Kristen. Data penelitian bersumber dari literatur akademik yang kredibel, meliputi buku teologi, artikel jurnal ilmiah, dan karya ilmiah lain yang relevan. Penelitian ini tidak melibatkan pengumpulan data primer, melainkan berfokus pada analisis kritis terhadap sumber-sumber tertulis yang telah ada.</w:t>
      </w:r>
    </w:p>
    <w:p w14:paraId="1ABB3434" w14:textId="77777777"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Analisis data dilakukan dengan menggunakan kerangka konseling pastoral holistik sebagaimana dikembangkan oleh Howard Clinebell, yang memandang self-care sebagai pemeliharaan kehidupan secara utuh mencakup dimensi spiritual, emosional, relasional, fisik, dan vokasional. Kerangka ini dipadukan dengan teologi kasih karunia Paulus untuk membaca dinamika pelayanan sebagai respons terhadap anugerah Allah, bukan sebagai beban performatif. Pendekatan analisis tematik digunakan untuk mengidentifikasi tema-tema kunci dari literatur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8"/>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ia bekerja lebih keras daripada rasul-rasul lainnya, namun dengan cepat mengoreksi bahwa itu pun bukan karena kekuatannya sendiri, melainkan kasih karunia Allah yang menyertainya. Hal ini menegaskan bahwa kasih karunia bukan hanya menjadi titik awal pelayanan, tetapi juga kekuatan yang menopang dan memampukan seorang pelayan untuk tetap setia dalam </w:t>
      </w:r>
      <w:r w:rsidRPr="00032F99">
        <w:rPr>
          <w:rFonts w:eastAsia="Times New Roman"/>
          <w:lang w:eastAsia="en-US"/>
        </w:rPr>
        <w:lastRenderedPageBreak/>
        <w:t>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Pemahaman yang mendalam mengenai kasih karunia akan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9"/>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Tuhan sebagaimana ditegaskan dalam 1 Korintus 15:10 menjadi fondasi utama pelayanan Kristen yang otentik dan transformatif. Rasul Paulus menyatakan bahwa apa pun yang telah ia capai dalam pelayanannya bukanlah karena kekuatannya sendiri, melainkan karena kasih karunia Allah yang menyertainya</w:t>
      </w:r>
      <w:r w:rsidRPr="00032F99">
        <w:rPr>
          <w:rFonts w:eastAsia="Times New Roman"/>
          <w:vertAlign w:val="superscript"/>
          <w:lang w:eastAsia="en-US"/>
        </w:rPr>
        <w:footnoteReference w:id="10"/>
      </w:r>
      <w:r w:rsidRPr="00032F99">
        <w:rPr>
          <w:rFonts w:eastAsia="Times New Roman"/>
          <w:lang w:eastAsia="en-US"/>
        </w:rPr>
        <w:t>. Pernyataan ini membalik paradigma pelayanan dari yang bersifat legalistik dan berbasis kinerja, menjadi pelayanan yang mengalir dari kesadaran akan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1"/>
      </w:r>
      <w:r w:rsidRPr="00032F99">
        <w:rPr>
          <w:rFonts w:eastAsia="Times New Roman"/>
          <w:lang w:eastAsia="en-US"/>
        </w:rPr>
        <w:t>. Pelayan yang memahami kasih karunia akan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Teori Kasih Karunia dalam Pelayanan</w:t>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Teori kasih karunia dalam pelayanan, sebagaimana dijelaskan oleh John Stott dalam karyanya The Cross of Christ, menempatkan salib sebagai pusat pemahaman tentang kasih </w:t>
      </w:r>
      <w:r w:rsidRPr="00032F99">
        <w:rPr>
          <w:rFonts w:eastAsia="Times New Roman"/>
          <w:lang w:eastAsia="en-US"/>
        </w:rPr>
        <w:lastRenderedPageBreak/>
        <w:t>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2"/>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3"/>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4"/>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Pentingnya self-care dalam pelayanan menjadi semakin relevan dalam konteks pelayanan modern yang penuh tuntutan dan tekanan. Saundra Dalton-Smith, menekankan bahwa pelayanan Kristen bukan hanya menuntut dedikasi dan komitmen tinggi, tetapi juga menuntut keseimbangan antara pengabdian kepada orang lain dan perhatian terhadap kesejahteraan diri sendiri</w:t>
      </w:r>
      <w:r w:rsidRPr="00032F99">
        <w:rPr>
          <w:rFonts w:eastAsia="Times New Roman"/>
          <w:vertAlign w:val="superscript"/>
          <w:lang w:eastAsia="en-US"/>
        </w:rPr>
        <w:footnoteReference w:id="15"/>
      </w:r>
      <w:r w:rsidRPr="00032F99">
        <w:rPr>
          <w:rFonts w:eastAsia="Times New Roman"/>
          <w:lang w:eastAsia="en-US"/>
        </w:rPr>
        <w:t xml:space="preserve">. Ia memperkenalkan konsep bahwa kelelahan bukan sekadar keletihan fisik, tetapi bisa mencakup kekosongan emosional, keletihan spiritual, dan </w:t>
      </w:r>
      <w:r w:rsidRPr="00032F99">
        <w:rPr>
          <w:rFonts w:eastAsia="Times New Roman"/>
          <w:lang w:eastAsia="en-US"/>
        </w:rPr>
        <w:lastRenderedPageBreak/>
        <w:t>hilangnya kapasitas untuk menikmati hidup serta relasi</w:t>
      </w:r>
      <w:r w:rsidRPr="00032F99">
        <w:rPr>
          <w:rFonts w:eastAsia="Times New Roman"/>
          <w:vertAlign w:val="superscript"/>
          <w:lang w:eastAsia="en-US"/>
        </w:rPr>
        <w:footnoteReference w:id="16"/>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Dalton-Smith mengidentifikasi tujuh jenis istirahat atau pemulihan yang krusial untuk kesehatan dan kelangsungan pelayanan: istirahat fisik, mental, emosional, sensorik, sosial, kreatif, dan spiritual</w:t>
      </w:r>
      <w:r w:rsidRPr="00032F99">
        <w:rPr>
          <w:rFonts w:eastAsia="Times New Roman"/>
          <w:vertAlign w:val="superscript"/>
          <w:lang w:eastAsia="en-US"/>
        </w:rPr>
        <w:footnoteReference w:id="17"/>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18"/>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akan lebih mampu memberikan pelayanan yang otentik, sabar, dan penuh empati kepada sesama.</w:t>
      </w:r>
      <w:r w:rsidRPr="00032F99">
        <w:rPr>
          <w:rFonts w:eastAsia="Times New Roman"/>
          <w:vertAlign w:val="superscript"/>
          <w:lang w:eastAsia="en-US"/>
        </w:rPr>
        <w:footnoteReference w:id="19"/>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0"/>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akan kasih karunia Allah yang mengizinkan umat-Nya untuk beristirahat dan dipulihkan. Dengan menerapkan prinsip-prinsip dari teori ini, pelayan dapat menjaga kesehatan emosional dan spiritualnya, yang pada gilirannya </w:t>
      </w:r>
      <w:r w:rsidRPr="00032F99">
        <w:rPr>
          <w:rFonts w:eastAsia="Times New Roman"/>
          <w:lang w:eastAsia="en-US"/>
        </w:rPr>
        <w:lastRenderedPageBreak/>
        <w:t>berdampak positif terhadap efektivitas pelayanan mereka</w:t>
      </w:r>
      <w:r w:rsidRPr="00032F99">
        <w:rPr>
          <w:rFonts w:eastAsia="Times New Roman"/>
          <w:vertAlign w:val="superscript"/>
          <w:lang w:eastAsia="en-US"/>
        </w:rPr>
        <w:footnoteReference w:id="21"/>
      </w:r>
      <w:r w:rsidRPr="00032F99">
        <w:rPr>
          <w:rFonts w:eastAsia="Times New Roman"/>
          <w:lang w:eastAsia="en-US"/>
        </w:rPr>
        <w:t>. Pelayan yang merawat dirinya dengan baik akan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mereka menjadi sangat rentan terhadap burnout. Christina Maslach dan Michael Leiter dalam The Truth About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2"/>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3"/>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w:t>
      </w:r>
      <w:r w:rsidRPr="00032F99">
        <w:rPr>
          <w:rFonts w:eastAsia="Times New Roman"/>
          <w:lang w:eastAsia="en-US"/>
        </w:rPr>
        <w:lastRenderedPageBreak/>
        <w:t>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4"/>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Integrasi Kasih Karunia dan Self-Care dalam Pelayanan</w:t>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Dalam eksposisi 1 Korintus 15:3–10,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5"/>
      </w:r>
      <w:r w:rsidRPr="00032F99">
        <w:rPr>
          <w:rFonts w:eastAsia="Times New Roman"/>
          <w:lang w:eastAsia="en-US"/>
        </w:rPr>
        <w:t xml:space="preserve"> Pemahaman yang tepat akan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Kasih karunia seharusnya tidak hanya mendorong semangat dalam melayani, tetapi juga memerdekakan pelayan untuk mengakui kebutuhan mereka akan perawatan pribadi.</w:t>
      </w:r>
      <w:r w:rsidRPr="00032F99">
        <w:rPr>
          <w:rFonts w:eastAsia="Times New Roman"/>
          <w:vertAlign w:val="superscript"/>
          <w:lang w:eastAsia="en-US"/>
        </w:rPr>
        <w:footnoteReference w:id="26"/>
      </w:r>
      <w:r w:rsidRPr="00032F99">
        <w:rPr>
          <w:rFonts w:eastAsia="Times New Roman"/>
          <w:lang w:eastAsia="en-US"/>
        </w:rPr>
        <w:t xml:space="preserve"> Konsep </w:t>
      </w:r>
      <w:r w:rsidRPr="00032F99">
        <w:rPr>
          <w:rFonts w:eastAsia="Times New Roman"/>
          <w:i/>
          <w:iCs/>
          <w:lang w:eastAsia="en-US"/>
        </w:rPr>
        <w:t xml:space="preserve">self-care </w:t>
      </w:r>
      <w:r w:rsidRPr="00032F99">
        <w:rPr>
          <w:rFonts w:eastAsia="Times New Roman"/>
          <w:lang w:eastAsia="en-US"/>
        </w:rPr>
        <w:t xml:space="preserve">dalam terang kasih karunia bukanlah tindakan egoistik, melainkan bentuk tanggung jawab spiritual terhadap tubuh sebagai bait Roh Kudus (1 Kor. 6:19–20).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Integrasi ini membentuk paradigma baru dalam pastoral konseling dan pelayanan misi: pelayan yang melayani bukan dari kekosongan, tetapi dari kelimpahan kasih karunia 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lastRenderedPageBreak/>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ia juga akan memahami bahwa menjaga dirinya, tubuh, jiwa, dan roh adalah bagian dari tanggung jawab spiritual</w:t>
      </w:r>
      <w:r w:rsidRPr="00032F99">
        <w:rPr>
          <w:rFonts w:eastAsia="Times New Roman"/>
          <w:vertAlign w:val="superscript"/>
          <w:lang w:eastAsia="en-US"/>
        </w:rPr>
        <w:footnoteReference w:id="27"/>
      </w:r>
      <w:r w:rsidRPr="00032F99">
        <w:rPr>
          <w:rFonts w:eastAsia="Times New Roman"/>
          <w:lang w:eastAsia="en-US"/>
        </w:rPr>
        <w:t>. Merawat diri bukan berarti mengurangi semangat dalam pelayanan, tetapi justru menunjukkan kesadaran akan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akan istirahat dan pemulihan</w:t>
      </w:r>
      <w:r w:rsidRPr="00032F99">
        <w:rPr>
          <w:rFonts w:eastAsia="Times New Roman"/>
          <w:vertAlign w:val="superscript"/>
          <w:lang w:eastAsia="en-US"/>
        </w:rPr>
        <w:footnoteReference w:id="28"/>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29"/>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akan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akan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0"/>
      </w:r>
      <w:r w:rsidRPr="00032F99">
        <w:rPr>
          <w:rFonts w:eastAsia="Times New Roman"/>
          <w:lang w:eastAsia="en-US"/>
        </w:rPr>
        <w:t>. Dengan demikian, pelayanan tidak dipandang semata-mata sebagai aktivitas kerja keras tanpa batas, tetapi sebagai pengabdian yang sadar akan keterbatasan manusia dan kebutuhan akan pemulihan secara berkala. Pemahaman yang mendalam tentang kasih karunia menuntun pelayan untuk melayani dengan rendah hati, bersandar pada kekuatan Tuhan, serta menjaga keseimbangan 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lastRenderedPageBreak/>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1"/>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akan pemulihan fisik, emosional, dan spiritual. Konselor pastoral dapat membantu mereka memahami bahwa kebutuhan akan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lain dan memelihara kehidupan pribadi secara holistik. Pelayanan yang berakar pada kasih karunia Tuhan akan mengarahkan pelayan untuk bekerja bukan demi pembuktian diri, tetapi </w:t>
      </w:r>
      <w:r w:rsidRPr="00032F99">
        <w:rPr>
          <w:rFonts w:eastAsia="Times New Roman"/>
          <w:lang w:eastAsia="en-US"/>
        </w:rPr>
        <w:lastRenderedPageBreak/>
        <w:t>sebagai respons syukur kepada Allah</w:t>
      </w:r>
      <w:r w:rsidRPr="00032F99">
        <w:rPr>
          <w:rFonts w:eastAsia="Times New Roman"/>
          <w:vertAlign w:val="superscript"/>
          <w:lang w:eastAsia="en-US"/>
        </w:rPr>
        <w:footnoteReference w:id="32"/>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3"/>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4"/>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5"/>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r w:rsidRPr="00032F99">
        <w:rPr>
          <w:rFonts w:eastAsia="Times New Roman"/>
          <w:b/>
          <w:lang w:val="id-ID" w:eastAsia="en-ID"/>
        </w:rPr>
        <w:t>KE</w:t>
      </w:r>
      <w:r w:rsidRPr="00032F99">
        <w:rPr>
          <w:rFonts w:eastAsia="Times New Roman"/>
          <w:b/>
          <w:color w:val="000000"/>
          <w:lang w:val="id-ID" w:eastAsia="en-ID"/>
        </w:rPr>
        <w:t>SIMPULAN</w:t>
      </w:r>
    </w:p>
    <w:p w14:paraId="69E4EF38" w14:textId="4635A6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Kasih karunia merupakan fondasi utama dalam pelayanan Kristen sebagaimana diajarkan dalam 1 Korintus 15:3–10. Kasih karunia bukan hanya memampukan seseorang untuk melayani, tetapi juga menjadi kekuatan yang menopang komitmen pelayanan dalam menghadapi tekanan, kelelahan, dan berbagai tantangan. Namun demikian, pelayanan yang berakar pada kasih karunia tidak dapat dipisahkan dari perhatian terhadap </w:t>
      </w:r>
      <w:r w:rsidRPr="00032F99">
        <w:rPr>
          <w:rFonts w:eastAsia="Times New Roman"/>
          <w:i/>
          <w:iCs/>
          <w:lang w:eastAsia="en-US"/>
        </w:rPr>
        <w:t>self-care</w:t>
      </w:r>
      <w:r w:rsidRPr="00032F99">
        <w:rPr>
          <w:rFonts w:eastAsia="Times New Roman"/>
          <w:lang w:eastAsia="en-US"/>
        </w:rPr>
        <w:t xml:space="preserve">. Pelayan </w:t>
      </w:r>
      <w:r w:rsidRPr="00032F99">
        <w:rPr>
          <w:rFonts w:eastAsia="Times New Roman"/>
          <w:lang w:eastAsia="en-US"/>
        </w:rPr>
        <w:lastRenderedPageBreak/>
        <w:t xml:space="preserve">yang mengabaikan kesehatan fisik, emosional, dan spiritual berisiko mengalami </w:t>
      </w:r>
      <w:r w:rsidRPr="00032F99">
        <w:rPr>
          <w:rFonts w:eastAsia="Times New Roman"/>
          <w:i/>
          <w:iCs/>
          <w:lang w:eastAsia="en-US"/>
        </w:rPr>
        <w:t>burnout</w:t>
      </w:r>
      <w:r w:rsidRPr="00032F99">
        <w:rPr>
          <w:rFonts w:eastAsia="Times New Roman"/>
          <w:lang w:eastAsia="en-US"/>
        </w:rPr>
        <w:t>, yang pada akhirnya menghambat efektivitas dan kontinuitas pelayanan.</w:t>
      </w:r>
    </w:p>
    <w:p w14:paraId="0EBA195A"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Melalui pendekatan pastoral konseling, penelitian ini menyoroti pentingnya </w:t>
      </w:r>
      <w:r w:rsidRPr="00032F99">
        <w:rPr>
          <w:rFonts w:eastAsia="Times New Roman"/>
          <w:i/>
          <w:iCs/>
          <w:lang w:eastAsia="en-US"/>
        </w:rPr>
        <w:t>self-care</w:t>
      </w:r>
      <w:r w:rsidRPr="00032F99">
        <w:rPr>
          <w:rFonts w:eastAsia="Times New Roman"/>
          <w:lang w:eastAsia="en-US"/>
        </w:rPr>
        <w:t xml:space="preserve"> sebagai bagian integral dari panggilan pelayanan. </w:t>
      </w:r>
      <w:r w:rsidRPr="00032F99">
        <w:rPr>
          <w:rFonts w:eastAsia="Times New Roman"/>
          <w:i/>
          <w:iCs/>
          <w:lang w:eastAsia="en-US"/>
        </w:rPr>
        <w:t>Self-care</w:t>
      </w:r>
      <w:r w:rsidRPr="00032F99">
        <w:rPr>
          <w:rFonts w:eastAsia="Times New Roman"/>
          <w:lang w:eastAsia="en-US"/>
        </w:rPr>
        <w:t xml:space="preserve"> bukanlah bentuk pengabaian terhadap tugas rohani, melainkan ekspresi ketaatan kepada Tuhan yang menciptakan manusia dengan kebutuhan akan pemulihan. Integrasi antara kasih karunia dan </w:t>
      </w:r>
      <w:r w:rsidRPr="00032F99">
        <w:rPr>
          <w:rFonts w:eastAsia="Times New Roman"/>
          <w:i/>
          <w:iCs/>
          <w:lang w:eastAsia="en-US"/>
        </w:rPr>
        <w:t>self-care</w:t>
      </w:r>
      <w:r w:rsidRPr="00032F99">
        <w:rPr>
          <w:rFonts w:eastAsia="Times New Roman"/>
          <w:lang w:eastAsia="en-US"/>
        </w:rPr>
        <w:t xml:space="preserve"> menciptakan paradigma pelayanan yang seimbang, sehat, dan berkelanjutan. Dalam konteks ini, pastoral konseling berperan penting dalam membimbing pelayan untuk mengenali batas pribadi, menetapkan ritme hidup yang sehat, serta membangun komitmen yang tidak terbebani oleh tuntutan kinerja semata.</w:t>
      </w:r>
    </w:p>
    <w:p w14:paraId="135ABFC8" w14:textId="0A7EDF37" w:rsidR="00C30472" w:rsidRPr="00032F99" w:rsidRDefault="00032F99" w:rsidP="00032F99">
      <w:pPr>
        <w:spacing w:line="360" w:lineRule="auto"/>
        <w:jc w:val="both"/>
        <w:rPr>
          <w:rFonts w:eastAsia="Times New Roman"/>
          <w:lang w:eastAsia="en-US"/>
        </w:rPr>
      </w:pPr>
      <w:r w:rsidRPr="00032F99">
        <w:rPr>
          <w:rFonts w:eastAsia="Times New Roman"/>
          <w:lang w:eastAsia="en-US"/>
        </w:rPr>
        <w:t xml:space="preserve">        Pelayanan Kristen yang efektif dan tahan uji harus berdiri di atas pemahaman mendalam tentang kasih karunia dan diiringi dengan praktik </w:t>
      </w:r>
      <w:r w:rsidRPr="00032F99">
        <w:rPr>
          <w:rFonts w:eastAsia="Times New Roman"/>
          <w:i/>
          <w:iCs/>
          <w:lang w:eastAsia="en-US"/>
        </w:rPr>
        <w:t>self-care</w:t>
      </w:r>
      <w:r w:rsidRPr="00032F99">
        <w:rPr>
          <w:rFonts w:eastAsia="Times New Roman"/>
          <w:lang w:eastAsia="en-US"/>
        </w:rPr>
        <w:t xml:space="preserve"> yang konsisten. Gereja dan lembaga pelayanan perlu menciptakan budaya yang mendukung kesejahteraan para pelayan, bukan hanya dari segi hasil pelayanan, tetapi juga kualitas kehidupan pelayan itu sendiri. Pelayanan yang berkelanjutan dan berdampak hanya dapat tercapai apabila pelayan hidup dalam keseimbangan antara pengabdian kepada Tuhan dan pemeliharaan diri sebagai wujud penghormatan terhadap anugerah hidup yang telah Tuhan berikan</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1832D4CC" w14:textId="667D4583" w:rsidR="00032F99" w:rsidRPr="00032F99" w:rsidRDefault="00032F99" w:rsidP="00032F99">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Pr="00032F99">
        <w:rPr>
          <w:noProof/>
        </w:rPr>
        <w:t xml:space="preserve">Barclay, John M G. </w:t>
      </w:r>
      <w:r w:rsidRPr="00032F99">
        <w:rPr>
          <w:i/>
          <w:iCs/>
          <w:noProof/>
        </w:rPr>
        <w:t>Paul and the Power of Grace</w:t>
      </w:r>
      <w:r w:rsidRPr="00032F99">
        <w:rPr>
          <w:noProof/>
        </w:rPr>
        <w:t>. Wm. B. Eerdmans Publishing, 2020.</w:t>
      </w:r>
    </w:p>
    <w:p w14:paraId="711A445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Bressi, Sara K, and Elizabeth R Vaden. “Reconsidering Self Care.” </w:t>
      </w:r>
      <w:r w:rsidRPr="00032F99">
        <w:rPr>
          <w:i/>
          <w:iCs/>
          <w:noProof/>
        </w:rPr>
        <w:t>Clinical Social Work Journal</w:t>
      </w:r>
      <w:r w:rsidRPr="00032F99">
        <w:rPr>
          <w:noProof/>
        </w:rPr>
        <w:t xml:space="preserve"> 45, no. 1 (2017): 33–38.</w:t>
      </w:r>
    </w:p>
    <w:p w14:paraId="17BC9A38"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Dalton-Smith, Saundra. </w:t>
      </w:r>
      <w:r w:rsidRPr="00032F99">
        <w:rPr>
          <w:i/>
          <w:iCs/>
          <w:noProof/>
        </w:rPr>
        <w:t>Sacred Rest: Recover Your Life, Renew Your Energy, Restore Your Sanity</w:t>
      </w:r>
      <w:r w:rsidRPr="00032F99">
        <w:rPr>
          <w:noProof/>
        </w:rPr>
        <w:t>. FaithWords, 2017.</w:t>
      </w:r>
    </w:p>
    <w:p w14:paraId="39751D4D"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Dunbar, Scott, Thomas Frederick, Yvonne Thai, and John Gill. “Calling, Caring, and Connecting: Burnout in Christian Ministry.” </w:t>
      </w:r>
      <w:r w:rsidRPr="00032F99">
        <w:rPr>
          <w:i/>
          <w:iCs/>
          <w:noProof/>
        </w:rPr>
        <w:t>Mental Health, Religion &amp; Culture</w:t>
      </w:r>
      <w:r w:rsidRPr="00032F99">
        <w:rPr>
          <w:noProof/>
        </w:rPr>
        <w:t xml:space="preserve"> 23, no. 2 (2020): 173–86. https://doi.org/https://doi.org/10.1080/13674676.2020.1744548.</w:t>
      </w:r>
    </w:p>
    <w:p w14:paraId="5CF1ED5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Edison, B G. </w:t>
      </w:r>
      <w:r w:rsidRPr="00032F99">
        <w:rPr>
          <w:i/>
          <w:iCs/>
          <w:noProof/>
        </w:rPr>
        <w:t>Self-Care: The Need and A Model: A Theological and Scriptural Framework</w:t>
      </w:r>
      <w:r w:rsidRPr="00032F99">
        <w:rPr>
          <w:noProof/>
        </w:rPr>
        <w:t>. WestBow Press, 2023.</w:t>
      </w:r>
    </w:p>
    <w:p w14:paraId="482AD854"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Hester, Jackson Andrew. “Stress and Longevity in Pastoral Ministry: A Phenomenological Study,” 2018.</w:t>
      </w:r>
    </w:p>
    <w:p w14:paraId="2EB9F16C"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Jones, Pamela D, and Pamela A Gordon. “Divine Calling: Qualitative Case Concerning Job Burnout Dilemma for Pastors.” </w:t>
      </w:r>
      <w:r w:rsidRPr="00032F99">
        <w:rPr>
          <w:i/>
          <w:iCs/>
          <w:noProof/>
        </w:rPr>
        <w:t>Pastoral Psychology</w:t>
      </w:r>
      <w:r w:rsidRPr="00032F99">
        <w:rPr>
          <w:noProof/>
        </w:rPr>
        <w:t xml:space="preserve"> 72, no. 2 (2023): 277–88.</w:t>
      </w:r>
    </w:p>
    <w:p w14:paraId="2E6F8D15"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Keller, Timothy. </w:t>
      </w:r>
      <w:r w:rsidRPr="00032F99">
        <w:rPr>
          <w:i/>
          <w:iCs/>
          <w:noProof/>
        </w:rPr>
        <w:t>Ministries of Mercy: Learning to Care Like Jesus</w:t>
      </w:r>
      <w:r w:rsidRPr="00032F99">
        <w:rPr>
          <w:noProof/>
        </w:rPr>
        <w:t>. SPCK, 2017.</w:t>
      </w:r>
    </w:p>
    <w:p w14:paraId="08843819"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lastRenderedPageBreak/>
        <w:t xml:space="preserve">Maslach, Christina, and Michael P Leiter. </w:t>
      </w:r>
      <w:r w:rsidRPr="00032F99">
        <w:rPr>
          <w:i/>
          <w:iCs/>
          <w:noProof/>
        </w:rPr>
        <w:t>The Truth about Burnout: How Organizations Cause Personal Stress and What to Do about It</w:t>
      </w:r>
      <w:r w:rsidRPr="00032F99">
        <w:rPr>
          <w:noProof/>
        </w:rPr>
        <w:t>. John Wiley &amp; Sons, 2000.</w:t>
      </w:r>
    </w:p>
    <w:p w14:paraId="5368C5E9"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Mudak, Sherly. </w:t>
      </w:r>
      <w:r w:rsidRPr="00032F99">
        <w:rPr>
          <w:i/>
          <w:iCs/>
          <w:noProof/>
        </w:rPr>
        <w:t>Konseling Kristen: Pendekatan Integratif</w:t>
      </w:r>
      <w:r w:rsidRPr="00032F99">
        <w:rPr>
          <w:noProof/>
        </w:rPr>
        <w:t>. Yogyakarta: Jejak Pustaka, 2024.</w:t>
      </w:r>
    </w:p>
    <w:p w14:paraId="757D69A3"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Mudak, Sherly, and Debora Inda Violita Praing. “Komitmen Pada Panggilan Kristus: Integrasi Filipi 3: 13-14 Dengan Goal Commitment Theory.” </w:t>
      </w:r>
      <w:r w:rsidRPr="00032F99">
        <w:rPr>
          <w:i/>
          <w:iCs/>
          <w:noProof/>
        </w:rPr>
        <w:t>Vox Dei: Jurnal Teologi Dan Pastoral</w:t>
      </w:r>
      <w:r w:rsidRPr="00032F99">
        <w:rPr>
          <w:noProof/>
        </w:rPr>
        <w:t xml:space="preserve"> 5, no. 2 (2024).</w:t>
      </w:r>
    </w:p>
    <w:p w14:paraId="674A84EE"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Poppa, Kristen. “Self-Care Is Soul Care.” </w:t>
      </w:r>
      <w:r w:rsidRPr="00032F99">
        <w:rPr>
          <w:i/>
          <w:iCs/>
          <w:noProof/>
        </w:rPr>
        <w:t>Journal of Spiritual Formation and Soul Care</w:t>
      </w:r>
      <w:r w:rsidRPr="00032F99">
        <w:rPr>
          <w:noProof/>
        </w:rPr>
        <w:t xml:space="preserve"> 12, no. 1 (2019): 50–70. https://doi.org/https://doi.org/10.1177/193979091879563.</w:t>
      </w:r>
    </w:p>
    <w:p w14:paraId="30DA7BE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Posluns, Kirsten, and Terry Lynn Gall. “Dear Mental Health Practitioners, Take Care of Yourselves: A Literature Review on Self-Care.” </w:t>
      </w:r>
      <w:r w:rsidRPr="00032F99">
        <w:rPr>
          <w:i/>
          <w:iCs/>
          <w:noProof/>
        </w:rPr>
        <w:t>International Journal for the Advancement of Counselling</w:t>
      </w:r>
      <w:r w:rsidRPr="00032F99">
        <w:rPr>
          <w:noProof/>
        </w:rPr>
        <w:t xml:space="preserve"> 42, no. 1 (2020): 1–20.</w:t>
      </w:r>
    </w:p>
    <w:p w14:paraId="48CFED70"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Prinsloo, C R. “An Investigation into the Causes and Cures of Pastoral Burnout within the Church of the Nazarene in the Western Cape District,” 2016.</w:t>
      </w:r>
    </w:p>
    <w:p w14:paraId="6BD4B515"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Rusmanto, Ayub, Kerin Rajagukguk, and Sriwahyuni Sriwahyuni. “Persepsi Mengucap Syukur Atas Kasih Karunia Allah Berdasarkan Teks 1 Korintus 1: 4-9.” </w:t>
      </w:r>
      <w:r w:rsidRPr="00032F99">
        <w:rPr>
          <w:i/>
          <w:iCs/>
          <w:noProof/>
        </w:rPr>
        <w:t>Veritas Lux Mea (Jurnal Teologi Dan Pendidikan Kristen)</w:t>
      </w:r>
      <w:r w:rsidRPr="00032F99">
        <w:rPr>
          <w:noProof/>
        </w:rPr>
        <w:t xml:space="preserve"> 5, no. 1 (2023): 39–51. https://doi.org/https://doi.org/10.59177/veritas.v5i1.197.</w:t>
      </w:r>
    </w:p>
    <w:p w14:paraId="5A33C6D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Samushonga, Hartness M. “Distinguishing between the Pastor and the Superhero: God on Burnout and Self-Care.” </w:t>
      </w:r>
      <w:r w:rsidRPr="00032F99">
        <w:rPr>
          <w:i/>
          <w:iCs/>
          <w:noProof/>
        </w:rPr>
        <w:t>Journal of Pastoral Theology</w:t>
      </w:r>
      <w:r w:rsidRPr="00032F99">
        <w:rPr>
          <w:noProof/>
        </w:rPr>
        <w:t xml:space="preserve"> 31, no. 1 (2021): 4–19. https://doi.org/https://doi.org/10.1080/10649867.2020.1748919.</w:t>
      </w:r>
    </w:p>
    <w:p w14:paraId="0F5FE247"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Scazzero, Peter. </w:t>
      </w:r>
      <w:r w:rsidRPr="00032F99">
        <w:rPr>
          <w:i/>
          <w:iCs/>
          <w:noProof/>
        </w:rPr>
        <w:t>Emotionally Healthy Spirituality: Spiritualitas Yang Sehat Secara Emosi</w:t>
      </w:r>
      <w:r w:rsidRPr="00032F99">
        <w:rPr>
          <w:noProof/>
        </w:rPr>
        <w:t>. Literatur Perkantas Jatim, 2020.</w:t>
      </w:r>
    </w:p>
    <w:p w14:paraId="6C786BCC"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Sihombing, Warseto Freddy, Icca Berutu, Ester Novita Lumban Gaol, and Betty Putri Irene Hulu. “Hidup Dalam Kasih Karunia Allah: Masa Lalu versus Masa Sekarang (Efesus 2: 1-10).” </w:t>
      </w:r>
      <w:r w:rsidRPr="00032F99">
        <w:rPr>
          <w:i/>
          <w:iCs/>
          <w:noProof/>
        </w:rPr>
        <w:t>Tumou Tou</w:t>
      </w:r>
      <w:r w:rsidRPr="00032F99">
        <w:rPr>
          <w:noProof/>
        </w:rPr>
        <w:t xml:space="preserve"> 10, no. 1 (2023): 1–10.</w:t>
      </w:r>
    </w:p>
    <w:p w14:paraId="62CC5F2D"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Spurlock, Rachel. “Self-Care: A Stewardship Perspective.” </w:t>
      </w:r>
      <w:r w:rsidRPr="00032F99">
        <w:rPr>
          <w:i/>
          <w:iCs/>
          <w:noProof/>
        </w:rPr>
        <w:t>Journal of Christian Nursing</w:t>
      </w:r>
      <w:r w:rsidRPr="00032F99">
        <w:rPr>
          <w:noProof/>
        </w:rPr>
        <w:t xml:space="preserve"> 38, no. 2 (2021): 98–101.</w:t>
      </w:r>
    </w:p>
    <w:p w14:paraId="556C3B1B"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Stott, John. </w:t>
      </w:r>
      <w:r w:rsidRPr="00032F99">
        <w:rPr>
          <w:i/>
          <w:iCs/>
          <w:noProof/>
        </w:rPr>
        <w:t>The Cross of Christ</w:t>
      </w:r>
      <w:r w:rsidRPr="00032F99">
        <w:rPr>
          <w:noProof/>
        </w:rPr>
        <w:t>. InterVarsity Press, 2021.</w:t>
      </w:r>
    </w:p>
    <w:p w14:paraId="34245B04"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Sulastio, Hari. “Keselamatan Karena Kasih Karunia Menurut Efesus 2: 1-10.” </w:t>
      </w:r>
      <w:r w:rsidRPr="00032F99">
        <w:rPr>
          <w:i/>
          <w:iCs/>
          <w:noProof/>
        </w:rPr>
        <w:t>Jurnal Antusias</w:t>
      </w:r>
      <w:r w:rsidRPr="00032F99">
        <w:rPr>
          <w:noProof/>
        </w:rPr>
        <w:t xml:space="preserve"> 6, no. 1 (2020): 62–75.</w:t>
      </w:r>
    </w:p>
    <w:p w14:paraId="71C48AFB"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AE3DC" w14:textId="77777777" w:rsidR="002A218E" w:rsidRDefault="002A218E">
      <w:r>
        <w:separator/>
      </w:r>
    </w:p>
  </w:endnote>
  <w:endnote w:type="continuationSeparator" w:id="0">
    <w:p w14:paraId="778F459D" w14:textId="77777777" w:rsidR="002A218E" w:rsidRDefault="002A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A652153-ED65-4AF1-8C6B-6301C4B2086A}"/>
    <w:embedBold r:id="rId2" w:fontKey="{F8F44F48-5723-4535-B02B-F1633CB95F24}"/>
  </w:font>
  <w:font w:name="Calibri">
    <w:panose1 w:val="020F0502020204030204"/>
    <w:charset w:val="00"/>
    <w:family w:val="swiss"/>
    <w:pitch w:val="variable"/>
    <w:sig w:usb0="E4002EFF" w:usb1="C000247B" w:usb2="00000009" w:usb3="00000000" w:csb0="000001FF" w:csb1="00000000"/>
    <w:embedRegular r:id="rId3" w:fontKey="{61657028-7DD9-4F02-BB83-7DFD1AE9B1D4}"/>
    <w:embedBold r:id="rId4" w:fontKey="{FE2FD07F-EADB-4DC4-9D72-AFF0266613F3}"/>
  </w:font>
  <w:font w:name="Calisto MT">
    <w:panose1 w:val="02040603050505030304"/>
    <w:charset w:val="00"/>
    <w:family w:val="roman"/>
    <w:pitch w:val="variable"/>
    <w:sig w:usb0="00000003" w:usb1="00000000" w:usb2="00000000" w:usb3="00000000" w:csb0="00000001" w:csb1="00000000"/>
    <w:embedRegular r:id="rId5" w:fontKey="{42431116-1628-48F0-99E1-69729A3D2F06}"/>
    <w:embedBold r:id="rId6" w:fontKey="{6500C411-E1F7-46A6-8F1A-84D9B4362CA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2D8D929A-42A6-494E-8E80-45CD17107E1A}"/>
    <w:embedItalic r:id="rId8" w:fontKey="{2092E315-F225-4EDB-8510-930BE19B8651}"/>
  </w:font>
  <w:font w:name="Lustria">
    <w:altName w:val="Cambria"/>
    <w:charset w:val="00"/>
    <w:family w:val="auto"/>
    <w:pitch w:val="default"/>
    <w:embedRegular r:id="rId9" w:fontKey="{DD572A85-9F97-4FE6-9192-DC38B00B6F8D}"/>
    <w:embedBold r:id="rId10" w:fontKey="{3AB94D67-C0B7-43D8-A5B8-835CD9A5AA20}"/>
    <w:embedItalic r:id="rId11" w:fontKey="{BD8A7A91-5696-43D5-8140-91B4A245D543}"/>
  </w:font>
  <w:font w:name="EB Garamond">
    <w:altName w:val="Calibri"/>
    <w:charset w:val="00"/>
    <w:family w:val="auto"/>
    <w:pitch w:val="variable"/>
    <w:sig w:usb0="E00002FF" w:usb1="02000413" w:usb2="00000000" w:usb3="00000000" w:csb0="0000019F" w:csb1="00000000"/>
    <w:embedRegular r:id="rId12" w:fontKey="{88A5C717-7B2D-4C74-B5E0-3066C4B8E9F3}"/>
  </w:font>
  <w:font w:name="Garamond">
    <w:panose1 w:val="02020404030301010803"/>
    <w:charset w:val="00"/>
    <w:family w:val="roman"/>
    <w:pitch w:val="variable"/>
    <w:sig w:usb0="00000287" w:usb1="00000000" w:usb2="00000000" w:usb3="00000000" w:csb0="0000009F" w:csb1="00000000"/>
    <w:embedRegular r:id="rId13" w:fontKey="{9C4B37EE-DAD0-4A5D-A975-1C78F3D14B0F}"/>
  </w:font>
  <w:font w:name="Cambria">
    <w:panose1 w:val="02040503050406030204"/>
    <w:charset w:val="00"/>
    <w:family w:val="roman"/>
    <w:pitch w:val="variable"/>
    <w:sig w:usb0="E00006FF" w:usb1="420024FF" w:usb2="02000000" w:usb3="00000000" w:csb0="0000019F" w:csb1="00000000"/>
    <w:embedRegular r:id="rId14" w:fontKey="{D3797A3D-C283-4C24-B0B6-8C06B048FB62}"/>
    <w:embedBoldItalic r:id="rId15" w:fontKey="{9293B468-C5B7-4E4D-8666-6CECB6D69195}"/>
  </w:font>
  <w:font w:name="Corben">
    <w:charset w:val="00"/>
    <w:family w:val="auto"/>
    <w:pitch w:val="default"/>
    <w:embedRegular r:id="rId16" w:fontKey="{D25F19BB-903A-4C7A-BCF8-51791ABE4B95}"/>
  </w:font>
  <w:font w:name="Verdana">
    <w:panose1 w:val="020B0604030504040204"/>
    <w:charset w:val="00"/>
    <w:family w:val="swiss"/>
    <w:pitch w:val="variable"/>
    <w:sig w:usb0="A00006FF" w:usb1="4000205B" w:usb2="00000010" w:usb3="00000000" w:csb0="0000019F" w:csb1="00000000"/>
    <w:embedRegular r:id="rId17" w:fontKey="{B43FC45C-6F8B-48BD-B37F-1F9646664693}"/>
    <w:embedBold r:id="rId18" w:fontKey="{93FC0223-3A0E-4486-B1AA-9BE89E005C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D8D5" w14:textId="77777777" w:rsidR="002A218E" w:rsidRDefault="002A218E">
      <w:r>
        <w:separator/>
      </w:r>
    </w:p>
  </w:footnote>
  <w:footnote w:type="continuationSeparator" w:id="0">
    <w:p w14:paraId="025B5A09" w14:textId="77777777" w:rsidR="002A218E" w:rsidRDefault="002A218E">
      <w:r>
        <w:continuationSeparator/>
      </w:r>
    </w:p>
  </w:footnote>
  <w:footnote w:id="1">
    <w:p w14:paraId="440C5974"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75A7D3DB" w14:textId="43DC0F8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2020)."},"properties":{"noteIndex":8},"schema":"https://github.com/citation-style-language/schema/raw/master/csl-citation.json"}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9">
    <w:p w14:paraId="42776F9F" w14:textId="2FECDBA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4-9.”"},"properties":{"noteIndex":9},"schema":"https://github.com/citation-style-language/schema/raw/master/csl-citation.json"}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0">
    <w:p w14:paraId="7B01F25C" w14:textId="7189726C"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Grace&lt;/i&gt;."},"properties":{"noteIndex":10},"schema":"https://github.com/citation-style-language/schema/raw/master/csl-citation.json"}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1">
    <w:p w14:paraId="14BBBE31" w14:textId="09E2CEC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(2024)."},"properties":{"noteIndex":11},"schema":"https://github.com/citation-style-language/schema/raw/master/csl-citation.json"}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2">
    <w:p w14:paraId="017C2091" w14:textId="6762A26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2021)."},"properties":{"noteIndex":12},"schema":"https://github.com/citation-style-language/schema/raw/master/csl-citation.json"}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3">
    <w:p w14:paraId="11FA0816" w14:textId="0E919B8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102.","plainTextFormattedCitation":"Stott.","previouslyFormattedCitation":"Stott."},"properties":{"noteIndex":13},"schema":"https://github.com/citation-style-language/schema/raw/master/csl-citation.json"}</w:instrText>
      </w:r>
      <w:r w:rsidRPr="004F61FD">
        <w:fldChar w:fldCharType="separate"/>
      </w:r>
      <w:r w:rsidRPr="004F61FD">
        <w:rPr>
          <w:noProof/>
        </w:rPr>
        <w:t>Stott, 102.</w:t>
      </w:r>
      <w:r w:rsidRPr="004F61FD">
        <w:fldChar w:fldCharType="end"/>
      </w:r>
    </w:p>
  </w:footnote>
  <w:footnote w:id="14">
    <w:p w14:paraId="4014EA51" w14:textId="4C66DE4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5">
    <w:p w14:paraId="7D6DFED9" w14:textId="1AC0D5DD"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Sanity&lt;/i&gt;."},"properties":{"noteIndex":15},"schema":"https://github.com/citation-style-language/schema/raw/master/csl-citation.json"}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6">
    <w:p w14:paraId="7FD6D60C" w14:textId="2F83463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75.","plainTextFormattedCitation":"Dalton-Smith.","previouslyFormattedCitation":"Dalton-Smith."},"properties":{"noteIndex":16},"schema":"https://github.com/citation-style-language/schema/raw/master/csl-citation.json"}</w:instrText>
      </w:r>
      <w:r w:rsidRPr="004F61FD">
        <w:fldChar w:fldCharType="separate"/>
      </w:r>
      <w:r w:rsidRPr="004F61FD">
        <w:rPr>
          <w:noProof/>
        </w:rPr>
        <w:t>Dalton-Smith, 75.</w:t>
      </w:r>
      <w:r w:rsidRPr="004F61FD">
        <w:fldChar w:fldCharType="end"/>
      </w:r>
    </w:p>
  </w:footnote>
  <w:footnote w:id="17">
    <w:p w14:paraId="6FDE7714" w14:textId="5400D9E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17},"schema":"https://github.com/citation-style-language/schema/raw/master/csl-citation.json"}</w:instrText>
      </w:r>
      <w:r w:rsidRPr="004F61FD">
        <w:fldChar w:fldCharType="separate"/>
      </w:r>
      <w:r w:rsidRPr="004F61FD">
        <w:rPr>
          <w:noProof/>
        </w:rPr>
        <w:t>Dalton-Smith,75-76.</w:t>
      </w:r>
      <w:r w:rsidRPr="004F61FD">
        <w:fldChar w:fldCharType="end"/>
      </w:r>
    </w:p>
  </w:footnote>
  <w:footnote w:id="18">
    <w:p w14:paraId="448B29AF" w14:textId="5744951B"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https://doi.org/https://doi.org/10.1080/10649867.2020.1748919."},"properties":{"noteIndex":18},"schema":"https://github.com/citation-style-language/schema/raw/master/csl-citation.json"}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19">
    <w:p w14:paraId="29CAFC50" w14:textId="2B14079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https://doi.org/https://doi.org/10.1177/193979091879563."},"properties":{"noteIndex":19},"schema":"https://github.com/citation-style-language/schema/raw/master/csl-citation.json"}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0">
    <w:p w14:paraId="6B3E4574" w14:textId="580CC3BD"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98–101."},"properties":{"noteIndex":20},"schema":"https://github.com/citation-style-language/schema/raw/master/csl-citation.json"}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1">
    <w:p w14:paraId="4EFB5C6A" w14:textId="573A410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Sanity&lt;/i&gt;."},"properties":{"noteIndex":21},"schema":"https://github.com/citation-style-language/schema/raw/master/csl-citation.json"}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2">
    <w:p w14:paraId="1C15304B" w14:textId="1DBCCEED"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2000)."},"properties":{"noteIndex":22},"schema":"https://github.com/citation-style-language/schema/raw/master/csl-citation.json"}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3">
    <w:p w14:paraId="73EA624B" w14:textId="2659A5D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Leiter."},"properties":{"noteIndex":23},"schema":"https://github.com/citation-style-language/schema/raw/master/csl-citation.json"}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4">
    <w:p w14:paraId="01C9C82B" w14:textId="79A7AC3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5">
    <w:p w14:paraId="3510C2E8" w14:textId="0E5D692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205."},"properties":{"noteIndex":25},"schema":"https://github.com/citation-style-language/schema/raw/master/csl-citation.json"}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6">
    <w:p w14:paraId="5F121B58" w14:textId="64B566C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Perspective.”"},"properties":{"noteIndex":26},"schema":"https://github.com/citation-style-language/schema/raw/master/csl-citation.json"}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27">
    <w:p w14:paraId="54AFE060" w14:textId="400832F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2020)."},"properties":{"noteIndex":27},"schema":"https://github.com/citation-style-language/schema/raw/master/csl-citation.json"}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28">
    <w:p w14:paraId="7A3FA1CE" w14:textId="257C14F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2023)."},"properties":{"noteIndex":28},"schema":"https://github.com/citation-style-language/schema/raw/master/csl-citation.json"}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29">
    <w:p w14:paraId="762F615B" w14:textId="31CDE94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12B6D447" w14:textId="61A5DAE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Emosi&lt;/i&gt;."},"properties":{"noteIndex":30},"schema":"https://github.com/citation-style-language/schema/raw/master/csl-citation.json"}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1">
    <w:p w14:paraId="0AFA50C8" w14:textId="76ED124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2024)."},"properties":{"noteIndex":31},"schema":"https://github.com/citation-style-language/schema/raw/master/csl-citation.json"}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2">
    <w:p w14:paraId="3FF9C9D8" w14:textId="4289796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3">
    <w:p w14:paraId="6CC13E5B" w14:textId="54F35F1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Care.”"},"properties":{"noteIndex":33},"schema":"https://github.com/citation-style-language/schema/raw/master/csl-citation.json"}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4">
    <w:p w14:paraId="4C820F8F" w14:textId="0A7660DC"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Theory.”"},"properties":{"noteIndex":34},"schema":"https://github.com/citation-style-language/schema/raw/master/csl-citation.json"}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5">
    <w:p w14:paraId="349BCD5F" w14:textId="4E2A008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Perspective.”"},"properties":{"noteIndex":35},"schema":"https://github.com/citation-style-language/schema/raw/master/csl-citation.json"}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2F99"/>
    <w:rsid w:val="00116740"/>
    <w:rsid w:val="001C0CDF"/>
    <w:rsid w:val="00273E5A"/>
    <w:rsid w:val="002A218E"/>
    <w:rsid w:val="00353E95"/>
    <w:rsid w:val="003A4350"/>
    <w:rsid w:val="0041556B"/>
    <w:rsid w:val="009F4195"/>
    <w:rsid w:val="00A3727C"/>
    <w:rsid w:val="00AE35FD"/>
    <w:rsid w:val="00B66877"/>
    <w:rsid w:val="00B91648"/>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32F99"/>
    <w:rPr>
      <w:sz w:val="20"/>
      <w:szCs w:val="20"/>
    </w:rPr>
  </w:style>
  <w:style w:type="character" w:customStyle="1" w:styleId="FootnoteTextChar">
    <w:name w:val="Footnote Text Char"/>
    <w:basedOn w:val="DefaultParagraphFont"/>
    <w:link w:val="FootnoteText"/>
    <w:uiPriority w:val="99"/>
    <w:semiHidden/>
    <w:rsid w:val="00032F99"/>
    <w:rPr>
      <w:rFonts w:eastAsia="SimSun"/>
      <w:sz w:val="20"/>
      <w:szCs w:val="20"/>
      <w:lang w:eastAsia="zh-CN"/>
    </w:rPr>
  </w:style>
  <w:style w:type="character" w:styleId="FootnoteReference">
    <w:name w:val="footnote reference"/>
    <w:basedOn w:val="DefaultParagraphFont"/>
    <w:uiPriority w:val="99"/>
    <w:semiHidden/>
    <w:unhideWhenUsed/>
    <w:rsid w:val="00032F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4791</Words>
  <Characters>27310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3</cp:revision>
  <dcterms:created xsi:type="dcterms:W3CDTF">2026-01-19T08:27:00Z</dcterms:created>
  <dcterms:modified xsi:type="dcterms:W3CDTF">2026-01-20T03:24:00Z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