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032F99" w:rsidRDefault="00032F99" w:rsidP="00116740">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032F99">
              <w:rPr>
                <w:rFonts w:eastAsia="Times New Roman"/>
                <w:b/>
                <w:color w:val="000000"/>
                <w:sz w:val="32"/>
                <w:szCs w:val="32"/>
              </w:rPr>
              <w:t>Konseling untuk Self-Care</w:t>
            </w:r>
          </w:p>
          <w:p w14:paraId="63AE5820" w14:textId="5E2CB8E8" w:rsidR="00AE35FD" w:rsidRDefault="00032F9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Herlina </w:t>
            </w:r>
            <w:proofErr w:type="gramStart"/>
            <w:r>
              <w:rPr>
                <w:b/>
                <w:i/>
                <w:color w:val="000000"/>
                <w:sz w:val="28"/>
                <w:szCs w:val="28"/>
              </w:rPr>
              <w:t>I.Fialay</w:t>
            </w:r>
            <w:proofErr w:type="gramEnd"/>
          </w:p>
          <w:p w14:paraId="1FDC63BD" w14:textId="2B089F52" w:rsidR="00116740" w:rsidRDefault="00116740" w:rsidP="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Sherly Mudak*</w:t>
            </w:r>
          </w:p>
          <w:p w14:paraId="201DDD48" w14:textId="6492FD65" w:rsidR="00116740" w:rsidRDefault="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Erwin Gusti Parubak</w:t>
            </w:r>
          </w:p>
          <w:p w14:paraId="6EDB9016" w14:textId="1B6C8807" w:rsidR="00C30472" w:rsidRDefault="00000000">
            <w:pPr>
              <w:jc w:val="center"/>
            </w:pPr>
            <w:bookmarkStart w:id="0" w:name="_heading=h.gjdgxs" w:colFirst="0" w:colLast="0"/>
            <w:bookmarkEnd w:id="0"/>
            <w:r>
              <w:rPr>
                <w:i/>
                <w:color w:val="000000"/>
              </w:rPr>
              <w:t xml:space="preserve">Sekolah Tinggi Teologi </w:t>
            </w:r>
            <w:r w:rsidR="00032F99">
              <w:rPr>
                <w:i/>
                <w:color w:val="000000"/>
              </w:rPr>
              <w:t>Arrabona Bogor</w:t>
            </w:r>
          </w:p>
          <w:p w14:paraId="783395F9" w14:textId="3CB0AC79" w:rsidR="00C30472" w:rsidRDefault="00000000">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032F99">
              <w:rPr>
                <w:i/>
                <w:color w:val="000000"/>
              </w:rPr>
              <w:t>mashe1611@gmail.com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32F99" w:rsidRPr="00032F99">
              <w:rPr>
                <w:rFonts w:eastAsia="Times New Roman"/>
                <w:color w:val="000000"/>
                <w:sz w:val="22"/>
                <w:szCs w:val="22"/>
              </w:rPr>
              <w:t>Komitmen hidup dan pelayanan Kristen sering kali dihadapkan pada tantangan fisik, emosional, dan spiritual yang dapat mempengaruhi efektivitas pelayanan jangka panjang. Artikel ini mengkaji hubungan antara komitmen hidup dalam pelayanan yang berakar pada kasih karunia Tuhan (1 Korintus 15:3-10) dan pentingnya self-care bagi pelayan. Teori self-care dan konsep burnout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w:t>
            </w:r>
            <w:r w:rsidRPr="00032F99">
              <w:rPr>
                <w:rFonts w:eastAsia="Times New Roman"/>
                <w:bCs/>
                <w:i/>
                <w:color w:val="000000"/>
                <w:sz w:val="22"/>
                <w:szCs w:val="22"/>
              </w:rPr>
              <w:lastRenderedPageBreak/>
              <w:t>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 Namun, dalam realitasnya, semangat pelayanan yang berakar pada kasih karunia sering kali mendorong individu untuk mengabaikan aspek penting lainnya, seperti kesehatan fisik dan mental. Kondisi ini kerap terjadi, terutama dalam konteks pelayanan, di mana komitmen tinggi untuk menjawab panggilan Allah dapat mengarah pada kelelahan fisik, emosional, dan spiritual yang parah</w:t>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 xml:space="preserve">Fenomena ini terlihat jelas dalam kasus para pendeta dan pelayan misi yang mengalami </w:t>
      </w:r>
      <w:r w:rsidRPr="00032F99">
        <w:rPr>
          <w:rFonts w:eastAsia="Times New Roman"/>
          <w:i/>
          <w:iCs/>
          <w:lang w:eastAsia="en-US"/>
        </w:rPr>
        <w:t>burnout</w:t>
      </w:r>
      <w:r w:rsidRPr="00032F99">
        <w:rPr>
          <w:rFonts w:eastAsia="Times New Roman"/>
          <w:lang w:eastAsia="en-US"/>
        </w:rPr>
        <w:t xml:space="preserve"> karena mengesampingkan </w:t>
      </w:r>
      <w:r w:rsidRPr="00032F99">
        <w:rPr>
          <w:rFonts w:eastAsia="Times New Roman"/>
          <w:i/>
          <w:iCs/>
          <w:lang w:eastAsia="en-US"/>
        </w:rPr>
        <w:t>self-care</w:t>
      </w:r>
      <w:r w:rsidRPr="00032F99">
        <w:rPr>
          <w:rFonts w:eastAsia="Times New Roman"/>
          <w:lang w:eastAsia="en-US"/>
        </w:rPr>
        <w:t xml:space="preserve"> dalam menjalankan pelayanan mereka</w:t>
      </w:r>
      <w:r w:rsidRPr="00032F99">
        <w:rPr>
          <w:rFonts w:eastAsia="Times New Roman"/>
          <w:vertAlign w:val="superscript"/>
          <w:lang w:eastAsia="en-US"/>
        </w:rPr>
        <w:footnoteReference w:id="2"/>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Namun, penelitian yang mengintegrasikan kasih karunia, pelayanan misi, dan pastoral </w:t>
      </w:r>
      <w:r w:rsidRPr="00032F99">
        <w:rPr>
          <w:rFonts w:eastAsia="Times New Roman"/>
          <w:lang w:eastAsia="en-US"/>
        </w:rPr>
        <w:lastRenderedPageBreak/>
        <w:t xml:space="preserve">konseling dengan fokus pada </w:t>
      </w:r>
      <w:r w:rsidRPr="00032F99">
        <w:rPr>
          <w:rFonts w:eastAsia="Times New Roman"/>
          <w:i/>
          <w:iCs/>
          <w:lang w:eastAsia="en-US"/>
        </w:rPr>
        <w:t>self-care</w:t>
      </w:r>
      <w:r w:rsidRPr="00032F99">
        <w:rPr>
          <w:rFonts w:eastAsia="Times New Roman"/>
          <w:lang w:eastAsia="en-US"/>
        </w:rPr>
        <w:t xml:space="preserve"> masih sangat terbatas, khususnya dalam konteks pendeta dan misi.</w:t>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90FB5B8" w14:textId="0430D9BB"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Penelitian ini menggunakan metode kualitatif dengan pendekatan studi literatur untuk menelaah secara mendalam komitmen hidup dan pelayanan yang berakar pada Injil, khususnya dalam 1 Korintus 15:3–10, serta relevansinya dengan praktik self-care dalam pelayanan Kristen. Data penelitian bersumber dari literatur akademik yang kredibel, meliputi buku teologi, artikel jurnal ilmiah, dan karya ilmiah lain yang relevan</w:t>
      </w:r>
      <w:r w:rsidR="006723CE">
        <w:rPr>
          <w:rStyle w:val="FootnoteReference"/>
          <w:rFonts w:eastAsia="Calibri"/>
          <w:kern w:val="2"/>
          <w:lang w:eastAsia="en-US"/>
          <w14:ligatures w14:val="standardContextual"/>
        </w:rPr>
        <w:footnoteReference w:id="8"/>
      </w:r>
      <w:r w:rsidRPr="00032F99">
        <w:rPr>
          <w:rFonts w:eastAsia="Calibri"/>
          <w:kern w:val="2"/>
          <w:lang w:eastAsia="en-US"/>
          <w14:ligatures w14:val="standardContextual"/>
        </w:rPr>
        <w:t>. Penelitian ini tidak melibatkan pengumpulan data primer, melainkan berfokus pada analisis kritis terhadap sumber-sumber tertulis yang telah ada.</w:t>
      </w:r>
    </w:p>
    <w:p w14:paraId="1ABB3434" w14:textId="2132FF92"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Analisis data dilakukan dengan menggunakan kerangka konseling pastoral holistik sebagaimana dikembangkan oleh Howard Clinebell, yang memandang self-care sebagai pemeliharaan kehidupan secara utuh mencakup dimensi spiritual, emosional, relasional, fisik, dan vokasional</w:t>
      </w:r>
      <w:r w:rsidR="006723CE">
        <w:rPr>
          <w:rStyle w:val="FootnoteReference"/>
          <w:rFonts w:eastAsia="Calibri"/>
          <w:kern w:val="2"/>
          <w:lang w:eastAsia="en-US"/>
          <w14:ligatures w14:val="standardContextual"/>
        </w:rPr>
        <w:footnoteReference w:id="9"/>
      </w:r>
      <w:r w:rsidRPr="00032F99">
        <w:rPr>
          <w:rFonts w:eastAsia="Calibri"/>
          <w:kern w:val="2"/>
          <w:lang w:eastAsia="en-US"/>
          <w14:ligatures w14:val="standardContextual"/>
        </w:rPr>
        <w:t>. Kerangka ini dipadukan dengan teologi kasih karunia Paulus untuk membaca dinamika pelayanan sebagai respons terhadap anugerah Allah, bukan sebagai beban performatif. Pendekatan analisis tematik digunakan untuk mengidentifikasi tema-tema kunci dari literatur</w:t>
      </w:r>
      <w:r w:rsidR="006723CE">
        <w:rPr>
          <w:rStyle w:val="FootnoteReference"/>
          <w:rFonts w:eastAsia="Calibri"/>
          <w:kern w:val="2"/>
          <w:lang w:eastAsia="en-US"/>
          <w14:ligatures w14:val="standardContextual"/>
        </w:rPr>
        <w:footnoteReference w:id="10"/>
      </w:r>
      <w:r w:rsidRPr="00032F99">
        <w:rPr>
          <w:rFonts w:eastAsia="Calibri"/>
          <w:kern w:val="2"/>
          <w:lang w:eastAsia="en-US"/>
          <w14:ligatures w14:val="standardContextual"/>
        </w:rPr>
        <w:t xml:space="preserve">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11"/>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ia bekerja lebih keras daripada rasul-rasul lainnya, namun dengan cepat mengoreksi bahwa itu </w:t>
      </w:r>
      <w:r w:rsidRPr="00032F99">
        <w:rPr>
          <w:rFonts w:eastAsia="Times New Roman"/>
          <w:lang w:eastAsia="en-US"/>
        </w:rPr>
        <w:lastRenderedPageBreak/>
        <w:t>pun bukan karena kekuatannya sendiri, melainkan kasih karunia Allah yang menyertainya. Hal ini menegaskan bahwa kasih karunia bukan hanya menjadi titik awal pelayanan, tetapi juga kekuatan yang menopang dan memampukan seorang pelayan untuk tetap setia dalam 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Pemahaman yang mendalam mengenai kasih karunia akan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12"/>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Tuhan sebagaimana ditegaskan dalam 1 Korintus 15:10 menjadi fondasi utama pelayanan Kristen yang otentik dan transformatif. Rasul Paulus menyatakan bahwa apa pun yang telah ia capai dalam pelayanannya bukanlah karena kekuatannya sendiri, melainkan karena kasih karunia Allah yang menyertainya</w:t>
      </w:r>
      <w:r w:rsidRPr="00032F99">
        <w:rPr>
          <w:rFonts w:eastAsia="Times New Roman"/>
          <w:vertAlign w:val="superscript"/>
          <w:lang w:eastAsia="en-US"/>
        </w:rPr>
        <w:footnoteReference w:id="13"/>
      </w:r>
      <w:r w:rsidRPr="00032F99">
        <w:rPr>
          <w:rFonts w:eastAsia="Times New Roman"/>
          <w:lang w:eastAsia="en-US"/>
        </w:rPr>
        <w:t>. Pernyataan ini membalik paradigma pelayanan dari yang bersifat legalistik dan berbasis kinerja, menjadi pelayanan yang mengalir dari kesadaran akan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4"/>
      </w:r>
      <w:r w:rsidRPr="00032F99">
        <w:rPr>
          <w:rFonts w:eastAsia="Times New Roman"/>
          <w:lang w:eastAsia="en-US"/>
        </w:rPr>
        <w:t>. Pelayan yang memahami kasih karunia akan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Teori Kasih Karunia dalam Pelayanan</w:t>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Teori kasih karunia dalam pelayanan, sebagaimana dijelaskan oleh John Stott dalam karyanya The Cross of Christ, menempatkan salib sebagai pusat pemahaman tentang kasih 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5"/>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6"/>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7"/>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Pentingnya self-care dalam pelayanan menjadi semakin relevan dalam konteks pelayanan modern yang penuh tuntutan dan tekanan. Saundra Dalton-Smith, menekankan bahwa pelayanan Kristen bukan hanya menuntut dedikasi dan komitmen tinggi, tetapi juga </w:t>
      </w:r>
      <w:r w:rsidRPr="00032F99">
        <w:rPr>
          <w:rFonts w:eastAsia="Times New Roman"/>
          <w:lang w:eastAsia="en-US"/>
        </w:rPr>
        <w:lastRenderedPageBreak/>
        <w:t>menuntut keseimbangan antara pengabdian kepada orang lain dan perhatian terhadap kesejahteraan diri sendiri</w:t>
      </w:r>
      <w:r w:rsidRPr="00032F99">
        <w:rPr>
          <w:rFonts w:eastAsia="Times New Roman"/>
          <w:vertAlign w:val="superscript"/>
          <w:lang w:eastAsia="en-US"/>
        </w:rPr>
        <w:footnoteReference w:id="18"/>
      </w:r>
      <w:r w:rsidRPr="00032F99">
        <w:rPr>
          <w:rFonts w:eastAsia="Times New Roman"/>
          <w:lang w:eastAsia="en-US"/>
        </w:rPr>
        <w:t>. Ia memperkenalkan konsep bahwa kelelahan bukan sekadar keletihan fisik, tetapi bisa mencakup kekosongan emosional, keletihan spiritual, dan hilangnya kapasitas untuk menikmati hidup serta relasi</w:t>
      </w:r>
      <w:r w:rsidRPr="00032F99">
        <w:rPr>
          <w:rFonts w:eastAsia="Times New Roman"/>
          <w:vertAlign w:val="superscript"/>
          <w:lang w:eastAsia="en-US"/>
        </w:rPr>
        <w:footnoteReference w:id="19"/>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Dalton-Smith mengidentifikasi tujuh jenis istirahat atau pemulihan yang krusial untuk kesehatan dan kelangsungan pelayanan: istirahat fisik, mental, emosional, sensorik, sosial, kreatif, dan spiritual</w:t>
      </w:r>
      <w:r w:rsidRPr="00032F99">
        <w:rPr>
          <w:rFonts w:eastAsia="Times New Roman"/>
          <w:vertAlign w:val="superscript"/>
          <w:lang w:eastAsia="en-US"/>
        </w:rPr>
        <w:footnoteReference w:id="20"/>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21"/>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akan lebih mampu memberikan pelayanan yang otentik, sabar, dan penuh empati kepada sesama.</w:t>
      </w:r>
      <w:r w:rsidRPr="00032F99">
        <w:rPr>
          <w:rFonts w:eastAsia="Times New Roman"/>
          <w:vertAlign w:val="superscript"/>
          <w:lang w:eastAsia="en-US"/>
        </w:rPr>
        <w:footnoteReference w:id="22"/>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3"/>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lastRenderedPageBreak/>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akan kasih karunia Allah yang mengizinkan umat-Nya untuk beristirahat dan dipulihkan. Dengan menerapkan prinsip-prinsip dari teori ini, pelayan dapat menjaga kesehatan emosional dan spiritualnya, yang pada gilirannya berdampak positif terhadap efektivitas pelayanan mereka</w:t>
      </w:r>
      <w:r w:rsidRPr="00032F99">
        <w:rPr>
          <w:rFonts w:eastAsia="Times New Roman"/>
          <w:vertAlign w:val="superscript"/>
          <w:lang w:eastAsia="en-US"/>
        </w:rPr>
        <w:footnoteReference w:id="24"/>
      </w:r>
      <w:r w:rsidRPr="00032F99">
        <w:rPr>
          <w:rFonts w:eastAsia="Times New Roman"/>
          <w:lang w:eastAsia="en-US"/>
        </w:rPr>
        <w:t>. Pelayan yang merawat dirinya dengan baik akan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mereka menjadi sangat rentan terhadap burnout. Christina Maslach dan Michael Leiter dalam The Truth About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5"/>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6"/>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w:t>
      </w:r>
      <w:r w:rsidRPr="00032F99">
        <w:rPr>
          <w:rFonts w:eastAsia="Times New Roman"/>
          <w:lang w:eastAsia="en-US"/>
        </w:rPr>
        <w:lastRenderedPageBreak/>
        <w:t xml:space="preserve">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7"/>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Integrasi Kasih Karunia dan Self-Care dalam Pelayanan</w:t>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Dalam eksposisi 1 Korintus 15:3–10,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8"/>
      </w:r>
      <w:r w:rsidRPr="00032F99">
        <w:rPr>
          <w:rFonts w:eastAsia="Times New Roman"/>
          <w:lang w:eastAsia="en-US"/>
        </w:rPr>
        <w:t xml:space="preserve"> Pemahaman yang tepat akan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Kasih karunia seharusnya tidak hanya mendorong semangat dalam melayani, tetapi juga memerdekakan pelayan untuk mengakui kebutuhan mereka akan perawatan pribadi.</w:t>
      </w:r>
      <w:r w:rsidRPr="00032F99">
        <w:rPr>
          <w:rFonts w:eastAsia="Times New Roman"/>
          <w:vertAlign w:val="superscript"/>
          <w:lang w:eastAsia="en-US"/>
        </w:rPr>
        <w:footnoteReference w:id="29"/>
      </w:r>
      <w:r w:rsidRPr="00032F99">
        <w:rPr>
          <w:rFonts w:eastAsia="Times New Roman"/>
          <w:lang w:eastAsia="en-US"/>
        </w:rPr>
        <w:t xml:space="preserve"> Konsep </w:t>
      </w:r>
      <w:r w:rsidRPr="00032F99">
        <w:rPr>
          <w:rFonts w:eastAsia="Times New Roman"/>
          <w:i/>
          <w:iCs/>
          <w:lang w:eastAsia="en-US"/>
        </w:rPr>
        <w:t xml:space="preserve">self-care </w:t>
      </w:r>
      <w:r w:rsidRPr="00032F99">
        <w:rPr>
          <w:rFonts w:eastAsia="Times New Roman"/>
          <w:lang w:eastAsia="en-US"/>
        </w:rPr>
        <w:t xml:space="preserve">dalam terang kasih karunia bukanlah tindakan egoistik, melainkan bentuk tanggung jawab spiritual terhadap tubuh sebagai bait Roh Kudus (1 Kor. 6:19–20).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ini membentuk paradigma baru dalam pastoral konseling dan pelayanan misi: pelayan yang melayani bukan dari kekosongan, tetapi dari kelimpahan kasih karunia </w:t>
      </w:r>
      <w:r w:rsidRPr="00032F99">
        <w:rPr>
          <w:rFonts w:eastAsia="Times New Roman"/>
          <w:lang w:eastAsia="en-US"/>
        </w:rPr>
        <w:lastRenderedPageBreak/>
        <w:t>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ia juga akan memahami bahwa menjaga dirinya, tubuh, jiwa, dan roh adalah bagian dari tanggung jawab spiritual</w:t>
      </w:r>
      <w:r w:rsidRPr="00032F99">
        <w:rPr>
          <w:rFonts w:eastAsia="Times New Roman"/>
          <w:vertAlign w:val="superscript"/>
          <w:lang w:eastAsia="en-US"/>
        </w:rPr>
        <w:footnoteReference w:id="30"/>
      </w:r>
      <w:r w:rsidRPr="00032F99">
        <w:rPr>
          <w:rFonts w:eastAsia="Times New Roman"/>
          <w:lang w:eastAsia="en-US"/>
        </w:rPr>
        <w:t>. Merawat diri bukan berarti mengurangi semangat dalam pelayanan, tetapi justru menunjukkan kesadaran akan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akan istirahat dan pemulihan</w:t>
      </w:r>
      <w:r w:rsidRPr="00032F99">
        <w:rPr>
          <w:rFonts w:eastAsia="Times New Roman"/>
          <w:vertAlign w:val="superscript"/>
          <w:lang w:eastAsia="en-US"/>
        </w:rPr>
        <w:footnoteReference w:id="31"/>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32"/>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akan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akan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3"/>
      </w:r>
      <w:r w:rsidRPr="00032F99">
        <w:rPr>
          <w:rFonts w:eastAsia="Times New Roman"/>
          <w:lang w:eastAsia="en-US"/>
        </w:rPr>
        <w:t xml:space="preserve">. Dengan demikian, pelayanan tidak dipandang semata-mata sebagai aktivitas kerja keras tanpa batas, tetapi sebagai pengabdian yang sadar akan keterbatasan manusia dan kebutuhan akan pemulihan secara berkala. Pemahaman yang mendalam tentang kasih karunia menuntun pelayan untuk melayani dengan rendah hati, bersandar pada kekuatan Tuhan, serta menjaga keseimbangan </w:t>
      </w:r>
      <w:r w:rsidRPr="00032F99">
        <w:rPr>
          <w:rFonts w:eastAsia="Times New Roman"/>
          <w:lang w:eastAsia="en-US"/>
        </w:rPr>
        <w:lastRenderedPageBreak/>
        <w:t>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4"/>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akan pemulihan fisik, emosional, dan spiritual. Konselor pastoral dapat membantu mereka memahami bahwa kebutuhan akan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w:t>
      </w:r>
      <w:r w:rsidRPr="00032F99">
        <w:rPr>
          <w:rFonts w:eastAsia="Times New Roman"/>
          <w:lang w:eastAsia="en-US"/>
        </w:rPr>
        <w:lastRenderedPageBreak/>
        <w:t>lain dan memelihara kehidupan pribadi secara holistik. Pelayanan yang berakar pada kasih karunia Tuhan akan mengarahkan pelayan untuk bekerja bukan demi pembuktian diri, tetapi sebagai respons syukur kepada Allah</w:t>
      </w:r>
      <w:r w:rsidRPr="00032F99">
        <w:rPr>
          <w:rFonts w:eastAsia="Times New Roman"/>
          <w:vertAlign w:val="superscript"/>
          <w:lang w:eastAsia="en-US"/>
        </w:rPr>
        <w:footnoteReference w:id="35"/>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6"/>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7"/>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8"/>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r w:rsidRPr="00032F99">
        <w:rPr>
          <w:rFonts w:eastAsia="Times New Roman"/>
          <w:b/>
          <w:lang w:val="id-ID" w:eastAsia="en-ID"/>
        </w:rPr>
        <w:t>KE</w:t>
      </w:r>
      <w:r w:rsidRPr="00032F99">
        <w:rPr>
          <w:rFonts w:eastAsia="Times New Roman"/>
          <w:b/>
          <w:color w:val="000000"/>
          <w:lang w:val="id-ID" w:eastAsia="en-ID"/>
        </w:rPr>
        <w:t>SIMPULAN</w:t>
      </w:r>
    </w:p>
    <w:p w14:paraId="227DEEE5" w14:textId="3150DF64" w:rsidR="00C30472" w:rsidRDefault="006723CE" w:rsidP="006723CE">
      <w:pPr>
        <w:spacing w:line="360" w:lineRule="auto"/>
        <w:jc w:val="both"/>
        <w:rPr>
          <w:rFonts w:eastAsia="Times New Roman"/>
          <w:lang w:eastAsia="en-US"/>
        </w:rPr>
      </w:pPr>
      <w:r w:rsidRPr="006723CE">
        <w:rPr>
          <w:rFonts w:eastAsia="Times New Roman"/>
          <w:lang w:eastAsia="en-US"/>
        </w:rPr>
        <w:t xml:space="preserve">Kasih karunia dalam 1 Korintus 15:3–10 merupakan dasar utama yang membentuk identitas, motivasi, dan ketahanan pelayan Kristen dalam menjalankan panggilannya. Rasul Paulus menunjukkan bahwa seluruh hidup dan pelayanannya tidak dibangun di atas kekuatan </w:t>
      </w:r>
      <w:r w:rsidRPr="006723CE">
        <w:rPr>
          <w:rFonts w:eastAsia="Times New Roman"/>
          <w:lang w:eastAsia="en-US"/>
        </w:rPr>
        <w:lastRenderedPageBreak/>
        <w:t xml:space="preserve">pribadi, ambisi, ataupun kemampuan manusiawi, melainkan pada karya kasih karunia Allah yang bekerja secara aktif dalam dirinya. Pemahaman ini menegaskan bahwa pelayanan Kristen pada hakikatnya adalah respons terhadap anugerah Allah, bukan tuntutan untuk membuktikan nilai diri melalui pencapaian pelayanan. Oleh sebab itu, komitmen pelayanan yang sehat tidak lahir dari dorongan untuk terus bekerja tanpa batas, melainkan dari kesadaran bahwa Allah sendiri yang memanggil, memampukan, dan memelihara pelayan-Nya. Dalam konteks ini, </w:t>
      </w:r>
      <w:r w:rsidRPr="00322509">
        <w:rPr>
          <w:rFonts w:eastAsia="Times New Roman"/>
          <w:i/>
          <w:iCs/>
          <w:lang w:eastAsia="en-US"/>
        </w:rPr>
        <w:t>self-care</w:t>
      </w:r>
      <w:r w:rsidRPr="006723CE">
        <w:rPr>
          <w:rFonts w:eastAsia="Times New Roman"/>
          <w:lang w:eastAsia="en-US"/>
        </w:rPr>
        <w:t xml:space="preserve"> menjadi bagian yang tidak terpisahkan dari spiritualitas pelayanan karena manusia yang melayani tetap memiliki keterbatasan fisik, emosional, relasional, dan spiritual yang membutuhkan pemeliharaan secara terus-menerus.</w:t>
      </w:r>
      <w:r w:rsidR="00322509">
        <w:rPr>
          <w:rFonts w:eastAsia="Times New Roman"/>
          <w:lang w:eastAsia="en-US"/>
        </w:rPr>
        <w:t xml:space="preserve"> </w:t>
      </w:r>
      <w:r w:rsidRPr="006723CE">
        <w:rPr>
          <w:rFonts w:eastAsia="Times New Roman"/>
          <w:lang w:eastAsia="en-US"/>
        </w:rPr>
        <w:t xml:space="preserve">Penelitian ini menegaskan bahwa pengabaian terhadap </w:t>
      </w:r>
      <w:r w:rsidRPr="006723CE">
        <w:rPr>
          <w:rFonts w:eastAsia="Times New Roman"/>
          <w:i/>
          <w:iCs/>
          <w:lang w:eastAsia="en-US"/>
        </w:rPr>
        <w:t>self-care</w:t>
      </w:r>
      <w:r w:rsidRPr="006723CE">
        <w:rPr>
          <w:rFonts w:eastAsia="Times New Roman"/>
          <w:lang w:eastAsia="en-US"/>
        </w:rPr>
        <w:t xml:space="preserve"> dapat membawa pelayan pada kelelahan rohani, </w:t>
      </w:r>
      <w:r w:rsidRPr="00322509">
        <w:rPr>
          <w:rFonts w:eastAsia="Times New Roman"/>
          <w:i/>
          <w:iCs/>
          <w:lang w:eastAsia="en-US"/>
        </w:rPr>
        <w:t>burnout</w:t>
      </w:r>
      <w:r w:rsidRPr="006723CE">
        <w:rPr>
          <w:rFonts w:eastAsia="Times New Roman"/>
          <w:lang w:eastAsia="en-US"/>
        </w:rPr>
        <w:t xml:space="preserve">, kehilangan sukacita pelayanan, bahkan krisis panggilan. Banyak pelayan terjebak dalam paradigma bahwa pengorbanan total berarti mengabaikan kebutuhan diri sendiri, padahal pelayanan yang berkelanjutan justru memerlukan ritme hidup yang sehat dan seimbang. Melalui perspektif pastoral konseling, </w:t>
      </w:r>
      <w:r w:rsidRPr="006723CE">
        <w:rPr>
          <w:rFonts w:eastAsia="Times New Roman"/>
          <w:i/>
          <w:iCs/>
          <w:lang w:eastAsia="en-US"/>
        </w:rPr>
        <w:t>self-care</w:t>
      </w:r>
      <w:r w:rsidRPr="006723CE">
        <w:rPr>
          <w:rFonts w:eastAsia="Times New Roman"/>
          <w:lang w:eastAsia="en-US"/>
        </w:rPr>
        <w:t xml:space="preserve"> dipahami bukan sebagai bentuk egoisme atau kemunduran spiritual, tetapi sebagai tindakan bertanggung jawab dalam menjaga kehidupan yang telah dipercayakan Tuhan. </w:t>
      </w:r>
      <w:r w:rsidRPr="006723CE">
        <w:rPr>
          <w:rFonts w:eastAsia="Times New Roman"/>
          <w:i/>
          <w:iCs/>
          <w:lang w:eastAsia="en-US"/>
        </w:rPr>
        <w:t>Self-care</w:t>
      </w:r>
      <w:r w:rsidRPr="006723CE">
        <w:rPr>
          <w:rFonts w:eastAsia="Times New Roman"/>
          <w:lang w:eastAsia="en-US"/>
        </w:rPr>
        <w:t xml:space="preserve"> memungkinkan pelayan untuk memiliki ruang pemulihan, refleksi, penguatan spiritual, serta pengelolaan emosi yang sehat sehingga pelayanan dapat dilakukan dengan integritas dan ketahanan jangka panjang. </w:t>
      </w:r>
      <w:r>
        <w:rPr>
          <w:rFonts w:eastAsia="Times New Roman"/>
          <w:lang w:eastAsia="en-US"/>
        </w:rPr>
        <w:t>I</w:t>
      </w:r>
      <w:r w:rsidRPr="006723CE">
        <w:rPr>
          <w:rFonts w:eastAsia="Times New Roman"/>
          <w:lang w:eastAsia="en-US"/>
        </w:rPr>
        <w:t xml:space="preserve">ntegrasi antara kasih karunia dan </w:t>
      </w:r>
      <w:r w:rsidRPr="006723CE">
        <w:rPr>
          <w:rFonts w:eastAsia="Times New Roman"/>
          <w:i/>
          <w:iCs/>
          <w:lang w:eastAsia="en-US"/>
        </w:rPr>
        <w:t>self-care</w:t>
      </w:r>
      <w:r w:rsidRPr="006723CE">
        <w:rPr>
          <w:rFonts w:eastAsia="Times New Roman"/>
          <w:lang w:eastAsia="en-US"/>
        </w:rPr>
        <w:t xml:space="preserve"> menghadirkan paradigma pelayanan yang lebih utuh, di mana keberhasilan pelayanan tidak hanya diukur dari produktivitas dan pencapaian eksternal, tetapi juga dari kualitas kehidupan pelayan itu sendiri.</w:t>
      </w:r>
      <w:r>
        <w:rPr>
          <w:rFonts w:eastAsia="Times New Roman"/>
          <w:lang w:eastAsia="en-US"/>
        </w:rPr>
        <w:t xml:space="preserve"> </w:t>
      </w:r>
      <w:r w:rsidRPr="006723CE">
        <w:rPr>
          <w:rFonts w:eastAsia="Times New Roman"/>
          <w:lang w:eastAsia="en-US"/>
        </w:rPr>
        <w:t xml:space="preserve">Pendekatan pastoral yang holistik diperlukan agar pelayan mampu mengenali batas diri, mengembangkan pola hidup yang sehat, dan tetap bertumbuh secara spiritual di tengah tuntutan pelayanan yang kompleks. Pelayanan Kristen yang efektif dan tahan uji hanya dapat bertahan apabila pelayan hidup dalam keseimbangan antara pengabdian kepada Tuhan dan pemeliharaan diri sebagai bentuk penghormatan terhadap kasih karunia Allah yang bekerja dalam kehidupannya. </w:t>
      </w:r>
      <w:r>
        <w:rPr>
          <w:rFonts w:eastAsia="Times New Roman"/>
          <w:lang w:eastAsia="en-US"/>
        </w:rPr>
        <w:t>Jadi</w:t>
      </w:r>
      <w:r w:rsidRPr="006723CE">
        <w:rPr>
          <w:rFonts w:eastAsia="Times New Roman"/>
          <w:lang w:eastAsia="en-US"/>
        </w:rPr>
        <w:t xml:space="preserve">, kasih karunia dan </w:t>
      </w:r>
      <w:r w:rsidRPr="006723CE">
        <w:rPr>
          <w:rFonts w:eastAsia="Times New Roman"/>
          <w:i/>
          <w:iCs/>
          <w:lang w:eastAsia="en-US"/>
        </w:rPr>
        <w:t>self-care</w:t>
      </w:r>
      <w:r w:rsidRPr="006723CE">
        <w:rPr>
          <w:rFonts w:eastAsia="Times New Roman"/>
          <w:lang w:eastAsia="en-US"/>
        </w:rPr>
        <w:t xml:space="preserve"> bukanlah dua konsep yang bertentangan, melainkan dua realitas yang saling melengkapi dalam membangun pelayanan Kristen yang sehat, autentik, dan berkelanjutan.</w:t>
      </w:r>
    </w:p>
    <w:p w14:paraId="0BD1AE95" w14:textId="77777777" w:rsidR="006723CE" w:rsidRDefault="006723CE" w:rsidP="006723CE">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3D1000F8" w14:textId="0E498082" w:rsidR="006723CE" w:rsidRPr="006723CE" w:rsidRDefault="00032F99" w:rsidP="006723CE">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006723CE" w:rsidRPr="006723CE">
        <w:rPr>
          <w:noProof/>
        </w:rPr>
        <w:t xml:space="preserve">Barclay, John M G. </w:t>
      </w:r>
      <w:r w:rsidR="006723CE" w:rsidRPr="006723CE">
        <w:rPr>
          <w:i/>
          <w:iCs/>
          <w:noProof/>
        </w:rPr>
        <w:t>Paul and the Power of Grace</w:t>
      </w:r>
      <w:r w:rsidR="006723CE" w:rsidRPr="006723CE">
        <w:rPr>
          <w:noProof/>
        </w:rPr>
        <w:t>. Wm. B. Eerdmans Publishing, 2020.</w:t>
      </w:r>
    </w:p>
    <w:p w14:paraId="2A01F792"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Braun, V, and V Clarke. “Using Thematic Analysis in Psychology.” </w:t>
      </w:r>
      <w:r w:rsidRPr="006723CE">
        <w:rPr>
          <w:i/>
          <w:iCs/>
          <w:noProof/>
        </w:rPr>
        <w:t>Qualitative Research in Psychology</w:t>
      </w:r>
      <w:r w:rsidRPr="006723CE">
        <w:rPr>
          <w:noProof/>
        </w:rPr>
        <w:t xml:space="preserve"> 3, no. 2 (2006): 77–101. https://doi.org/10.1191/1478088706qp063oa.</w:t>
      </w:r>
    </w:p>
    <w:p w14:paraId="28836ED6"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lastRenderedPageBreak/>
        <w:t xml:space="preserve">Bressi, Sara K, and Elizabeth R Vaden. “Reconsidering Self Care.” </w:t>
      </w:r>
      <w:r w:rsidRPr="006723CE">
        <w:rPr>
          <w:i/>
          <w:iCs/>
          <w:noProof/>
        </w:rPr>
        <w:t>Clinical Social Work Journal</w:t>
      </w:r>
      <w:r w:rsidRPr="006723CE">
        <w:rPr>
          <w:noProof/>
        </w:rPr>
        <w:t xml:space="preserve"> 45, no. 1 (2017): 33–38.</w:t>
      </w:r>
    </w:p>
    <w:p w14:paraId="553FD69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Clinebell, Howard. </w:t>
      </w:r>
      <w:r w:rsidRPr="006723CE">
        <w:rPr>
          <w:i/>
          <w:iCs/>
          <w:noProof/>
        </w:rPr>
        <w:t>Tipe-Tipe Dasar Pendampingan Dan Konseling Pastoral</w:t>
      </w:r>
      <w:r w:rsidRPr="006723CE">
        <w:rPr>
          <w:noProof/>
        </w:rPr>
        <w:t>. Yogyakarta: Kanisuius, 2002.</w:t>
      </w:r>
    </w:p>
    <w:p w14:paraId="0D1755D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Dalton-Smith, Saundra. </w:t>
      </w:r>
      <w:r w:rsidRPr="006723CE">
        <w:rPr>
          <w:i/>
          <w:iCs/>
          <w:noProof/>
        </w:rPr>
        <w:t>Sacred Rest: Recover Your Life, Renew Your Energy, Restore Your Sanity</w:t>
      </w:r>
      <w:r w:rsidRPr="006723CE">
        <w:rPr>
          <w:noProof/>
        </w:rPr>
        <w:t>. FaithWords, 2017.</w:t>
      </w:r>
    </w:p>
    <w:p w14:paraId="5343D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Dunbar, Scott, Thomas Frederick, Yvonne Thai, and John Gill. “Calling, Caring, and Connecting: Burnout in Christian Ministry.” </w:t>
      </w:r>
      <w:r w:rsidRPr="006723CE">
        <w:rPr>
          <w:i/>
          <w:iCs/>
          <w:noProof/>
        </w:rPr>
        <w:t>Mental Health, Religion &amp; Culture</w:t>
      </w:r>
      <w:r w:rsidRPr="006723CE">
        <w:rPr>
          <w:noProof/>
        </w:rPr>
        <w:t xml:space="preserve"> 23, no. 2 (2020): 173–86. https://doi.org/https://doi.org/10.1080/13674676.2020.1744548.</w:t>
      </w:r>
    </w:p>
    <w:p w14:paraId="6DA5FD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Edison, B G. </w:t>
      </w:r>
      <w:r w:rsidRPr="006723CE">
        <w:rPr>
          <w:i/>
          <w:iCs/>
          <w:noProof/>
        </w:rPr>
        <w:t>Self-Care: The Need and A Model: A Theological and Scriptural Framework</w:t>
      </w:r>
      <w:r w:rsidRPr="006723CE">
        <w:rPr>
          <w:noProof/>
        </w:rPr>
        <w:t>. WestBow Press, 2023.</w:t>
      </w:r>
    </w:p>
    <w:p w14:paraId="1402C11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Etty Indriaty. </w:t>
      </w:r>
      <w:r w:rsidRPr="006723CE">
        <w:rPr>
          <w:i/>
          <w:iCs/>
          <w:noProof/>
        </w:rPr>
        <w:t>Menulis Karya Ilmiah</w:t>
      </w:r>
      <w:r w:rsidRPr="006723CE">
        <w:rPr>
          <w:noProof/>
        </w:rPr>
        <w:t>. Jakarta: Gramedia Pustaka Utama, 2003.</w:t>
      </w:r>
    </w:p>
    <w:p w14:paraId="48B6CC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Hester, Jackson Andrew. “Stress and Longevity in Pastoral Ministry: A Phenomenological Study,” 2018.</w:t>
      </w:r>
    </w:p>
    <w:p w14:paraId="27D7C91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Jones, Pamela D, and Pamela A Gordon. “Divine Calling: Qualitative Case Concerning Job Burnout Dilemma for Pastors.” </w:t>
      </w:r>
      <w:r w:rsidRPr="006723CE">
        <w:rPr>
          <w:i/>
          <w:iCs/>
          <w:noProof/>
        </w:rPr>
        <w:t>Pastoral Psychology</w:t>
      </w:r>
      <w:r w:rsidRPr="006723CE">
        <w:rPr>
          <w:noProof/>
        </w:rPr>
        <w:t xml:space="preserve"> 72, no. 2 (2023): 277–88.</w:t>
      </w:r>
    </w:p>
    <w:p w14:paraId="1C4A5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Keller, Timothy. </w:t>
      </w:r>
      <w:r w:rsidRPr="006723CE">
        <w:rPr>
          <w:i/>
          <w:iCs/>
          <w:noProof/>
        </w:rPr>
        <w:t>Ministries of Mercy: Learning to Care Like Jesus</w:t>
      </w:r>
      <w:r w:rsidRPr="006723CE">
        <w:rPr>
          <w:noProof/>
        </w:rPr>
        <w:t>. SPCK, 2017.</w:t>
      </w:r>
    </w:p>
    <w:p w14:paraId="6C0266D9"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Maslach, Christina, and Michael P Leiter. </w:t>
      </w:r>
      <w:r w:rsidRPr="006723CE">
        <w:rPr>
          <w:i/>
          <w:iCs/>
          <w:noProof/>
        </w:rPr>
        <w:t>The Truth about Burnout: How Organizations Cause Personal Stress and What to Do about It</w:t>
      </w:r>
      <w:r w:rsidRPr="006723CE">
        <w:rPr>
          <w:noProof/>
        </w:rPr>
        <w:t>. John Wiley &amp; Sons, 2000.</w:t>
      </w:r>
    </w:p>
    <w:p w14:paraId="3330888C"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w:t>
      </w:r>
      <w:r w:rsidRPr="006723CE">
        <w:rPr>
          <w:i/>
          <w:iCs/>
          <w:noProof/>
        </w:rPr>
        <w:t>Konseling Kristen: Pendekatan Integratif</w:t>
      </w:r>
      <w:r w:rsidRPr="006723CE">
        <w:rPr>
          <w:noProof/>
        </w:rPr>
        <w:t>. Yogyakarta: Jejak Pustaka, 2024.</w:t>
      </w:r>
    </w:p>
    <w:p w14:paraId="67F3241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and Debora Inda Violita Praing. “Komitmen Pada Panggilan Kristus: Integrasi Filipi 3: 13-14 Dengan Goal Commitment Theory.” </w:t>
      </w:r>
      <w:r w:rsidRPr="006723CE">
        <w:rPr>
          <w:i/>
          <w:iCs/>
          <w:noProof/>
        </w:rPr>
        <w:t>Vox Dei: Jurnal Teologi Dan Pastoral</w:t>
      </w:r>
      <w:r w:rsidRPr="006723CE">
        <w:rPr>
          <w:noProof/>
        </w:rPr>
        <w:t xml:space="preserve"> 5, no. 2 (2024).</w:t>
      </w:r>
    </w:p>
    <w:p w14:paraId="75BD9B1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Poppa, Kristen. “Self-Care Is Soul Care.” </w:t>
      </w:r>
      <w:r w:rsidRPr="006723CE">
        <w:rPr>
          <w:i/>
          <w:iCs/>
          <w:noProof/>
        </w:rPr>
        <w:t>Journal of Spiritual Formation and Soul Care</w:t>
      </w:r>
      <w:r w:rsidRPr="006723CE">
        <w:rPr>
          <w:noProof/>
        </w:rPr>
        <w:t xml:space="preserve"> 12, no. 1 (2019): 50–70. https://doi.org/https://doi.org/10.1177/193979091879563.</w:t>
      </w:r>
    </w:p>
    <w:p w14:paraId="05F4B04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Posluns, Kirsten, and Terry Lynn Gall. “Dear Mental Health Practitioners, Take Care of Yourselves: A Literature Review on Self-Care.” </w:t>
      </w:r>
      <w:r w:rsidRPr="006723CE">
        <w:rPr>
          <w:i/>
          <w:iCs/>
          <w:noProof/>
        </w:rPr>
        <w:t>International Journal for the Advancement of Counselling</w:t>
      </w:r>
      <w:r w:rsidRPr="006723CE">
        <w:rPr>
          <w:noProof/>
        </w:rPr>
        <w:t xml:space="preserve"> 42, no. 1 (2020): 1–20.</w:t>
      </w:r>
    </w:p>
    <w:p w14:paraId="171B80A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Prinsloo, C R. “An Investigation into the Causes and Cures of Pastoral Burnout within the Church of the Nazarene in the Western Cape District,” 2016.</w:t>
      </w:r>
    </w:p>
    <w:p w14:paraId="1523D0A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Rusmanto, Ayub, Kerin Rajagukguk, and Sriwahyuni Sriwahyuni. “Persepsi Mengucap Syukur Atas Kasih Karunia Allah Berdasarkan Teks 1 Korintus 1: 4-9.” </w:t>
      </w:r>
      <w:r w:rsidRPr="006723CE">
        <w:rPr>
          <w:i/>
          <w:iCs/>
          <w:noProof/>
        </w:rPr>
        <w:t>Veritas Lux Mea (Jurnal Teologi Dan Pendidikan Kristen)</w:t>
      </w:r>
      <w:r w:rsidRPr="006723CE">
        <w:rPr>
          <w:noProof/>
        </w:rPr>
        <w:t xml:space="preserve"> 5, no. 1 (2023): 39–51. https://doi.org/https://doi.org/10.59177/veritas.v5i1.197.</w:t>
      </w:r>
    </w:p>
    <w:p w14:paraId="1A094B4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Samushonga, Hartness M. “Distinguishing between the Pastor and the Superhero: God on </w:t>
      </w:r>
      <w:r w:rsidRPr="006723CE">
        <w:rPr>
          <w:noProof/>
        </w:rPr>
        <w:lastRenderedPageBreak/>
        <w:t xml:space="preserve">Burnout and Self-Care.” </w:t>
      </w:r>
      <w:r w:rsidRPr="006723CE">
        <w:rPr>
          <w:i/>
          <w:iCs/>
          <w:noProof/>
        </w:rPr>
        <w:t>Journal of Pastoral Theology</w:t>
      </w:r>
      <w:r w:rsidRPr="006723CE">
        <w:rPr>
          <w:noProof/>
        </w:rPr>
        <w:t xml:space="preserve"> 31, no. 1 (2021): 4–19. https://doi.org/https://doi.org/10.1080/10649867.2020.1748919.</w:t>
      </w:r>
    </w:p>
    <w:p w14:paraId="719A8344"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Scazzero, Peter. </w:t>
      </w:r>
      <w:r w:rsidRPr="006723CE">
        <w:rPr>
          <w:i/>
          <w:iCs/>
          <w:noProof/>
        </w:rPr>
        <w:t>Emotionally Healthy Spirituality: Spiritualitas Yang Sehat Secara Emosi</w:t>
      </w:r>
      <w:r w:rsidRPr="006723CE">
        <w:rPr>
          <w:noProof/>
        </w:rPr>
        <w:t>. Literatur Perkantas Jatim, 2020.</w:t>
      </w:r>
    </w:p>
    <w:p w14:paraId="4FAAADAE"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Sihombing, Warseto Freddy, Icca Berutu, Ester Novita Lumban Gaol, and Betty Putri Irene Hulu. “Hidup Dalam Kasih Karunia Allah: Masa Lalu versus Masa Sekarang (Efesus 2: 1-10).” </w:t>
      </w:r>
      <w:r w:rsidRPr="006723CE">
        <w:rPr>
          <w:i/>
          <w:iCs/>
          <w:noProof/>
        </w:rPr>
        <w:t>Tumou Tou</w:t>
      </w:r>
      <w:r w:rsidRPr="006723CE">
        <w:rPr>
          <w:noProof/>
        </w:rPr>
        <w:t xml:space="preserve"> 10, no. 1 (2023): 1–10.</w:t>
      </w:r>
    </w:p>
    <w:p w14:paraId="61D5CE4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Spurlock, Rachel. “Self-Care: A Stewardship Perspective.” </w:t>
      </w:r>
      <w:r w:rsidRPr="006723CE">
        <w:rPr>
          <w:i/>
          <w:iCs/>
          <w:noProof/>
        </w:rPr>
        <w:t>Journal of Christian Nursing</w:t>
      </w:r>
      <w:r w:rsidRPr="006723CE">
        <w:rPr>
          <w:noProof/>
        </w:rPr>
        <w:t xml:space="preserve"> 38, no. 2 (2021): 98–101.</w:t>
      </w:r>
    </w:p>
    <w:p w14:paraId="6257E42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Stott, John. </w:t>
      </w:r>
      <w:r w:rsidRPr="006723CE">
        <w:rPr>
          <w:i/>
          <w:iCs/>
          <w:noProof/>
        </w:rPr>
        <w:t>The Cross of Christ</w:t>
      </w:r>
      <w:r w:rsidRPr="006723CE">
        <w:rPr>
          <w:noProof/>
        </w:rPr>
        <w:t>. InterVarsity Press, 2021.</w:t>
      </w:r>
    </w:p>
    <w:p w14:paraId="60D9260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Sulastio, Hari. “Keselamatan Karena Kasih Karunia Menurut Efesus 2: 1-10.” </w:t>
      </w:r>
      <w:r w:rsidRPr="006723CE">
        <w:rPr>
          <w:i/>
          <w:iCs/>
          <w:noProof/>
        </w:rPr>
        <w:t>Jurnal Antusias</w:t>
      </w:r>
      <w:r w:rsidRPr="006723CE">
        <w:rPr>
          <w:noProof/>
        </w:rPr>
        <w:t xml:space="preserve"> 6, no. 1 (2020): 62–75.</w:t>
      </w:r>
    </w:p>
    <w:p w14:paraId="0595B82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8244" w14:textId="77777777" w:rsidR="00DD3699" w:rsidRDefault="00DD3699">
      <w:r>
        <w:separator/>
      </w:r>
    </w:p>
  </w:endnote>
  <w:endnote w:type="continuationSeparator" w:id="0">
    <w:p w14:paraId="21A73C0E" w14:textId="77777777" w:rsidR="00DD3699" w:rsidRDefault="00DD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D0480B4-223E-4328-9F7A-4CE1F0C7EEEA}"/>
    <w:embedBold r:id="rId2" w:fontKey="{24018FE0-9C8E-4EED-B357-C2E13926362B}"/>
  </w:font>
  <w:font w:name="Calibri">
    <w:panose1 w:val="020F0502020204030204"/>
    <w:charset w:val="00"/>
    <w:family w:val="swiss"/>
    <w:pitch w:val="variable"/>
    <w:sig w:usb0="E4002EFF" w:usb1="C000247B" w:usb2="00000009" w:usb3="00000000" w:csb0="000001FF" w:csb1="00000000"/>
    <w:embedRegular r:id="rId3" w:fontKey="{28527D15-10BE-49D8-8C22-41BCD2E978BE}"/>
    <w:embedBold r:id="rId4" w:fontKey="{5C9A6490-4001-42E7-8273-81046DE6382C}"/>
  </w:font>
  <w:font w:name="Calisto MT">
    <w:panose1 w:val="02040603050505030304"/>
    <w:charset w:val="00"/>
    <w:family w:val="roman"/>
    <w:pitch w:val="variable"/>
    <w:sig w:usb0="00000003" w:usb1="00000000" w:usb2="00000000" w:usb3="00000000" w:csb0="00000001" w:csb1="00000000"/>
    <w:embedRegular r:id="rId5" w:fontKey="{F3155C64-F11F-452B-A1D8-6932C217D1D1}"/>
    <w:embedBold r:id="rId6" w:fontKey="{BC1CC3D2-D910-490E-AF81-E0F92EC8DF4B}"/>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9BE5D63D-6982-4EDB-B4F2-4DF500B1E3E2}"/>
    <w:embedItalic r:id="rId8" w:fontKey="{B14A1D7E-D238-4A9E-8F90-64237ED0E8BC}"/>
  </w:font>
  <w:font w:name="Lustria">
    <w:altName w:val="Cambria"/>
    <w:charset w:val="00"/>
    <w:family w:val="auto"/>
    <w:pitch w:val="default"/>
    <w:embedRegular r:id="rId9" w:fontKey="{92DFF8FF-0D81-467B-8201-1A0196762D4A}"/>
    <w:embedBold r:id="rId10" w:fontKey="{6CE3045E-DDFF-4D84-B437-539B95BFE78C}"/>
    <w:embedItalic r:id="rId11" w:fontKey="{109F9F73-E928-4B7F-8E41-AA87032E2993}"/>
  </w:font>
  <w:font w:name="EB Garamond">
    <w:altName w:val="Calibri"/>
    <w:charset w:val="00"/>
    <w:family w:val="auto"/>
    <w:pitch w:val="variable"/>
    <w:sig w:usb0="E00002FF" w:usb1="02000413" w:usb2="00000000" w:usb3="00000000" w:csb0="0000019F" w:csb1="00000000"/>
    <w:embedRegular r:id="rId12" w:fontKey="{53FB4B2A-A477-48D8-902D-4EBFF70560DD}"/>
  </w:font>
  <w:font w:name="Garamond">
    <w:panose1 w:val="02020404030301010803"/>
    <w:charset w:val="00"/>
    <w:family w:val="roman"/>
    <w:pitch w:val="variable"/>
    <w:sig w:usb0="00000287" w:usb1="00000000" w:usb2="00000000" w:usb3="00000000" w:csb0="0000009F" w:csb1="00000000"/>
    <w:embedRegular r:id="rId13" w:fontKey="{1A1C040E-8CE7-4369-9D5D-B1C02C22D243}"/>
  </w:font>
  <w:font w:name="Cambria">
    <w:panose1 w:val="02040503050406030204"/>
    <w:charset w:val="00"/>
    <w:family w:val="roman"/>
    <w:pitch w:val="variable"/>
    <w:sig w:usb0="E00006FF" w:usb1="420024FF" w:usb2="02000000" w:usb3="00000000" w:csb0="0000019F" w:csb1="00000000"/>
    <w:embedRegular r:id="rId14" w:fontKey="{0939EB5C-0E89-43A1-975D-867F2C546872}"/>
    <w:embedBoldItalic r:id="rId15" w:fontKey="{E0CA27AD-E49B-4579-9DDF-FA1ED2379081}"/>
  </w:font>
  <w:font w:name="Corben">
    <w:charset w:val="00"/>
    <w:family w:val="auto"/>
    <w:pitch w:val="default"/>
    <w:embedRegular r:id="rId16" w:fontKey="{237CBFD2-FF07-4B20-A3B5-AE57CA62392F}"/>
  </w:font>
  <w:font w:name="Verdana">
    <w:panose1 w:val="020B0604030504040204"/>
    <w:charset w:val="00"/>
    <w:family w:val="swiss"/>
    <w:pitch w:val="variable"/>
    <w:sig w:usb0="A00006FF" w:usb1="4000205B" w:usb2="00000010" w:usb3="00000000" w:csb0="0000019F" w:csb1="00000000"/>
    <w:embedRegular r:id="rId17" w:fontKey="{5BD64259-6536-4308-9073-A47F71FA028A}"/>
    <w:embedBold r:id="rId18" w:fontKey="{4CD8F576-ABEB-4D10-A800-DAEDF519B4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EC00B" w14:textId="77777777" w:rsidR="00DD3699" w:rsidRDefault="00DD3699">
      <w:r>
        <w:separator/>
      </w:r>
    </w:p>
  </w:footnote>
  <w:footnote w:type="continuationSeparator" w:id="0">
    <w:p w14:paraId="5B070BD8" w14:textId="77777777" w:rsidR="00DD3699" w:rsidRDefault="00DD3699">
      <w:r>
        <w:continuationSeparator/>
      </w:r>
    </w:p>
  </w:footnote>
  <w:footnote w:id="1">
    <w:p w14:paraId="440C5974"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611D8B43" w14:textId="6F313D5E"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{"citationItems":[{"id":"ITEM-1","itemData":{"author":[{"dropping-particle":"","family":"Etty Indriaty","given":"","non-dropping-particle":"","parse-names":false,"suffix":""}],"id":"ITEM-1","issued":{"date-parts":[["2003"]]},"publisher":"Gramedia Pustaka Utama","publisher-place":"Jakarta","title":"Menulis Karya Ilmiah","type":"book"},"locator":"2","uris":["http://www.mendeley.com/documents/?uuid=f4231f61-bcae-4816-bff1-a024e4efccf9"]}],"mendeley":{"formattedCitation":"Etty Indriaty, &lt;i&gt;Menulis Karya Ilmiah&lt;/i&gt; (Jakarta: Gramedia Pustaka Utama, 2003), 2.","plainTextFormattedCitation":"Etty Indriaty, Menulis Karya Ilmiah (Jakarta: Gramedia Pustaka Utama, 2003), 2.","previouslyFormattedCitation":"Etty Indriaty, &lt;i&gt;Menulis Karya Ilmiah&lt;/i&gt; (Jakarta: Gramedia Pustaka Utama, 2003), 2."},"properties":{"noteIndex":8},"schema":"https://github.com/citation-style-language/schema/raw/master/csl-citation.json"}</w:instrText>
      </w:r>
      <w:r>
        <w:fldChar w:fldCharType="separate"/>
      </w:r>
      <w:r w:rsidRPr="006723CE">
        <w:rPr>
          <w:noProof/>
        </w:rPr>
        <w:t xml:space="preserve">Etty Indriaty, </w:t>
      </w:r>
      <w:r w:rsidRPr="006723CE">
        <w:rPr>
          <w:i/>
          <w:noProof/>
        </w:rPr>
        <w:t>Menulis Karya Ilmiah</w:t>
      </w:r>
      <w:r w:rsidRPr="006723CE">
        <w:rPr>
          <w:noProof/>
        </w:rPr>
        <w:t xml:space="preserve"> (Jakarta: Gramedia Pustaka Utama, 2003), 2.</w:t>
      </w:r>
      <w:r>
        <w:fldChar w:fldCharType="end"/>
      </w:r>
    </w:p>
  </w:footnote>
  <w:footnote w:id="9">
    <w:p w14:paraId="3C835A95" w14:textId="027BB47C"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Pastoral","type":"book"},"locator":"27","uris":["http://www.mendeley.com/documents/?uuid=6968a3bb-0236-4b52-97c4-67c367c6fe28"]}],"mendeley":{"formattedCitation":"Howard Clinebell, &lt;i&gt;Tipe-Tipe Dasar Pendampingan Dan Konseling Pastoral&lt;/i&gt; (Yogyakarta: Kanisuius, 2002), 27.","plainTextFormattedCitation":"Howard Clinebell, Tipe-Tipe Dasar Pendampingan Dan Konseling Pastoral (Yogyakarta: Kanisuius, 2002), 27."},"properties":{"noteIndex":9},"schema":"https://github.com/citation-style-language/schema/raw/master/csl-citation.json"}</w:instrText>
      </w:r>
      <w:r>
        <w:fldChar w:fldCharType="separate"/>
      </w:r>
      <w:r w:rsidRPr="006723CE">
        <w:rPr>
          <w:noProof/>
        </w:rPr>
        <w:t xml:space="preserve">Howard Clinebell, </w:t>
      </w:r>
      <w:r w:rsidRPr="006723CE">
        <w:rPr>
          <w:i/>
          <w:noProof/>
        </w:rPr>
        <w:t>Tipe-Tipe Dasar Pendampingan Dan Konseling Pastoral</w:t>
      </w:r>
      <w:r w:rsidRPr="006723CE">
        <w:rPr>
          <w:noProof/>
        </w:rPr>
        <w:t xml:space="preserve"> (Yogyakarta: Kanisuius, 2002), 27.</w:t>
      </w:r>
      <w:r>
        <w:fldChar w:fldCharType="end"/>
      </w:r>
    </w:p>
  </w:footnote>
  <w:footnote w:id="10">
    <w:p w14:paraId="3F236324" w14:textId="535D0BCB" w:rsidR="006723CE" w:rsidRDefault="006723CE">
      <w:pPr>
        <w:pStyle w:val="FootnoteText"/>
      </w:pPr>
      <w:r>
        <w:rPr>
          <w:rStyle w:val="FootnoteReference"/>
        </w:rPr>
        <w:footnoteRef/>
      </w:r>
      <w:r>
        <w:t xml:space="preserve"> </w:t>
      </w:r>
      <w:r>
        <w:fldChar w:fldCharType="begin" w:fldLock="1"/>
      </w:r>
      <w:r>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https://doi.org/10.1191/1478088706qp063oa."},"properties":{"noteIndex":10},"schema":"https://github.com/citation-style-language/schema/raw/master/csl-citation.json"}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11">
    <w:p w14:paraId="75A7D3DB" w14:textId="789A213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2020)."},"properties":{"noteIndex":11},"schema":"https://github.com/citation-style-language/schema/raw/master/csl-citation.json"}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12">
    <w:p w14:paraId="42776F9F" w14:textId="3C27A2B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4-9.”"},"properties":{"noteIndex":12},"schema":"https://github.com/citation-style-language/schema/raw/master/csl-citation.json"}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3">
    <w:p w14:paraId="7B01F25C" w14:textId="01BE9FC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Grace&lt;/i&gt;."},"properties":{"noteIndex":13},"schema":"https://github.com/citation-style-language/schema/raw/master/csl-citation.json"}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4">
    <w:p w14:paraId="14BBBE31" w14:textId="635C2D2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(2024)."},"properties":{"noteIndex":14},"schema":"https://github.com/citation-style-language/schema/raw/master/csl-citation.json"}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5">
    <w:p w14:paraId="017C2091" w14:textId="720F5FE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2021)."},"properties":{"noteIndex":15},"schema":"https://github.com/citation-style-language/schema/raw/master/csl-citation.json"}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6">
    <w:p w14:paraId="11FA0816" w14:textId="3147096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102.","plainTextFormattedCitation":"Stott.","previouslyFormattedCitation":"Stott."},"properties":{"noteIndex":16},"schema":"https://github.com/citation-style-language/schema/raw/master/csl-citation.json"}</w:instrText>
      </w:r>
      <w:r w:rsidRPr="004F61FD">
        <w:fldChar w:fldCharType="separate"/>
      </w:r>
      <w:r w:rsidRPr="004F61FD">
        <w:rPr>
          <w:noProof/>
        </w:rPr>
        <w:t>Stott, 102.</w:t>
      </w:r>
      <w:r w:rsidRPr="004F61FD">
        <w:fldChar w:fldCharType="end"/>
      </w:r>
    </w:p>
  </w:footnote>
  <w:footnote w:id="17">
    <w:p w14:paraId="4014EA51" w14:textId="009A574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8">
    <w:p w14:paraId="7D6DFED9" w14:textId="0E9A650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Sanity&lt;/i&gt;."},"properties":{"noteIndex":18},"schema":"https://github.com/citation-style-language/schema/raw/master/csl-citation.json"}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9">
    <w:p w14:paraId="7FD6D60C" w14:textId="5EE0572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75.","plainTextFormattedCitation":"Dalton-Smith.","previouslyFormattedCitation":"Dalton-Smith."},"properties":{"noteIndex":19},"schema":"https://github.com/citation-style-language/schema/raw/master/csl-citation.json"}</w:instrText>
      </w:r>
      <w:r w:rsidRPr="004F61FD">
        <w:fldChar w:fldCharType="separate"/>
      </w:r>
      <w:r w:rsidRPr="004F61FD">
        <w:rPr>
          <w:noProof/>
        </w:rPr>
        <w:t>Dalton-Smith, 75.</w:t>
      </w:r>
      <w:r w:rsidRPr="004F61FD">
        <w:fldChar w:fldCharType="end"/>
      </w:r>
    </w:p>
  </w:footnote>
  <w:footnote w:id="20">
    <w:p w14:paraId="6FDE7714" w14:textId="34E0EAE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20},"schema":"https://github.com/citation-style-language/schema/raw/master/csl-citation.json"}</w:instrText>
      </w:r>
      <w:r w:rsidRPr="004F61FD">
        <w:fldChar w:fldCharType="separate"/>
      </w:r>
      <w:r w:rsidRPr="004F61FD">
        <w:rPr>
          <w:noProof/>
        </w:rPr>
        <w:t>Dalton-Smith,75-76.</w:t>
      </w:r>
      <w:r w:rsidRPr="004F61FD">
        <w:fldChar w:fldCharType="end"/>
      </w:r>
    </w:p>
  </w:footnote>
  <w:footnote w:id="21">
    <w:p w14:paraId="448B29AF" w14:textId="64CF899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https://doi.org/https://doi.org/10.1080/10649867.2020.1748919."},"properties":{"noteIndex":21},"schema":"https://github.com/citation-style-language/schema/raw/master/csl-citation.json"}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22">
    <w:p w14:paraId="29CAFC50" w14:textId="52E98EA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https://doi.org/https://doi.org/10.1177/193979091879563."},"properties":{"noteIndex":22},"schema":"https://github.com/citation-style-language/schema/raw/master/csl-citation.json"}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3">
    <w:p w14:paraId="6B3E4574" w14:textId="028A306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4">
    <w:p w14:paraId="4EFB5C6A" w14:textId="0B2C669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Sanity&lt;/i&gt;."},"properties":{"noteIndex":24},"schema":"https://github.com/citation-style-language/schema/raw/master/csl-citation.json"}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5">
    <w:p w14:paraId="1C15304B" w14:textId="2C42522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2000)."},"properties":{"noteIndex":25},"schema":"https://github.com/citation-style-language/schema/raw/master/csl-citation.json"}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6">
    <w:p w14:paraId="73EA624B" w14:textId="0846251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Leiter."},"properties":{"noteIndex":26},"schema":"https://github.com/citation-style-language/schema/raw/master/csl-citation.json"}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7">
    <w:p w14:paraId="01C9C82B" w14:textId="70BF5F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8">
    <w:p w14:paraId="3510C2E8" w14:textId="39AA9D4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205."},"properties":{"noteIndex":28},"schema":"https://github.com/citation-style-language/schema/raw/master/csl-citation.json"}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9">
    <w:p w14:paraId="5F121B58" w14:textId="32B31AC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54AFE060" w14:textId="215CDB3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2020)."},"properties":{"noteIndex":30},"schema":"https://github.com/citation-style-language/schema/raw/master/csl-citation.json"}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31">
    <w:p w14:paraId="7A3FA1CE" w14:textId="5D7C2EA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2023)."},"properties":{"noteIndex":31},"schema":"https://github.com/citation-style-language/schema/raw/master/csl-citation.json"}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32">
    <w:p w14:paraId="762F615B" w14:textId="346D8A3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Perspective.”"},"properties":{"noteIndex":32},"schema":"https://github.com/citation-style-language/schema/raw/master/csl-citation.json"}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3">
    <w:p w14:paraId="12B6D447" w14:textId="244001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Emosi&lt;/i&gt;."},"properties":{"noteIndex":33},"schema":"https://github.com/citation-style-language/schema/raw/master/csl-citation.json"}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4">
    <w:p w14:paraId="0AFA50C8" w14:textId="1888A55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2024)."},"properties":{"noteIndex":34},"schema":"https://github.com/citation-style-language/schema/raw/master/csl-citation.json"}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5">
    <w:p w14:paraId="3FF9C9D8" w14:textId="4CD0FDB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4-9.”"},"properties":{"noteIndex":35},"schema":"https://github.com/citation-style-language/schema/raw/master/csl-citation.json"}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6">
    <w:p w14:paraId="6CC13E5B" w14:textId="47B22E2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Care.”"},"properties":{"noteIndex":36},"schema":"https://github.com/citation-style-language/schema/raw/master/csl-citation.json"}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7">
    <w:p w14:paraId="4C820F8F" w14:textId="2127E16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Theory.”"},"properties":{"noteIndex":37},"schema":"https://github.com/citation-style-language/schema/raw/master/csl-citation.json"}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8">
    <w:p w14:paraId="349BCD5F" w14:textId="180351E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Perspective.”"},"properties":{"noteIndex":38},"schema":"https://github.com/citation-style-language/schema/raw/master/csl-citation.json"}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2F99"/>
    <w:rsid w:val="00111BC0"/>
    <w:rsid w:val="00116740"/>
    <w:rsid w:val="001C0CDF"/>
    <w:rsid w:val="00273E5A"/>
    <w:rsid w:val="002A218E"/>
    <w:rsid w:val="00322509"/>
    <w:rsid w:val="00353E95"/>
    <w:rsid w:val="003A4350"/>
    <w:rsid w:val="004146D0"/>
    <w:rsid w:val="0041556B"/>
    <w:rsid w:val="00534F38"/>
    <w:rsid w:val="00582C2C"/>
    <w:rsid w:val="006723CE"/>
    <w:rsid w:val="00771B00"/>
    <w:rsid w:val="009F4195"/>
    <w:rsid w:val="00A3727C"/>
    <w:rsid w:val="00AE35FD"/>
    <w:rsid w:val="00B66877"/>
    <w:rsid w:val="00B91648"/>
    <w:rsid w:val="00C30472"/>
    <w:rsid w:val="00DD3699"/>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32F99"/>
    <w:rPr>
      <w:sz w:val="20"/>
      <w:szCs w:val="20"/>
    </w:rPr>
  </w:style>
  <w:style w:type="character" w:customStyle="1" w:styleId="FootnoteTextChar">
    <w:name w:val="Footnote Text Char"/>
    <w:basedOn w:val="DefaultParagraphFont"/>
    <w:link w:val="FootnoteText"/>
    <w:uiPriority w:val="99"/>
    <w:semiHidden/>
    <w:rsid w:val="00032F99"/>
    <w:rPr>
      <w:rFonts w:eastAsia="SimSun"/>
      <w:sz w:val="20"/>
      <w:szCs w:val="20"/>
      <w:lang w:eastAsia="zh-CN"/>
    </w:rPr>
  </w:style>
  <w:style w:type="character" w:styleId="FootnoteReference">
    <w:name w:val="footnote reference"/>
    <w:basedOn w:val="DefaultParagraphFont"/>
    <w:uiPriority w:val="99"/>
    <w:semiHidden/>
    <w:unhideWhenUsed/>
    <w:rsid w:val="00032F99"/>
    <w:rPr>
      <w:vertAlign w:val="superscript"/>
    </w:rPr>
  </w:style>
  <w:style w:type="character" w:styleId="CommentReference">
    <w:name w:val="annotation reference"/>
    <w:basedOn w:val="DefaultParagraphFont"/>
    <w:uiPriority w:val="99"/>
    <w:semiHidden/>
    <w:unhideWhenUsed/>
    <w:rsid w:val="00534F38"/>
    <w:rPr>
      <w:sz w:val="16"/>
      <w:szCs w:val="16"/>
    </w:rPr>
  </w:style>
  <w:style w:type="paragraph" w:styleId="CommentText">
    <w:name w:val="annotation text"/>
    <w:basedOn w:val="Normal"/>
    <w:link w:val="CommentTextChar"/>
    <w:uiPriority w:val="99"/>
    <w:unhideWhenUsed/>
    <w:rsid w:val="00534F38"/>
    <w:rPr>
      <w:sz w:val="20"/>
      <w:szCs w:val="20"/>
    </w:rPr>
  </w:style>
  <w:style w:type="character" w:customStyle="1" w:styleId="CommentTextChar">
    <w:name w:val="Comment Text Char"/>
    <w:basedOn w:val="DefaultParagraphFont"/>
    <w:link w:val="CommentText"/>
    <w:uiPriority w:val="99"/>
    <w:rsid w:val="00534F3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534F38"/>
    <w:rPr>
      <w:b/>
      <w:bCs/>
    </w:rPr>
  </w:style>
  <w:style w:type="character" w:customStyle="1" w:styleId="CommentSubjectChar">
    <w:name w:val="Comment Subject Char"/>
    <w:basedOn w:val="CommentTextChar"/>
    <w:link w:val="CommentSubject"/>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16</Pages>
  <Words>4975</Words>
  <Characters>28360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6</cp:revision>
  <dcterms:created xsi:type="dcterms:W3CDTF">2026-01-19T08:27:00Z</dcterms:created>
  <dcterms:modified xsi:type="dcterms:W3CDTF">2026-05-15T14:06:00Z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