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9309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9309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C30472" w:rsidRDefault="0009309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9309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093090">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sidR="00C30472">
                <w:rPr>
                  <w:rFonts w:ascii="Lustria" w:eastAsia="Lustria" w:hAnsi="Lustria" w:cs="Lustria"/>
                  <w:color w:val="0000FF"/>
                  <w:sz w:val="20"/>
                  <w:szCs w:val="20"/>
                  <w:u w:val="single"/>
                </w:rPr>
                <w:t>https://jurnal.sttarrabona.ac.id/JurnalSTTA/</w:t>
              </w:r>
            </w:hyperlink>
          </w:p>
          <w:p w14:paraId="4BEF448A" w14:textId="7D17F5F6" w:rsidR="00C30472" w:rsidRDefault="0009309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73C57AE2" w:rsidR="00C30472" w:rsidRPr="00AE35FD" w:rsidRDefault="00387C3C"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Perkembangan Huria Kristen Batak Protestan di Simalungun, 1930-1936</w:t>
            </w:r>
          </w:p>
          <w:p w14:paraId="26CF9613" w14:textId="63039060" w:rsidR="00AE35FD" w:rsidRDefault="00387C3C">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Bona Ventro Simatupang</w:t>
            </w:r>
            <w:r w:rsidR="00093090">
              <w:rPr>
                <w:b/>
                <w:i/>
                <w:color w:val="000000"/>
                <w:sz w:val="28"/>
                <w:szCs w:val="28"/>
                <w:vertAlign w:val="superscript"/>
              </w:rPr>
              <w:t>1</w:t>
            </w:r>
            <w:r w:rsidR="00093090">
              <w:rPr>
                <w:i/>
                <w:color w:val="000000"/>
              </w:rPr>
              <w:t>*</w:t>
            </w:r>
            <w:r w:rsidR="00093090">
              <w:rPr>
                <w:color w:val="000000"/>
                <w:vertAlign w:val="superscript"/>
              </w:rPr>
              <w:t>)</w:t>
            </w:r>
            <w:r w:rsidR="00093090">
              <w:rPr>
                <w:b/>
                <w:i/>
                <w:color w:val="000000"/>
                <w:sz w:val="28"/>
                <w:szCs w:val="28"/>
              </w:rPr>
              <w:t xml:space="preserve"> </w:t>
            </w:r>
          </w:p>
          <w:p w14:paraId="6EDB9016" w14:textId="7573D82B" w:rsidR="00C30472" w:rsidRDefault="00093090">
            <w:pPr>
              <w:jc w:val="center"/>
            </w:pPr>
            <w:bookmarkStart w:id="0" w:name="_heading=h.gjdgxs" w:colFirst="0" w:colLast="0"/>
            <w:bookmarkEnd w:id="0"/>
            <w:r>
              <w:rPr>
                <w:color w:val="000000"/>
                <w:vertAlign w:val="superscript"/>
              </w:rPr>
              <w:t>1</w:t>
            </w:r>
            <w:r>
              <w:rPr>
                <w:i/>
                <w:color w:val="000000"/>
              </w:rPr>
              <w:t xml:space="preserve">Sekolah Tinggi Teologi </w:t>
            </w:r>
            <w:r w:rsidR="00387C3C">
              <w:rPr>
                <w:i/>
                <w:color w:val="000000"/>
              </w:rPr>
              <w:t>HKBP Pematangsiantar</w:t>
            </w:r>
          </w:p>
          <w:p w14:paraId="783395F9" w14:textId="52F514A2" w:rsidR="00C30472" w:rsidRDefault="00093090">
            <w:pPr>
              <w:jc w:val="center"/>
            </w:pPr>
            <w:r>
              <w:rPr>
                <w:i/>
                <w:color w:val="000000"/>
              </w:rPr>
              <w:t>*</w:t>
            </w:r>
            <w:r>
              <w:rPr>
                <w:color w:val="000000"/>
                <w:vertAlign w:val="superscript"/>
              </w:rPr>
              <w:t>)</w:t>
            </w:r>
            <w:r>
              <w:rPr>
                <w:i/>
                <w:color w:val="000000"/>
              </w:rPr>
              <w:t>Email</w:t>
            </w:r>
            <w:r w:rsidR="00AE35FD">
              <w:rPr>
                <w:i/>
                <w:color w:val="000000"/>
              </w:rPr>
              <w:t xml:space="preserve"> </w:t>
            </w:r>
            <w:r>
              <w:rPr>
                <w:i/>
                <w:color w:val="000000"/>
              </w:rPr>
              <w:t>Corre</w:t>
            </w:r>
            <w:r>
              <w:rPr>
                <w:i/>
                <w:color w:val="000000"/>
              </w:rPr>
              <w:t>s</w:t>
            </w:r>
            <w:r>
              <w:rPr>
                <w:i/>
                <w:color w:val="000000"/>
              </w:rPr>
              <w:t>p</w:t>
            </w:r>
            <w:r>
              <w:rPr>
                <w:i/>
                <w:color w:val="000000"/>
              </w:rPr>
              <w:t>o</w:t>
            </w:r>
            <w:r>
              <w:rPr>
                <w:i/>
                <w:color w:val="000000"/>
              </w:rPr>
              <w:t>n</w:t>
            </w:r>
            <w:r>
              <w:rPr>
                <w:i/>
                <w:color w:val="000000"/>
              </w:rPr>
              <w:t>d</w:t>
            </w:r>
            <w:r>
              <w:rPr>
                <w:i/>
                <w:color w:val="000000"/>
              </w:rPr>
              <w:t>e</w:t>
            </w:r>
            <w:r>
              <w:rPr>
                <w:i/>
                <w:color w:val="000000"/>
              </w:rPr>
              <w:t>n</w:t>
            </w:r>
            <w:r>
              <w:rPr>
                <w:i/>
                <w:color w:val="000000"/>
              </w:rPr>
              <w:t>c</w:t>
            </w:r>
            <w:r>
              <w:rPr>
                <w:i/>
                <w:color w:val="000000"/>
              </w:rPr>
              <w:t>e</w:t>
            </w:r>
            <w:r>
              <w:rPr>
                <w:i/>
                <w:color w:val="000000"/>
              </w:rPr>
              <w:t>:</w:t>
            </w:r>
            <w:r>
              <w:rPr>
                <w:i/>
                <w:color w:val="000000"/>
              </w:rPr>
              <w:t xml:space="preserve"> </w:t>
            </w:r>
            <w:r w:rsidR="00387C3C">
              <w:rPr>
                <w:i/>
                <w:color w:val="000000"/>
              </w:rPr>
              <w:t>bonaventrosimatupang@gmail.com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9309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9309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9309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9309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9309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9309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9309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9309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9309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7DE09C3E" w:rsidR="003A4350" w:rsidRPr="003D67DC" w:rsidRDefault="00093090" w:rsidP="003D67DC">
            <w:pPr>
              <w:pStyle w:val="JW17abstract"/>
              <w:spacing w:before="0" w:after="120" w:line="240" w:lineRule="auto"/>
              <w:ind w:left="0"/>
              <w:rPr>
                <w:rFonts w:ascii="Times New Roman" w:hAnsi="Times New Roman"/>
                <w:bCs/>
                <w:sz w:val="22"/>
                <w:lang w:val="sv-SE"/>
              </w:rPr>
            </w:pPr>
            <w:r>
              <w:rPr>
                <w:rFonts w:ascii="Lustria" w:eastAsia="Lustria" w:hAnsi="Lustria" w:cs="Lustria"/>
                <w:szCs w:val="20"/>
              </w:rPr>
              <w:t>_____________________________________________________________</w:t>
            </w:r>
            <w:bookmarkStart w:id="1" w:name="_Hlk199971576"/>
            <w:r w:rsidR="003D67DC" w:rsidRPr="00471EB8">
              <w:rPr>
                <w:bCs/>
                <w:sz w:val="22"/>
                <w:lang w:val="sv-SE"/>
              </w:rPr>
              <w:t xml:space="preserve"> </w:t>
            </w:r>
            <w:r w:rsidR="003D67DC" w:rsidRPr="00471EB8">
              <w:rPr>
                <w:rFonts w:ascii="Times New Roman" w:hAnsi="Times New Roman"/>
                <w:bCs/>
                <w:sz w:val="22"/>
                <w:lang w:val="sv-SE"/>
              </w:rPr>
              <w:t xml:space="preserve">Penelitian ini bertujuan untuk menganalisis dinamika perkembangan Huria Kristen Batak Protestan (HKBP), tantangan yang dihadapi, serta kontribusinya dalam pendidikan dengan menggunakan perspektif fungsionalisme Emile Durkheim. Pada periode 1930-1936, HKBP mengalami pertumbuhan yang signifikan, ditandai dengan peningkatan jumlah jemaat dan pendirian gereja serta sekolah baru. Masyarakat batak Kristen, terutama dari Tapanuli, menjadi kelompok dominan, sementara penduduk asli Simalungun menjadi minoritas. Kehadiran misi </w:t>
            </w:r>
            <w:r w:rsidR="003D67DC" w:rsidRPr="00471EB8">
              <w:rPr>
                <w:rFonts w:ascii="Times New Roman" w:hAnsi="Times New Roman"/>
                <w:bCs/>
                <w:i/>
                <w:iCs/>
                <w:sz w:val="22"/>
                <w:lang w:val="sv-SE"/>
              </w:rPr>
              <w:t>Rheinische Missionsgesellchaft</w:t>
            </w:r>
            <w:r w:rsidR="003D67DC" w:rsidRPr="00471EB8">
              <w:rPr>
                <w:rFonts w:ascii="Times New Roman" w:hAnsi="Times New Roman"/>
                <w:bCs/>
                <w:sz w:val="22"/>
                <w:lang w:val="sv-SE"/>
              </w:rPr>
              <w:t xml:space="preserve"> (RMG) tidak hanya memperkenalkan agama Kristen, tetapi juga sistem pendidikan Eropa yang berdampak positif pada masyarakat Simalungun. HKBP berfungsi sebagai institusi sosial yang menyatukan berbagai kelompo</w:t>
            </w:r>
            <w:r w:rsidR="009A36ED">
              <w:rPr>
                <w:rFonts w:ascii="Times New Roman" w:hAnsi="Times New Roman"/>
                <w:bCs/>
                <w:sz w:val="22"/>
                <w:lang w:val="sv-SE"/>
              </w:rPr>
              <w:t>k</w:t>
            </w:r>
            <w:r w:rsidR="003D67DC" w:rsidRPr="00471EB8">
              <w:rPr>
                <w:rFonts w:ascii="Times New Roman" w:hAnsi="Times New Roman"/>
                <w:bCs/>
                <w:sz w:val="22"/>
                <w:lang w:val="sv-SE"/>
              </w:rPr>
              <w:t xml:space="preserve"> etnis dan budaya, menciptakan identitas kolektif di tengah perubahan sosial yang cepat. Namun, HKBP juga menghadapi tantangan dari gereja lain, seperti Huria Christen Batak (HChB), Katolik dan Adventis, yang berusaha bersaing, seperti mendirikan sekolah. Meskipun demikian, HKBP tetap berkomitmen pada pendidikan, dengan mendirikan berbagai sekolah yang mendukung pendidikan anak-anak. Pendidikan ini menunjukkan bahwa agama berfungsi sebagai perekat sosial, begitu juga dengan pendidikan, sesuai dengan pandangan Durkheim, yang menekankan pentingnya solidaritas sosial dalam masyarakat. </w:t>
            </w:r>
            <w:r w:rsidR="003D67DC" w:rsidRPr="00471EB8">
              <w:rPr>
                <w:rFonts w:ascii="Times New Roman" w:hAnsi="Times New Roman"/>
                <w:bCs/>
                <w:color w:val="auto"/>
                <w:sz w:val="22"/>
                <w:lang w:val="sv-SE"/>
              </w:rPr>
              <w:t>Denga</w:t>
            </w:r>
            <w:r w:rsidR="003D67DC" w:rsidRPr="00471EB8">
              <w:rPr>
                <w:rFonts w:ascii="Times New Roman" w:hAnsi="Times New Roman"/>
                <w:bCs/>
                <w:sz w:val="22"/>
                <w:lang w:val="sv-SE"/>
              </w:rPr>
              <w:t>n menggunakan metode penelitian kualitatif dan pendekatan sosio-historis, hasil penelitian ini mengungkapkan peran HKBP dalam membentuk masyarakat Simalungun dan tantangan yang dihadapi dalam lingkungan yang plural. Hasilnya, HKBP memang sangat nyata hadir di Simalungun, menunjukkan bahwa gereja bukan hanya soal spritualitas, tetapi sebagai perekat sosial.</w:t>
            </w:r>
            <w:bookmarkEnd w:id="1"/>
          </w:p>
          <w:p w14:paraId="1D3E9357" w14:textId="77777777" w:rsidR="00C30472" w:rsidRDefault="0009309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w:t>
            </w:r>
            <w:r>
              <w:rPr>
                <w:rFonts w:eastAsia="Times New Roman"/>
                <w:color w:val="000000"/>
                <w:sz w:val="22"/>
                <w:szCs w:val="22"/>
              </w:rPr>
              <w:t>_</w:t>
            </w:r>
            <w:r>
              <w:rPr>
                <w:rFonts w:eastAsia="Times New Roman"/>
                <w:color w:val="000000"/>
                <w:sz w:val="22"/>
                <w:szCs w:val="22"/>
              </w:rPr>
              <w:t>_</w:t>
            </w:r>
            <w:r>
              <w:rPr>
                <w:rFonts w:eastAsia="Times New Roman"/>
                <w:color w:val="000000"/>
                <w:sz w:val="22"/>
                <w:szCs w:val="22"/>
              </w:rPr>
              <w:t>_</w:t>
            </w:r>
            <w:r>
              <w:rPr>
                <w:rFonts w:eastAsia="Times New Roman"/>
                <w:color w:val="000000"/>
                <w:sz w:val="22"/>
                <w:szCs w:val="22"/>
              </w:rPr>
              <w:t>_</w:t>
            </w:r>
            <w:r>
              <w:rPr>
                <w:rFonts w:eastAsia="Times New Roman"/>
                <w:color w:val="000000"/>
                <w:sz w:val="22"/>
                <w:szCs w:val="22"/>
              </w:rPr>
              <w:t>_</w:t>
            </w:r>
            <w:r>
              <w:rPr>
                <w:rFonts w:eastAsia="Times New Roman"/>
                <w:color w:val="000000"/>
                <w:sz w:val="22"/>
                <w:szCs w:val="22"/>
              </w:rPr>
              <w:t>_</w:t>
            </w:r>
            <w:r>
              <w:rPr>
                <w:rFonts w:eastAsia="Times New Roman"/>
                <w:color w:val="000000"/>
                <w:sz w:val="22"/>
                <w:szCs w:val="22"/>
              </w:rPr>
              <w:t>____________________________________________________</w:t>
            </w:r>
          </w:p>
          <w:p w14:paraId="04A73A90" w14:textId="77777777" w:rsidR="00C30472" w:rsidRDefault="0009309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w:t>
            </w:r>
            <w:r>
              <w:rPr>
                <w:rFonts w:eastAsia="Times New Roman"/>
                <w:b/>
                <w:i/>
                <w:color w:val="000000"/>
                <w:sz w:val="22"/>
                <w:szCs w:val="22"/>
              </w:rPr>
              <w:t>ata Kunci:</w:t>
            </w:r>
          </w:p>
          <w:p w14:paraId="1E7E6481" w14:textId="2EFD487E" w:rsidR="00C30472" w:rsidRDefault="003D67DC" w:rsidP="003D67DC">
            <w:pPr>
              <w:pBdr>
                <w:top w:val="nil"/>
                <w:left w:val="nil"/>
                <w:bottom w:val="nil"/>
                <w:right w:val="nil"/>
                <w:between w:val="nil"/>
              </w:pBdr>
              <w:rPr>
                <w:rFonts w:eastAsia="Times New Roman"/>
                <w:i/>
                <w:color w:val="000000"/>
                <w:sz w:val="22"/>
                <w:szCs w:val="22"/>
              </w:rPr>
            </w:pPr>
            <w:bookmarkStart w:id="2" w:name="_Hlk199971538"/>
            <w:r w:rsidRPr="00471EB8">
              <w:rPr>
                <w:sz w:val="22"/>
                <w:szCs w:val="22"/>
                <w:lang w:val="sv-SE"/>
              </w:rPr>
              <w:t>HKBP</w:t>
            </w:r>
            <w:r>
              <w:rPr>
                <w:rFonts w:eastAsia="Times New Roman"/>
                <w:color w:val="000000"/>
                <w:sz w:val="22"/>
                <w:szCs w:val="22"/>
              </w:rPr>
              <w:t>, D</w:t>
            </w:r>
            <w:r w:rsidRPr="00471EB8">
              <w:rPr>
                <w:sz w:val="22"/>
                <w:szCs w:val="22"/>
                <w:lang w:val="sv-SE"/>
              </w:rPr>
              <w:t>inamika</w:t>
            </w:r>
            <w:r>
              <w:rPr>
                <w:sz w:val="22"/>
                <w:szCs w:val="22"/>
                <w:lang w:val="sv-SE"/>
              </w:rPr>
              <w:t>, F</w:t>
            </w:r>
            <w:r w:rsidRPr="00471EB8">
              <w:rPr>
                <w:sz w:val="22"/>
                <w:szCs w:val="22"/>
                <w:lang w:val="sv-SE"/>
              </w:rPr>
              <w:t>ungsionalisme Emile Durkheim</w:t>
            </w:r>
            <w:r>
              <w:rPr>
                <w:sz w:val="22"/>
                <w:szCs w:val="22"/>
                <w:lang w:val="sv-SE"/>
              </w:rPr>
              <w:t>,</w:t>
            </w:r>
            <w:r w:rsidRPr="00471EB8">
              <w:rPr>
                <w:sz w:val="22"/>
                <w:szCs w:val="22"/>
                <w:lang w:val="sv-SE"/>
              </w:rPr>
              <w:t xml:space="preserve"> RMG</w:t>
            </w:r>
            <w:r>
              <w:rPr>
                <w:sz w:val="22"/>
                <w:szCs w:val="22"/>
                <w:lang w:val="sv-SE"/>
              </w:rPr>
              <w:t>,</w:t>
            </w:r>
            <w:r w:rsidRPr="00471EB8">
              <w:rPr>
                <w:sz w:val="22"/>
                <w:szCs w:val="22"/>
                <w:lang w:val="sv-SE"/>
              </w:rPr>
              <w:t xml:space="preserve"> Simalungun</w:t>
            </w:r>
            <w:bookmarkEnd w:id="2"/>
            <w:r w:rsidRPr="00471EB8">
              <w:rPr>
                <w:sz w:val="22"/>
                <w:szCs w:val="22"/>
                <w:lang w:val="sv-SE"/>
              </w:rPr>
              <w:t>.</w:t>
            </w:r>
          </w:p>
          <w:p w14:paraId="71E2798F" w14:textId="77777777" w:rsidR="00C30472" w:rsidRDefault="0009309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9309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9309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lastRenderedPageBreak/>
              <w:t>___________________________________________________________</w:t>
            </w:r>
          </w:p>
          <w:p w14:paraId="44D1E0EB" w14:textId="71458D01" w:rsidR="003A4350" w:rsidRPr="003D67DC" w:rsidRDefault="003D67DC" w:rsidP="003D67DC">
            <w:pPr>
              <w:pStyle w:val="JW17abstract"/>
              <w:spacing w:before="0" w:after="120" w:line="240" w:lineRule="auto"/>
              <w:ind w:left="0"/>
              <w:rPr>
                <w:rFonts w:ascii="Book Antiqua" w:hAnsi="Book Antiqua"/>
                <w:szCs w:val="20"/>
                <w:lang w:val="sv-SE"/>
              </w:rPr>
            </w:pPr>
            <w:r w:rsidRPr="00471EB8">
              <w:rPr>
                <w:rFonts w:ascii="Times New Roman" w:hAnsi="Times New Roman"/>
                <w:i/>
                <w:iCs/>
                <w:sz w:val="22"/>
                <w:lang w:val="sv-SE"/>
              </w:rPr>
              <w:t>This research aims to analyze the dynamics of the development of the Huria Kristen Batak Protestan (HKBP), the challenges it faces, and its contributions to education using Emile Durkheim's functionalism perspective. During the period of 1930-1936, HKBP experienced significant growth, marked by an increase in the number of congregants and the establishment of new churches and schools. The Batak Christian community, particularly from Tapanuli, became the dominant group, while the indigenous Simalungun population became a minority. The presence of the Rheinische Missionsgesellschaft (RMG) not only introduced Christianity but also a European education system that positively impacted the Simalungun community. HKBP functions as a social institution that unites various ethnic and cultural groups, creating a collective identity amidst rapid social changes. However, HKBP also faces challenges from other churches, such as Huria Christen Batak (HChB), Catholic, and Adventist churches, which seek to compete by establishing their own schools. Nevertheless, HKBP remains committed to education, founding various schools that support children's education. This education demonstrates that religion serves as a social glue, as does education, in line with Durkheim's view, which emphasizes the importance of social solidarity in society. Using qualitative research methods and a socio-historical approach, this study reveals the role of HKBP in shaping the Simalungun community and the challenges it faces in a plural environment. The findings indicate that HKBP is indeed very present in Simalungun, demonstrating that the church is not only about spirituality but also serves as a social glue.</w:t>
            </w:r>
          </w:p>
          <w:p w14:paraId="61514CC2" w14:textId="2E8F26D7" w:rsidR="00C30472" w:rsidRDefault="0009309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w:t>
            </w:r>
            <w:r>
              <w:rPr>
                <w:rFonts w:eastAsia="Times New Roman"/>
                <w:i/>
                <w:color w:val="000000"/>
                <w:sz w:val="22"/>
                <w:szCs w:val="22"/>
              </w:rPr>
              <w:t>__________________________________________________</w:t>
            </w:r>
          </w:p>
          <w:p w14:paraId="06FAA9F6" w14:textId="77777777" w:rsidR="00C30472" w:rsidRDefault="0009309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59570307" w14:textId="5DC274B9" w:rsidR="00C30472" w:rsidRPr="003D67DC" w:rsidRDefault="003D67DC">
            <w:pPr>
              <w:pBdr>
                <w:top w:val="nil"/>
                <w:left w:val="nil"/>
                <w:bottom w:val="nil"/>
                <w:right w:val="nil"/>
                <w:between w:val="nil"/>
              </w:pBdr>
              <w:rPr>
                <w:rFonts w:eastAsia="Times New Roman"/>
                <w:i/>
                <w:iCs/>
                <w:color w:val="000000"/>
                <w:sz w:val="22"/>
                <w:szCs w:val="22"/>
              </w:rPr>
            </w:pPr>
            <w:r w:rsidRPr="003D67DC">
              <w:rPr>
                <w:rFonts w:eastAsia="Times New Roman"/>
                <w:i/>
                <w:iCs/>
                <w:color w:val="000000"/>
                <w:sz w:val="22"/>
                <w:szCs w:val="22"/>
              </w:rPr>
              <w:t>HKBP, Dynamics, Emile Durkheim’s Functionalism, RMG, Simalungun.</w:t>
            </w:r>
          </w:p>
          <w:p w14:paraId="7A1C1A60" w14:textId="77777777" w:rsidR="00C30472" w:rsidRDefault="0009309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9"/>
          <w:footerReference w:type="even" r:id="rId10"/>
          <w:footerReference w:type="default" r:id="rId11"/>
          <w:headerReference w:type="first" r:id="rId12"/>
          <w:footerReference w:type="first" r:id="rId13"/>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93090">
      <w:pPr>
        <w:jc w:val="both"/>
        <w:rPr>
          <w:b/>
        </w:rPr>
      </w:pPr>
      <w:r>
        <w:rPr>
          <w:b/>
        </w:rPr>
        <w:t>PENDAHULUAN</w:t>
      </w:r>
    </w:p>
    <w:p w14:paraId="38A3EF19" w14:textId="1E775F94" w:rsidR="003D67DC" w:rsidRPr="000D53A9" w:rsidRDefault="003D67DC" w:rsidP="003D67DC">
      <w:pPr>
        <w:tabs>
          <w:tab w:val="num" w:pos="720"/>
        </w:tabs>
        <w:spacing w:line="360" w:lineRule="auto"/>
        <w:jc w:val="both"/>
        <w:rPr>
          <w:lang w:val="de-DE"/>
        </w:rPr>
      </w:pPr>
      <w:r>
        <w:rPr>
          <w:lang w:val="de-DE"/>
        </w:rPr>
        <w:tab/>
      </w:r>
      <w:r w:rsidRPr="000D53A9">
        <w:rPr>
          <w:lang w:val="de-DE"/>
        </w:rPr>
        <w:t xml:space="preserve">Perkembangan Huria Kristen Batak Protestan (HKBP) di Simalungun tahun 1930-1936 merupakan periode penting dalam sejarah HKBP dan masyarakat batak. Dalam sejarahnya, injil hadir di Simalungun pada tanggal 2 September 1903 oleh August Theis, misionaris yang diutus badan zending </w:t>
      </w:r>
      <w:r w:rsidRPr="000D53A9">
        <w:rPr>
          <w:i/>
          <w:iCs/>
        </w:rPr>
        <w:t xml:space="preserve">Rheinische Missionsgesellschaft </w:t>
      </w:r>
      <w:r w:rsidRPr="000D53A9">
        <w:t>(</w:t>
      </w:r>
      <w:r w:rsidRPr="000D53A9">
        <w:rPr>
          <w:lang w:val="de-DE"/>
        </w:rPr>
        <w:t>RMG).</w:t>
      </w:r>
      <w:r w:rsidRPr="000D53A9">
        <w:rPr>
          <w:rStyle w:val="FootnoteReference"/>
        </w:rPr>
        <w:footnoteReference w:id="1"/>
      </w:r>
      <w:r w:rsidRPr="000D53A9">
        <w:rPr>
          <w:lang w:val="de-DE"/>
        </w:rPr>
        <w:t xml:space="preserve"> Saat itu, injil sudah hadir terlebih dahulu di kalangan masyarakat Tapanuli. Setelah dibukanya arus migrasi pendatang dari Tapanuli ke Simalungun, jumlah kaum Kristen Batak Toba di Simalungun, terutama di sekitar Siantar, semakin meningkat. Secara umum, orang batak Kristen ini diasuh oleh </w:t>
      </w:r>
      <w:r w:rsidRPr="000D53A9">
        <w:rPr>
          <w:i/>
          <w:iCs/>
        </w:rPr>
        <w:t xml:space="preserve">Rheinische Missionsgesellschaft </w:t>
      </w:r>
      <w:r w:rsidRPr="000D53A9">
        <w:t>(RMG), badan zending Jerman yang berhasil mengkristenkan orang batak di Sumatera.</w:t>
      </w:r>
      <w:r w:rsidRPr="000D53A9">
        <w:rPr>
          <w:rStyle w:val="FootnoteReference"/>
        </w:rPr>
        <w:footnoteReference w:id="2"/>
      </w:r>
      <w:r w:rsidRPr="000D53A9">
        <w:rPr>
          <w:lang w:val="de-DE"/>
        </w:rPr>
        <w:t xml:space="preserve"> Tahun 1930, penduduk asli Simalungun sudah menjadi kelompok minoritas, sedangkan para migran dari pulau Jawa dan Tapanuli (Batak Toba, Mandailing, Angkola) dan lain-lain menjadi kelompok yang dominan.</w:t>
      </w:r>
      <w:r w:rsidRPr="000D53A9">
        <w:rPr>
          <w:rStyle w:val="FootnoteReference"/>
        </w:rPr>
        <w:footnoteReference w:id="3"/>
      </w:r>
    </w:p>
    <w:p w14:paraId="0418633C" w14:textId="77777777" w:rsidR="003D67DC" w:rsidRPr="000D53A9" w:rsidRDefault="003D67DC" w:rsidP="003D67DC">
      <w:pPr>
        <w:tabs>
          <w:tab w:val="num" w:pos="720"/>
        </w:tabs>
        <w:spacing w:line="360" w:lineRule="auto"/>
        <w:jc w:val="both"/>
        <w:rPr>
          <w:lang w:val="de-DE"/>
        </w:rPr>
      </w:pPr>
      <w:r w:rsidRPr="000D53A9">
        <w:rPr>
          <w:lang w:val="de-DE"/>
        </w:rPr>
        <w:tab/>
        <w:t>Awal tahun 1930, Pdt. Elkana Situmeang pindah ke Dolok Ilir kemudian digantikan oleh Pdt. Israel Tambunan untuk melayani di HKBP Pematangsiantar dan gereja cabangnya (pagaran).</w:t>
      </w:r>
      <w:r w:rsidRPr="000D53A9">
        <w:rPr>
          <w:rStyle w:val="FootnoteReference"/>
        </w:rPr>
        <w:footnoteReference w:id="4"/>
      </w:r>
      <w:r w:rsidRPr="000D53A9">
        <w:rPr>
          <w:lang w:val="de-DE"/>
        </w:rPr>
        <w:t xml:space="preserve"> Perkembangan HKBP di Simalungun pada periode tersebut, merupakan periode pelayanan Pdt. Israel Tambunan di HKBP pematangsiantar dan pagarannya. Oleh karena itu, penulis menggunakan buku “Ula Jala Surathon! Jilid IV</w:t>
      </w:r>
      <w:r w:rsidRPr="000D53A9">
        <w:t>”</w:t>
      </w:r>
      <w:r w:rsidRPr="000D53A9">
        <w:rPr>
          <w:lang w:val="de-DE"/>
        </w:rPr>
        <w:t xml:space="preserve"> karya Pdt. J. R. Hutauruk sebagai referensi utama dalam menulis makalah ini, dengan melihat laporan bericht (barita jujur taon) dari Pdt. Israel Tambunan.</w:t>
      </w:r>
    </w:p>
    <w:p w14:paraId="36A39D69" w14:textId="77777777" w:rsidR="003D67DC" w:rsidRPr="000D53A9" w:rsidRDefault="003D67DC" w:rsidP="003D67DC">
      <w:pPr>
        <w:tabs>
          <w:tab w:val="num" w:pos="720"/>
        </w:tabs>
        <w:spacing w:line="360" w:lineRule="auto"/>
        <w:ind w:firstLine="567"/>
        <w:jc w:val="both"/>
      </w:pPr>
      <w:r w:rsidRPr="000D53A9">
        <w:rPr>
          <w:lang w:val="de-DE"/>
        </w:rPr>
        <w:t xml:space="preserve">Pada periode ini, perkembangan gereja HKBP sangat signifikan, ditandai dengan bertambahnya jumlah jemaat dan banyaknya gereja baru yang dibangun, serta sekolah baru yang didirikan di kompleks gereja. </w:t>
      </w:r>
      <w:r w:rsidRPr="000D53A9">
        <w:t xml:space="preserve">Pendidikan di Simalungun waktu itu dikelola oleh kalangan swasta, namun kolonial Belanda tetap memberikan izin dan kesempatan kepada missionaris Eropa untuk mengembangkan pendidikan, disamping penyebaran agama Kristen. Izin ini </w:t>
      </w:r>
      <w:r w:rsidRPr="000D53A9">
        <w:lastRenderedPageBreak/>
        <w:t>diberikan kepada badan zending Rheinische Missionsgesellschaft (RMG)</w:t>
      </w:r>
      <w:r w:rsidRPr="000D53A9">
        <w:rPr>
          <w:i/>
          <w:iCs/>
        </w:rPr>
        <w:t xml:space="preserve">, </w:t>
      </w:r>
      <w:r w:rsidRPr="000D53A9">
        <w:t>yang berpusat di Barmen, Jerman.</w:t>
      </w:r>
      <w:r w:rsidRPr="000D53A9">
        <w:rPr>
          <w:rStyle w:val="FootnoteReference"/>
        </w:rPr>
        <w:footnoteReference w:id="5"/>
      </w:r>
    </w:p>
    <w:p w14:paraId="3DDA89DB" w14:textId="77777777" w:rsidR="003D67DC" w:rsidRPr="000D53A9" w:rsidRDefault="003D67DC" w:rsidP="003D67DC">
      <w:pPr>
        <w:tabs>
          <w:tab w:val="num" w:pos="720"/>
        </w:tabs>
        <w:spacing w:line="360" w:lineRule="auto"/>
        <w:ind w:firstLine="567"/>
        <w:jc w:val="both"/>
      </w:pPr>
      <w:r w:rsidRPr="000D53A9">
        <w:t>Kehadiran pendeta misi RMG di tanah Batak tidak hanya berhasil menjadikan masyarakat batak memeluk agama Kristen, namun juga memperkenalkan mereka dengan sistem pendidikan Eropa melalui pendirian sekolah-sekolah misi di setiap lokasi yang berhasil dijangkau zending. Pembukaan sekolah-sekolah misi RMG ini disamput dengan sangat antusias oleh masyarakat batak dengan mengirimkan anak-anak mereka untuk dapat belajar di sekolah-sekolah zending.</w:t>
      </w:r>
      <w:r w:rsidRPr="000D53A9">
        <w:rPr>
          <w:rStyle w:val="FootnoteReference"/>
        </w:rPr>
        <w:footnoteReference w:id="6"/>
      </w:r>
      <w:r w:rsidRPr="000D53A9">
        <w:t xml:space="preserve"> Pada 26 Februari 1930, Pdt. R. Schneider </w:t>
      </w:r>
      <w:r w:rsidRPr="000D53A9">
        <w:rPr>
          <w:i/>
          <w:iCs/>
        </w:rPr>
        <w:t xml:space="preserve">verlof </w:t>
      </w:r>
      <w:r w:rsidRPr="000D53A9">
        <w:t>ke Eropa dan digantikan oleh Pdt. L. Bregenstroth. Pdt. Bregenstroth tidak hanya mementingkan aspek spiritual jemaat, tetapi semangat juga dalam memajukan pendidikan gereja HKBP,</w:t>
      </w:r>
      <w:r w:rsidRPr="000D53A9">
        <w:rPr>
          <w:rStyle w:val="FootnoteReference"/>
        </w:rPr>
        <w:footnoteReference w:id="7"/>
      </w:r>
      <w:r w:rsidRPr="000D53A9">
        <w:t xml:space="preserve"> sehingga gereja ini tidak hanya sebagai tempat peribadahan, tetapi berperan juga dalam bidang pendidikan di Simalungun. Hal ini terbukti dari banyaknya sekolah yang didirikan pada periode 1930-1936 seperti  Christelijke Hollandsch Inlandsche School (HIS), Zendingschool (vervolgschool), Standardschool, Meisjeskopschool, Christelijkeschakelschool, Meisjesvervolgschool, Voorklas MULO, Leergangscholl dan Schakelschool dengan disediakannya </w:t>
      </w:r>
      <w:r w:rsidRPr="000D53A9">
        <w:rPr>
          <w:i/>
          <w:iCs/>
        </w:rPr>
        <w:t xml:space="preserve">internaat </w:t>
      </w:r>
      <w:r w:rsidRPr="000D53A9">
        <w:t>(asrama).</w:t>
      </w:r>
      <w:r w:rsidRPr="000D53A9">
        <w:rPr>
          <w:rStyle w:val="FootnoteReference"/>
        </w:rPr>
        <w:footnoteReference w:id="8"/>
      </w:r>
      <w:r w:rsidRPr="000D53A9">
        <w:t xml:space="preserve"> </w:t>
      </w:r>
    </w:p>
    <w:p w14:paraId="03E75FB1" w14:textId="77777777" w:rsidR="003D67DC" w:rsidRPr="000D53A9" w:rsidRDefault="003D67DC" w:rsidP="003D67DC">
      <w:pPr>
        <w:tabs>
          <w:tab w:val="num" w:pos="720"/>
        </w:tabs>
        <w:spacing w:line="360" w:lineRule="auto"/>
        <w:ind w:firstLine="567"/>
        <w:jc w:val="both"/>
      </w:pPr>
      <w:r w:rsidRPr="000D53A9">
        <w:t>Namun, seiring dengan berkembangnya HKBP di Simalungun, gereja ini diperhadapkan pada berbagai isu. Orang-orang batak Kristen merasa ketidakpuasan mereka diasuh oleh zending Jerman yang dianggap sama dengan penjajahan. Timbul keinginan mereka supaya dapat mandiri dari pengasuhan badan zending RMG.</w:t>
      </w:r>
      <w:r w:rsidRPr="000D53A9">
        <w:rPr>
          <w:rStyle w:val="FootnoteReference"/>
        </w:rPr>
        <w:footnoteReference w:id="9"/>
      </w:r>
      <w:r w:rsidRPr="000D53A9">
        <w:t xml:space="preserve"> Perjuangan melepaskan diri (</w:t>
      </w:r>
      <w:r w:rsidRPr="000D53A9">
        <w:rPr>
          <w:i/>
          <w:iCs/>
        </w:rPr>
        <w:t>selfstandig</w:t>
      </w:r>
      <w:r w:rsidRPr="000D53A9">
        <w:t>) ini datang dari HChB (sekarang sebagai gereja HKI) di Simalungun. HChB adalah gereja mandiri yang pertama di tanah Batak yang berada di Pematangsiantar.</w:t>
      </w:r>
      <w:r w:rsidRPr="000D53A9">
        <w:rPr>
          <w:rStyle w:val="FootnoteReference"/>
        </w:rPr>
        <w:footnoteReference w:id="10"/>
      </w:r>
      <w:r w:rsidRPr="000D53A9">
        <w:t xml:space="preserve"> HChB menganggap zending Jerman otoriter dan semuanya mau diatur oleh misi Barmen, padahal mereka meminta supaya orang batak sendiri yang bertanggung jawab penuh atas Huria Batak.</w:t>
      </w:r>
      <w:r w:rsidRPr="000D53A9">
        <w:rPr>
          <w:rStyle w:val="FootnoteReference"/>
        </w:rPr>
        <w:footnoteReference w:id="11"/>
      </w:r>
      <w:r w:rsidRPr="000D53A9">
        <w:t xml:space="preserve"> Gereja HChB merupakan pecahan keempat dari RMG, dimana sebelumnya sudah dibentuk Mission Batak serta Hoeria Kristen Batak di Medan dan Poengoean Kristen Batak di Batavia yang nama-namanya sudah memperlihatkan segi pedaerahan yang sempit.</w:t>
      </w:r>
    </w:p>
    <w:p w14:paraId="5E4EC791" w14:textId="77777777" w:rsidR="003D67DC" w:rsidRPr="000D53A9" w:rsidRDefault="003D67DC" w:rsidP="003D67DC">
      <w:pPr>
        <w:tabs>
          <w:tab w:val="num" w:pos="720"/>
        </w:tabs>
        <w:spacing w:line="360" w:lineRule="auto"/>
        <w:ind w:firstLine="567"/>
        <w:jc w:val="both"/>
      </w:pPr>
      <w:r w:rsidRPr="000D53A9">
        <w:lastRenderedPageBreak/>
        <w:t xml:space="preserve"> HChB merupakan gereja yang memisahkan diri dari HKBP, RMG (Rheinische</w:t>
      </w:r>
      <w:r w:rsidRPr="000D53A9">
        <w:rPr>
          <w:i/>
          <w:iCs/>
        </w:rPr>
        <w:t xml:space="preserve"> </w:t>
      </w:r>
      <w:r w:rsidRPr="000D53A9">
        <w:t>Missionsgesellschaft) waktu itu. HChB didirikan pada 1 Mei 1927 di Pematangsiantar oleh kaum awam bernama Sutan Malu Panggabean. Salah satu alasan mendirikan gereja mandiri itu (</w:t>
      </w:r>
      <w:r w:rsidRPr="000D53A9">
        <w:rPr>
          <w:i/>
          <w:iCs/>
        </w:rPr>
        <w:t>selfstandig</w:t>
      </w:r>
      <w:r w:rsidRPr="000D53A9">
        <w:t>) adalah permintaan jemaat Pematangsiantar yang ada di Pantoan untuk membangun gedung gereja ditolak. Sehingga, mereka harus tetap bergereja ke Pematangsiantar, padahal jaraknya jauh ±4 kilometer dari Pantoan.</w:t>
      </w:r>
      <w:r w:rsidRPr="000D53A9">
        <w:rPr>
          <w:rStyle w:val="FootnoteReference"/>
        </w:rPr>
        <w:footnoteReference w:id="12"/>
      </w:r>
      <w:r w:rsidRPr="000D53A9">
        <w:t xml:space="preserve"> Sutan Malu diangkat menjadi pendeta pada tahun 1934.</w:t>
      </w:r>
      <w:r w:rsidRPr="000D53A9">
        <w:rPr>
          <w:rStyle w:val="FootnoteReference"/>
        </w:rPr>
        <w:footnoteReference w:id="13"/>
      </w:r>
      <w:r w:rsidRPr="000D53A9">
        <w:t xml:space="preserve"> </w:t>
      </w:r>
    </w:p>
    <w:p w14:paraId="0F4ADD58" w14:textId="77777777" w:rsidR="003D67DC" w:rsidRPr="000D53A9" w:rsidRDefault="003D67DC" w:rsidP="003D67DC">
      <w:pPr>
        <w:tabs>
          <w:tab w:val="num" w:pos="720"/>
        </w:tabs>
        <w:spacing w:line="360" w:lineRule="auto"/>
        <w:ind w:firstLine="567"/>
        <w:jc w:val="both"/>
      </w:pPr>
      <w:r w:rsidRPr="000D53A9">
        <w:t>Selain itu, HKBP juga diperhadapkan mengenai masalah dengan Roma Katolik. Intensitas pengenalan HKBP terhadap gereja Katolik baru mulai tahun 1930-an, itupun pengenalan dari segi persaingan yang tidak sehat dalam usaha menggarap orang Kristen Batak (warga HKBP) menjadi anggota gereja Katolik. Sehingga pada awalnya, HKBP sangat ketat menjaga jemaatnya supaya jangan sampai terpengaruh oleh bujukan Katolik.</w:t>
      </w:r>
      <w:r w:rsidRPr="000D53A9">
        <w:rPr>
          <w:rStyle w:val="FootnoteReference"/>
        </w:rPr>
        <w:footnoteReference w:id="14"/>
      </w:r>
      <w:r w:rsidRPr="000D53A9">
        <w:t xml:space="preserve"> Katolik mendirikan gereja dan sekolah di Pematangsiantar, pada tahun 1933.</w:t>
      </w:r>
      <w:r w:rsidRPr="000D53A9">
        <w:rPr>
          <w:rStyle w:val="FootnoteReference"/>
        </w:rPr>
        <w:footnoteReference w:id="15"/>
      </w:r>
      <w:r w:rsidRPr="000D53A9">
        <w:t xml:space="preserve"> </w:t>
      </w:r>
    </w:p>
    <w:p w14:paraId="461A4060" w14:textId="77777777" w:rsidR="003D67DC" w:rsidRPr="000D53A9" w:rsidRDefault="003D67DC" w:rsidP="003D67DC">
      <w:pPr>
        <w:tabs>
          <w:tab w:val="num" w:pos="720"/>
        </w:tabs>
        <w:spacing w:line="360" w:lineRule="auto"/>
        <w:ind w:firstLine="567"/>
        <w:jc w:val="both"/>
      </w:pPr>
      <w:r w:rsidRPr="000D53A9">
        <w:t xml:space="preserve">Kemudian, muncul masalah lain terkait kehadiran </w:t>
      </w:r>
      <w:r w:rsidRPr="000D53A9">
        <w:rPr>
          <w:i/>
          <w:iCs/>
        </w:rPr>
        <w:t>Seventhday Adventist</w:t>
      </w:r>
      <w:r w:rsidRPr="000D53A9">
        <w:t xml:space="preserve"> di Siantar. Gereja ini pertama kali masuk ke Indonesia tepatnya Padang pada tahun 1900 oleh Ralph Waldo Munson. Pada awalnya ia merupakan misionaris gereja Metodis untuk Burma dan Singapura melalui misi Malaya tahun 1885. Setelah kembali ke Amerika Serikat pada tahun 1896 dalam kondisi kesehatan buruk, Munson bertobat dan bergabung dengan Gereja Advent Hari Ketujuh pada 1898. Ia kemudian mengajukan permohonan untuk menjadi misionaris di Asia Tenggara dan dikirim ke Padang, Sumatra.</w:t>
      </w:r>
      <w:r w:rsidRPr="000D53A9">
        <w:rPr>
          <w:rStyle w:val="FootnoteReference"/>
        </w:rPr>
        <w:footnoteReference w:id="16"/>
      </w:r>
      <w:r w:rsidRPr="000D53A9">
        <w:t xml:space="preserve"> Kemudian, dari sana ajaran Adventist menyebar ke tanah batak yang dibawa oleh Immanuel Siregar.</w:t>
      </w:r>
      <w:r w:rsidRPr="000D53A9">
        <w:rPr>
          <w:rStyle w:val="FootnoteReference"/>
        </w:rPr>
        <w:footnoteReference w:id="17"/>
      </w:r>
      <w:r w:rsidRPr="000D53A9">
        <w:t xml:space="preserve"> Gereja ini melakukan persekutuan beribadah setiap hari sabtu, yang dimana mereka mengatakan bahwa agamanya mengikuti ajaran agama Yahudi. Mereka melakukan perluasan sekte gerejanya dengan mengadakan kursus dan menjual buku kepada banyak orang.</w:t>
      </w:r>
      <w:r w:rsidRPr="000D53A9">
        <w:rPr>
          <w:rStyle w:val="FootnoteReference"/>
        </w:rPr>
        <w:footnoteReference w:id="18"/>
      </w:r>
      <w:r w:rsidRPr="000D53A9">
        <w:rPr>
          <w:color w:val="FF0000"/>
        </w:rPr>
        <w:t xml:space="preserve"> </w:t>
      </w:r>
    </w:p>
    <w:p w14:paraId="782480AF" w14:textId="77777777" w:rsidR="003D67DC" w:rsidRPr="000D53A9" w:rsidRDefault="003D67DC" w:rsidP="003D67DC">
      <w:pPr>
        <w:tabs>
          <w:tab w:val="num" w:pos="720"/>
        </w:tabs>
        <w:spacing w:line="360" w:lineRule="auto"/>
        <w:ind w:firstLine="567"/>
        <w:jc w:val="both"/>
      </w:pPr>
      <w:r w:rsidRPr="000D53A9">
        <w:lastRenderedPageBreak/>
        <w:t>Menariknya, banyak jemaat dan pelayan di HChB dan Katolik saat itu, sebelumnya merupakan pendeta atau guru injil di HKBP. Hal ini menunjukkan adanya dinamika yang kompleks dalam pergeseran keanggotaan dan pengaruh antar gereja, dimana individu-individu yang pernah berkontribusi dalam HKBP kini beralih ke gereja lain, sehingga hal ini menjadi tantangan bagi gereja HKBP dalam mempertahankan jemaatnya.</w:t>
      </w:r>
    </w:p>
    <w:p w14:paraId="2B69A34D" w14:textId="77777777" w:rsidR="003D67DC" w:rsidRPr="000D53A9" w:rsidRDefault="003D67DC" w:rsidP="003D67DC">
      <w:pPr>
        <w:spacing w:line="360" w:lineRule="auto"/>
        <w:ind w:firstLine="567"/>
        <w:jc w:val="both"/>
      </w:pPr>
      <w:r w:rsidRPr="000D53A9">
        <w:t xml:space="preserve">Masalah yang hendak dieksplorasi dalam makalah ini adalah perkembangan HKBP di Simalungun pada periode 1930-1936, yang ditinjau dari perspektif fungsionalisme Durkheim, yang berfokus pada bagaimana institusi sosial, seperti gereja, berfungsi untuk mempertahankan keseimbangan dan stabilitas sosial. Oleh sebab itu, makalah ini bertujuan untuk menganalisis perkembangan HKBP di Simalungun tahun 1930-1936, khususnya dalam menghadapi tantangan dari gereja lain dan kontribusinya di bidang pendidikan. Adapun metode yang digunakan dalam penelitian ini adalah metode sosiohistoris, dengan sumber primer laporan Pdt. Israel Tambunan yang dimuat dalam buku </w:t>
      </w:r>
      <w:r w:rsidRPr="000D53A9">
        <w:rPr>
          <w:i/>
          <w:iCs/>
        </w:rPr>
        <w:t>Ula Jala Surathon</w:t>
      </w:r>
      <w:r w:rsidRPr="000D53A9">
        <w:t>. Dengan demikian, penelitian ini diharapkan dapat memberikan kontribusi pada pemahaman tentang perkembangan HKBP di Simalungun pada periode 1930-1936, serta bagaimana gereja ini berperan penting dalam masyarakat Simalungun.</w:t>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93090">
      <w:pPr>
        <w:tabs>
          <w:tab w:val="left" w:pos="284"/>
        </w:tabs>
        <w:jc w:val="both"/>
        <w:rPr>
          <w:b/>
        </w:rPr>
      </w:pPr>
      <w:r>
        <w:rPr>
          <w:b/>
        </w:rPr>
        <w:t>METODE PENELITIAN</w:t>
      </w:r>
    </w:p>
    <w:p w14:paraId="50551D0B" w14:textId="04154CBF" w:rsidR="00C30472" w:rsidRPr="003D67DC" w:rsidRDefault="003D67DC" w:rsidP="003D67DC">
      <w:pPr>
        <w:pStyle w:val="JW31text"/>
        <w:spacing w:after="120" w:line="360" w:lineRule="auto"/>
        <w:ind w:firstLine="567"/>
        <w:rPr>
          <w:rFonts w:ascii="Times New Roman" w:hAnsi="Times New Roman"/>
          <w:sz w:val="24"/>
          <w:szCs w:val="24"/>
          <w:lang w:val="sv-SE"/>
        </w:rPr>
      </w:pPr>
      <w:bookmarkStart w:id="3" w:name="_Hlk199971832"/>
      <w:r w:rsidRPr="003D67DC">
        <w:rPr>
          <w:rFonts w:ascii="Times New Roman" w:hAnsi="Times New Roman"/>
          <w:sz w:val="24"/>
          <w:szCs w:val="24"/>
          <w:lang w:val="sv-SE"/>
        </w:rPr>
        <w:t xml:space="preserve">Metode yang digunakan dalam penelitian ini adalah metodologi penelitian kualitatif, yang dilakukan melalui tinjauan kepustakaan dengan mengunjungi, mengumpulkan dan mengolah berbagai sumber, seperti buku, disertasi, jurnal, yang relevan dengan sejarah perkembangan HKBP di Simalungun pada periode 1930-1936. Dalam proses tersebut, penulis menggunakan perspektif teoritis fungsionalisme Durkheim. Pendekatan ini menekankan peran agama dalam masyarakat Simalungun, sehingga memberikan pemahaman yang lebih mendalam mengenai penelitian ini. Selain itu, penelitian ini disusun dengan menerapkan metode sejarah dengan pendekatan sosiohistoris, dengan sumber primer laporan Pdt. Israel Tambunan yang dimuat dalam buku </w:t>
      </w:r>
      <w:r w:rsidRPr="003D67DC">
        <w:rPr>
          <w:rFonts w:ascii="Times New Roman" w:hAnsi="Times New Roman"/>
          <w:i/>
          <w:iCs/>
          <w:sz w:val="24"/>
          <w:szCs w:val="24"/>
          <w:lang w:val="sv-SE"/>
        </w:rPr>
        <w:t>Ula Jala Surathon</w:t>
      </w:r>
      <w:r w:rsidRPr="003D67DC">
        <w:rPr>
          <w:rFonts w:ascii="Times New Roman" w:hAnsi="Times New Roman"/>
          <w:sz w:val="24"/>
          <w:szCs w:val="24"/>
          <w:lang w:val="sv-SE"/>
        </w:rPr>
        <w:t>. Metode ini sangat memungkinkan penulis untuk menganalisis dinamika sosial dan historis dalam masyarakat Simalungun, serta perkembangan HKBP selama periode yang diteliti.</w:t>
      </w:r>
      <w:bookmarkEnd w:id="3"/>
    </w:p>
    <w:p w14:paraId="6C4811C0" w14:textId="77777777" w:rsidR="00C30472" w:rsidRDefault="00C30472">
      <w:pPr>
        <w:jc w:val="both"/>
        <w:rPr>
          <w:b/>
        </w:rPr>
      </w:pPr>
    </w:p>
    <w:p w14:paraId="23DDDC07" w14:textId="77777777" w:rsidR="00C30472" w:rsidRDefault="00093090">
      <w:pPr>
        <w:jc w:val="both"/>
        <w:rPr>
          <w:b/>
        </w:rPr>
      </w:pPr>
      <w:r>
        <w:rPr>
          <w:b/>
        </w:rPr>
        <w:t>HASIL DAN PEMBAHASAN</w:t>
      </w:r>
    </w:p>
    <w:p w14:paraId="4C27F619" w14:textId="77777777" w:rsidR="003D67DC" w:rsidRPr="003F54F4" w:rsidRDefault="003D67DC" w:rsidP="003D67DC">
      <w:pPr>
        <w:tabs>
          <w:tab w:val="num" w:pos="720"/>
        </w:tabs>
        <w:spacing w:line="360" w:lineRule="auto"/>
        <w:jc w:val="both"/>
        <w:rPr>
          <w:b/>
          <w:bCs/>
          <w:lang w:val="de-DE"/>
        </w:rPr>
      </w:pPr>
      <w:r w:rsidRPr="003F54F4">
        <w:rPr>
          <w:b/>
          <w:bCs/>
          <w:lang w:val="de-DE"/>
        </w:rPr>
        <w:t>Perspektif Teoritis: Agama dan Masyarakat</w:t>
      </w:r>
    </w:p>
    <w:p w14:paraId="3419035C" w14:textId="77777777" w:rsidR="003D67DC" w:rsidRPr="000D53A9" w:rsidRDefault="003D67DC" w:rsidP="003D67DC">
      <w:pPr>
        <w:spacing w:line="360" w:lineRule="auto"/>
        <w:ind w:firstLine="567"/>
        <w:jc w:val="both"/>
      </w:pPr>
      <w:r w:rsidRPr="000D53A9">
        <w:rPr>
          <w:lang w:val="de-DE"/>
        </w:rPr>
        <w:tab/>
      </w:r>
      <w:r w:rsidRPr="000D53A9">
        <w:t xml:space="preserve">Emile Durkheim, seorang sosiolog terkemuka, mengembangkan pendekatan fungsionalisme dalam analisisnya mengenai fungsi agama dalam masyarakat. Konteks sosial yang melatarbelakangi teori Durkheim berkaitan erat dengan adanya pembagian kerja sosial </w:t>
      </w:r>
      <w:r w:rsidRPr="000D53A9">
        <w:lastRenderedPageBreak/>
        <w:t>yang kompleks dalam masyarakat. Ia berpendapat bahwa masyarakat tidak bersifat homogen dan mengalami perkembangan yang tidak selalu bersifat drastis.  Durkheim juga mengatakan bahwa perilaku seseorang dipengaruhi oleh interaksi dengan lingkungan sosialnya, yang mencerminkan dinamika sosial yang lebih luas.</w:t>
      </w:r>
      <w:r w:rsidRPr="000D53A9">
        <w:rPr>
          <w:rStyle w:val="FootnoteReference"/>
        </w:rPr>
        <w:footnoteReference w:id="19"/>
      </w:r>
      <w:r w:rsidRPr="000D53A9">
        <w:t xml:space="preserve"> </w:t>
      </w:r>
      <w:r w:rsidRPr="000D53A9">
        <w:rPr>
          <w:lang w:val="de-DE"/>
        </w:rPr>
        <w:t>Durkheim juga berpendapat bahwa suatu sistem sosial bekerja seperti sistem organik. Masyarakat terbentuk dari struktur-struktur aturan kebudayaan, yakni keyakinan dan praktik yang sudah mantap, yang terhadap keyakinan dan praktik itu warga masyarakat tunduk dan taat.</w:t>
      </w:r>
      <w:r w:rsidRPr="000D53A9">
        <w:rPr>
          <w:rStyle w:val="FootnoteReference"/>
        </w:rPr>
        <w:footnoteReference w:id="20"/>
      </w:r>
      <w:r w:rsidRPr="000D53A9">
        <w:rPr>
          <w:i/>
          <w:iCs/>
          <w:lang w:val="de-DE"/>
        </w:rPr>
        <w:t xml:space="preserve"> </w:t>
      </w:r>
      <w:r w:rsidRPr="000D53A9">
        <w:rPr>
          <w:lang w:val="de-DE"/>
        </w:rPr>
        <w:t>Agama dipandang Durkheim sebagai perekat sosial dan norma dalam masyarakat, jadi setiap masyarakat memerlukan agama karena dapat membentuk moral setiap orang.</w:t>
      </w:r>
      <w:r w:rsidRPr="000D53A9">
        <w:rPr>
          <w:rStyle w:val="FootnoteReference"/>
        </w:rPr>
        <w:footnoteReference w:id="21"/>
      </w:r>
      <w:r w:rsidRPr="000D53A9">
        <w:rPr>
          <w:lang w:val="de-DE"/>
        </w:rPr>
        <w:t xml:space="preserve"> Salah satu konsep kunci pemikiran Durkheim adalah solidaritas sosial, yang berkaitan dengan bagaimana masyarakat dapat menjaga keteraturan dan integrasi melalui norma dan nilai bersama.</w:t>
      </w:r>
      <w:r w:rsidRPr="000D53A9">
        <w:rPr>
          <w:rStyle w:val="FootnoteReference"/>
        </w:rPr>
        <w:footnoteReference w:id="22"/>
      </w:r>
      <w:r w:rsidRPr="000D53A9">
        <w:rPr>
          <w:i/>
          <w:iCs/>
          <w:lang w:val="de-DE"/>
        </w:rPr>
        <w:t xml:space="preserve"> </w:t>
      </w:r>
      <w:r w:rsidRPr="000D53A9">
        <w:rPr>
          <w:lang w:val="de-DE"/>
        </w:rPr>
        <w:t>Emile Durkheim berpendapat bahwa pendidikan berfungsi sebagai sarana utama untuk membangun dan menjaga solidaritas sosial dalam masyarakat.</w:t>
      </w:r>
      <w:r w:rsidRPr="000D53A9">
        <w:rPr>
          <w:rStyle w:val="FootnoteReference"/>
        </w:rPr>
        <w:footnoteReference w:id="23"/>
      </w:r>
      <w:r w:rsidRPr="000D53A9">
        <w:rPr>
          <w:lang w:val="de-DE"/>
        </w:rPr>
        <w:t xml:space="preserve"> </w:t>
      </w:r>
    </w:p>
    <w:p w14:paraId="3EA2B7F0" w14:textId="77777777" w:rsidR="003D67DC" w:rsidRPr="000D53A9" w:rsidRDefault="003D67DC" w:rsidP="003D67DC">
      <w:pPr>
        <w:spacing w:line="360" w:lineRule="auto"/>
        <w:ind w:firstLine="567"/>
        <w:jc w:val="both"/>
      </w:pPr>
      <w:r w:rsidRPr="000D53A9">
        <w:t>Durkheim menekankan bahwa agama berfungsi sebagai perekat sosial yang menciptakan keteraturan dan integrasi dalam masyarakat. Kehadiran gereja HKBP tidak hanya sebagai tempat ibadah, tetapi juga sebagai pusat pendidikan dan pengembangan sosial. Dengan berdirinya sekolah-sekolah misi yang dikelola oleh HKBP, gereja berperan dalam meningkatkan kualitas pendidikan masyarakat Simalungun, yang pada gilirannya memperkuat solidaritas sosial di antara jemaat. Melalui pendidikan, HKBP tidak hanya mengajarkan ajaran Kristen, tetapi juga nilai-nilai sosial yang penting bagi kehidupan bermasyarakat. Hal ini sejalan dengan pandangan Durkheim bahwa pendidikan adalah sarana utama untuk membangun dan menjaga solidaritas sosial. Pendidikan tidak hanya berkaitan dengan pengajaran ilmu pengetahuan, tetapi juga berperan sebagai media untuk menanamkan nilai-nilai sosial dan moral yang menjadi dasar kehidupan bersama, sehingga dapat menciptakan solidaritas di antara anggota masyarakat.</w:t>
      </w:r>
    </w:p>
    <w:p w14:paraId="03775206" w14:textId="77777777" w:rsidR="003D67DC" w:rsidRPr="000D53A9" w:rsidRDefault="003D67DC" w:rsidP="003D67DC">
      <w:pPr>
        <w:spacing w:line="360" w:lineRule="auto"/>
        <w:ind w:firstLine="567"/>
        <w:jc w:val="both"/>
      </w:pPr>
      <w:r w:rsidRPr="000D53A9">
        <w:lastRenderedPageBreak/>
        <w:t xml:space="preserve">Durkheim juga menggarisbawahi pentingnya dinamika sosial dalam perkembangan masyarakat. Proses ini menciptakan perubahan dalam struktur sosial masyarakat Simalungun, di mana orang Batak Kristen dari Tapanuli menjadi kelompok dominan. Dalam hal ini, HKBP berfungsi sebagai institusi yang menyatukan berbagai kelompok etnis dan budaya, menciptakan identitas kolektif yang kuat di tengah perubahan sosial yang cepat. Gereja berfungsi sebagai tempat berkumpulnya orang-orang yang memiliki keyakinan yang sama, sehingga menciptakan rasa kebersamaan dan identitas kultural yang kuat. </w:t>
      </w:r>
    </w:p>
    <w:p w14:paraId="13926FDF" w14:textId="77777777" w:rsidR="003D67DC" w:rsidRPr="000D53A9" w:rsidRDefault="003D67DC" w:rsidP="003D67DC">
      <w:pPr>
        <w:tabs>
          <w:tab w:val="num" w:pos="720"/>
        </w:tabs>
        <w:spacing w:line="360" w:lineRule="auto"/>
        <w:jc w:val="both"/>
        <w:rPr>
          <w:i/>
          <w:iCs/>
          <w:color w:val="FF0000"/>
          <w:lang w:val="de-DE"/>
        </w:rPr>
      </w:pPr>
    </w:p>
    <w:p w14:paraId="73DA809F" w14:textId="77777777" w:rsidR="003D67DC" w:rsidRPr="003F54F4" w:rsidRDefault="003D67DC" w:rsidP="003D67DC">
      <w:pPr>
        <w:tabs>
          <w:tab w:val="num" w:pos="720"/>
        </w:tabs>
        <w:spacing w:line="360" w:lineRule="auto"/>
        <w:jc w:val="both"/>
        <w:rPr>
          <w:b/>
          <w:bCs/>
        </w:rPr>
      </w:pPr>
      <w:r w:rsidRPr="003F54F4">
        <w:rPr>
          <w:b/>
          <w:bCs/>
        </w:rPr>
        <w:t>Konteks Sosial Simalungun, 1930-1936</w:t>
      </w:r>
    </w:p>
    <w:p w14:paraId="20853FF6" w14:textId="77777777" w:rsidR="003D67DC" w:rsidRPr="000D53A9" w:rsidRDefault="003D67DC" w:rsidP="003D67DC">
      <w:pPr>
        <w:tabs>
          <w:tab w:val="num" w:pos="720"/>
        </w:tabs>
        <w:spacing w:line="360" w:lineRule="auto"/>
        <w:jc w:val="both"/>
      </w:pPr>
      <w:r w:rsidRPr="000D53A9">
        <w:rPr>
          <w:color w:val="FF0000"/>
        </w:rPr>
        <w:tab/>
      </w:r>
      <w:r w:rsidRPr="000D53A9">
        <w:t>Simalungun merujuk pada kumpulan tujuh daerah yang merupakan bagian dari kerajaan Batak Timur. Wilayah batak timur sendiri adalah daerah yang dihuni oleh kelompok suku yang dikenal sebagai Simalungun. Etnik yang dimaksud adalah suku Pakpak, Toba, Mandailing/ Angkola dan Karo. Kerajaan batak timur yaitu kerajaan Silou, kerajaan Panei, kerajaan Siantar, kerajaan Tanoh Jawa, kerajaan Similakuta, kerajaan Purba dan kerajaan Raya.</w:t>
      </w:r>
      <w:r w:rsidRPr="000D53A9">
        <w:rPr>
          <w:rStyle w:val="FootnoteReference"/>
        </w:rPr>
        <w:footnoteReference w:id="24"/>
      </w:r>
      <w:r w:rsidRPr="000D53A9">
        <w:t xml:space="preserve"> Ketujuh kerajaan ini kemudian</w:t>
      </w:r>
      <w:r w:rsidRPr="000D53A9">
        <w:rPr>
          <w:color w:val="FF0000"/>
        </w:rPr>
        <w:t xml:space="preserve"> </w:t>
      </w:r>
      <w:r w:rsidRPr="000D53A9">
        <w:t xml:space="preserve">digabungkan menjadi satu </w:t>
      </w:r>
      <w:r w:rsidRPr="000D53A9">
        <w:rPr>
          <w:i/>
          <w:iCs/>
        </w:rPr>
        <w:t xml:space="preserve">onderafdeeling Simeloengoen </w:t>
      </w:r>
      <w:r w:rsidRPr="000D53A9">
        <w:t xml:space="preserve">dan di bawah pengawasan seorang </w:t>
      </w:r>
      <w:r w:rsidRPr="000D53A9">
        <w:rPr>
          <w:i/>
          <w:iCs/>
        </w:rPr>
        <w:t>Controleur.</w:t>
      </w:r>
      <w:r w:rsidRPr="000D53A9">
        <w:rPr>
          <w:rStyle w:val="FootnoteReference"/>
        </w:rPr>
        <w:footnoteReference w:id="25"/>
      </w:r>
      <w:r w:rsidRPr="000D53A9">
        <w:rPr>
          <w:i/>
          <w:iCs/>
        </w:rPr>
        <w:t xml:space="preserve"> </w:t>
      </w:r>
      <w:r w:rsidRPr="000D53A9">
        <w:t>Sebelum terbentuknya pemerintahan kolonial Belanda, pusat pemerintahan kerajaan Siantar adalah kota Pematangsiantar. Adanya penetrasi kolonial Belanda untuk memperluas pengaruh politik dan ekonomi di kerajaan Siantar, membuat kedaulatan wilayah kerajaan Siantar terganggu. Sehingga, kerajaan-kerajaan di Simalungun yang pemerintahannya berjalan menurut adat-istiadat, berubah setelah kedatangan bangsa barat tahun 1865.</w:t>
      </w:r>
      <w:r w:rsidRPr="000D53A9">
        <w:rPr>
          <w:rStyle w:val="FootnoteReference"/>
        </w:rPr>
        <w:footnoteReference w:id="26"/>
      </w:r>
    </w:p>
    <w:p w14:paraId="32F37EEF" w14:textId="77777777" w:rsidR="003D67DC" w:rsidRPr="000D53A9" w:rsidRDefault="003D67DC" w:rsidP="003D67DC">
      <w:pPr>
        <w:tabs>
          <w:tab w:val="num" w:pos="720"/>
        </w:tabs>
        <w:spacing w:line="360" w:lineRule="auto"/>
        <w:jc w:val="both"/>
        <w:rPr>
          <w:lang w:val="de-DE"/>
        </w:rPr>
      </w:pPr>
      <w:r w:rsidRPr="000D53A9">
        <w:rPr>
          <w:color w:val="365F91" w:themeColor="accent1" w:themeShade="BF"/>
        </w:rPr>
        <w:tab/>
      </w:r>
      <w:r w:rsidRPr="000D53A9">
        <w:rPr>
          <w:lang w:val="de-DE"/>
        </w:rPr>
        <w:t>Sekitar tahun 1900-an suku Simalungun memasuki episode sejarah baru yang membawa mereka ke dalam dinamika sosial budaya.</w:t>
      </w:r>
      <w:r w:rsidRPr="000D53A9">
        <w:rPr>
          <w:rStyle w:val="FootnoteReference"/>
        </w:rPr>
        <w:footnoteReference w:id="27"/>
      </w:r>
      <w:r w:rsidRPr="000D53A9">
        <w:rPr>
          <w:lang w:val="de-DE"/>
        </w:rPr>
        <w:t xml:space="preserve">  Dari sudut budaya masyarakat Simalungun mempunyai kepribadian yang lemah lembut, rendah hati (bukan merendah diri). Suku batak timur atau suku Simalungun ini merupakan peralihan yang berdiri sendiri, diantara suku Karo dan Toba.</w:t>
      </w:r>
      <w:r w:rsidRPr="000D53A9">
        <w:rPr>
          <w:rStyle w:val="FootnoteReference"/>
        </w:rPr>
        <w:footnoteReference w:id="28"/>
      </w:r>
      <w:r w:rsidRPr="000D53A9">
        <w:rPr>
          <w:lang w:val="de-DE"/>
        </w:rPr>
        <w:t xml:space="preserve"> Suku batak berada di pedalaman dan merasa aman untuk mengadakan perdagangan yang bertempat tinggal di sekitar tepi pantai. Mereka takut apabila mereka tertangkap, akan dijadikan budak belian. Menurut penyelidikan secara politisnya, </w:t>
      </w:r>
      <w:r w:rsidRPr="000D53A9">
        <w:rPr>
          <w:lang w:val="de-DE"/>
        </w:rPr>
        <w:lastRenderedPageBreak/>
        <w:t>hanya didaerah pesisir yang dapat diberikan tanah pertanian besar mengingat hubungan dengan raja-raja di Simalungun masih bermusuhan.</w:t>
      </w:r>
      <w:r w:rsidRPr="000D53A9">
        <w:rPr>
          <w:rStyle w:val="FootnoteReference"/>
        </w:rPr>
        <w:footnoteReference w:id="29"/>
      </w:r>
    </w:p>
    <w:p w14:paraId="42596400" w14:textId="77777777" w:rsidR="003D67DC" w:rsidRPr="000D53A9" w:rsidRDefault="003D67DC" w:rsidP="003D67DC">
      <w:pPr>
        <w:tabs>
          <w:tab w:val="num" w:pos="720"/>
        </w:tabs>
        <w:spacing w:line="360" w:lineRule="auto"/>
        <w:jc w:val="both"/>
        <w:rPr>
          <w:lang w:val="de-DE"/>
        </w:rPr>
      </w:pPr>
      <w:r w:rsidRPr="000D53A9">
        <w:rPr>
          <w:lang w:val="de-DE"/>
        </w:rPr>
        <w:tab/>
        <w:t>Sejak 1907, wilayah Siantar dikembangkan menjadi basis perkebunan, ekonomi, pemerintahan, sosial, politik Belanda di Simalungun. Terlihat dari dibangunnya pusat-pusat perekonomian seperti kantor, kantor pos, bioskop, sekolah, balaikota dan lainnya, serta infrastruktur jalan (</w:t>
      </w:r>
      <w:r w:rsidRPr="000D53A9">
        <w:rPr>
          <w:i/>
          <w:iCs/>
          <w:lang w:val="de-DE"/>
        </w:rPr>
        <w:t>straat</w:t>
      </w:r>
      <w:r w:rsidRPr="000D53A9">
        <w:rPr>
          <w:lang w:val="de-DE"/>
        </w:rPr>
        <w:t>), jalan yang standar (</w:t>
      </w:r>
      <w:r w:rsidRPr="000D53A9">
        <w:rPr>
          <w:i/>
          <w:iCs/>
          <w:lang w:val="de-DE"/>
        </w:rPr>
        <w:t>laan</w:t>
      </w:r>
      <w:r w:rsidRPr="000D53A9">
        <w:rPr>
          <w:lang w:val="de-DE"/>
        </w:rPr>
        <w:t>), gang (</w:t>
      </w:r>
      <w:r w:rsidRPr="000D53A9">
        <w:rPr>
          <w:i/>
          <w:iCs/>
          <w:lang w:val="de-DE"/>
        </w:rPr>
        <w:t>weg</w:t>
      </w:r>
      <w:r w:rsidRPr="000D53A9">
        <w:rPr>
          <w:lang w:val="de-DE"/>
        </w:rPr>
        <w:t>) dan lain-lain.</w:t>
      </w:r>
      <w:r w:rsidRPr="000D53A9">
        <w:rPr>
          <w:rStyle w:val="FootnoteReference"/>
        </w:rPr>
        <w:footnoteReference w:id="30"/>
      </w:r>
      <w:r w:rsidRPr="000D53A9">
        <w:rPr>
          <w:lang w:val="de-DE"/>
        </w:rPr>
        <w:t xml:space="preserve"> Penduduk kerajaan Siantar selalu menerima orang-orang yang datang ke daerah mereka, asalkan tidak mengganggu ketertiban. Mereka diizinkan untuk menjalankan adat dan budaya mereka dalam hubungan keluarga, meskipun mereka adalah pendatang. Namun, hak mereka atas tanah yang mereka gunakan hanya bersifat pinjam pakai, jadi tanah itu tidak bisa dijual atau diwariskan kepada anak cucu mereka.</w:t>
      </w:r>
      <w:r w:rsidRPr="000D53A9">
        <w:rPr>
          <w:rStyle w:val="FootnoteReference"/>
        </w:rPr>
        <w:footnoteReference w:id="31"/>
      </w:r>
      <w:r w:rsidRPr="000D53A9">
        <w:rPr>
          <w:lang w:val="de-DE"/>
        </w:rPr>
        <w:t xml:space="preserve"> </w:t>
      </w:r>
    </w:p>
    <w:p w14:paraId="7A5E3148" w14:textId="77777777" w:rsidR="003D67DC" w:rsidRPr="000D53A9" w:rsidRDefault="003D67DC" w:rsidP="003D67DC">
      <w:pPr>
        <w:tabs>
          <w:tab w:val="num" w:pos="720"/>
        </w:tabs>
        <w:spacing w:line="360" w:lineRule="auto"/>
        <w:jc w:val="both"/>
        <w:rPr>
          <w:lang w:val="de-DE"/>
        </w:rPr>
      </w:pPr>
      <w:r w:rsidRPr="000D53A9">
        <w:rPr>
          <w:lang w:val="de-DE"/>
        </w:rPr>
        <w:tab/>
        <w:t>Masyarakat Simalungun dalam praktek kesehariannya juga mengenal adanya stratifikasi sosial masyarakat, yaitu golongan bangsawan (partuanon), orang merdeka (</w:t>
      </w:r>
      <w:r w:rsidRPr="000D53A9">
        <w:rPr>
          <w:i/>
          <w:iCs/>
          <w:lang w:val="de-DE"/>
        </w:rPr>
        <w:t>paruma</w:t>
      </w:r>
      <w:r w:rsidRPr="000D53A9">
        <w:rPr>
          <w:lang w:val="de-DE"/>
        </w:rPr>
        <w:t>) dan budak (</w:t>
      </w:r>
      <w:r w:rsidRPr="000D53A9">
        <w:rPr>
          <w:i/>
          <w:iCs/>
          <w:lang w:val="de-DE"/>
        </w:rPr>
        <w:t>jabolon</w:t>
      </w:r>
      <w:r w:rsidRPr="000D53A9">
        <w:rPr>
          <w:lang w:val="de-DE"/>
        </w:rPr>
        <w:t>). Golongan bangsawan adalah kelompo elit, yaitu keturunan raja yang memiliki sejumlah budak yang siang malam melayani kebutuhannya.</w:t>
      </w:r>
      <w:r w:rsidRPr="000D53A9">
        <w:rPr>
          <w:rStyle w:val="FootnoteReference"/>
        </w:rPr>
        <w:footnoteReference w:id="32"/>
      </w:r>
      <w:r w:rsidRPr="000D53A9">
        <w:rPr>
          <w:lang w:val="de-DE"/>
        </w:rPr>
        <w:t xml:space="preserve"> Golongan </w:t>
      </w:r>
      <w:r w:rsidRPr="000D53A9">
        <w:rPr>
          <w:i/>
          <w:iCs/>
          <w:lang w:val="de-DE"/>
        </w:rPr>
        <w:t xml:space="preserve">paruma </w:t>
      </w:r>
      <w:r w:rsidRPr="000D53A9">
        <w:rPr>
          <w:lang w:val="de-DE"/>
        </w:rPr>
        <w:t xml:space="preserve">yaitu sekelompok masyarakat yang tidak terkait hubungan darah secara langsung dengan raja. Posisinya tidak permanen, bisa saja mereka terangkat statusnya menjadi </w:t>
      </w:r>
      <w:r w:rsidRPr="000D53A9">
        <w:rPr>
          <w:i/>
          <w:iCs/>
          <w:lang w:val="de-DE"/>
        </w:rPr>
        <w:t>partuanon</w:t>
      </w:r>
      <w:r w:rsidRPr="000D53A9">
        <w:rPr>
          <w:lang w:val="de-DE"/>
        </w:rPr>
        <w:t xml:space="preserve"> dengan faktor dan proses tertentu.</w:t>
      </w:r>
      <w:r w:rsidRPr="000D53A9">
        <w:rPr>
          <w:rStyle w:val="FootnoteReference"/>
        </w:rPr>
        <w:footnoteReference w:id="33"/>
      </w:r>
      <w:r w:rsidRPr="000D53A9">
        <w:rPr>
          <w:lang w:val="de-DE"/>
        </w:rPr>
        <w:t xml:space="preserve"> </w:t>
      </w:r>
      <w:r w:rsidRPr="000D53A9">
        <w:rPr>
          <w:i/>
          <w:iCs/>
          <w:lang w:val="de-DE"/>
        </w:rPr>
        <w:t>Jabolon</w:t>
      </w:r>
      <w:r w:rsidRPr="000D53A9">
        <w:rPr>
          <w:lang w:val="de-DE"/>
        </w:rPr>
        <w:t xml:space="preserve"> artinya budak milik raja atau penguasa. Mereka adalah kaum yang tidak bebas dan kadang disamakan dengan ternak. Mereka hidup tergantung kemurahan hati tuannya, bisa dibunuh dan diperlakukan seenaknya.</w:t>
      </w:r>
      <w:r w:rsidRPr="000D53A9">
        <w:rPr>
          <w:rStyle w:val="FootnoteReference"/>
        </w:rPr>
        <w:footnoteReference w:id="34"/>
      </w:r>
      <w:r w:rsidRPr="000D53A9">
        <w:rPr>
          <w:rStyle w:val="FootnoteReference"/>
          <w:lang w:val="de-DE"/>
        </w:rPr>
        <w:t xml:space="preserve"> </w:t>
      </w:r>
    </w:p>
    <w:p w14:paraId="0A959CD5" w14:textId="77777777" w:rsidR="003D67DC" w:rsidRPr="000D53A9" w:rsidRDefault="003D67DC" w:rsidP="003D67DC">
      <w:pPr>
        <w:tabs>
          <w:tab w:val="num" w:pos="720"/>
        </w:tabs>
        <w:spacing w:line="360" w:lineRule="auto"/>
        <w:jc w:val="both"/>
        <w:rPr>
          <w:lang w:val="de-DE"/>
        </w:rPr>
      </w:pPr>
      <w:r w:rsidRPr="000D53A9">
        <w:rPr>
          <w:lang w:val="de-DE"/>
        </w:rPr>
        <w:tab/>
        <w:t>Penduduk Simalungun mengandalkan pertanian dan mengolah sawah sebagai mata pencaharian mereka. Namun, hak atas tanah pertanian itu hanya dimiliki oleh raja, sementara tanah milik rakyat tidak ada. Tekanan yang berlangsung lama membuat masyarakat Simalungun terlihat lebih tertinggal dibandingkan pendatang dari Toba, yang memiliki keterampilan bertani yang lebih baik. Ruang untuk berpindah bagi masyarakat Simalungun semakin berkurang seiring dengan bertambahnya jumlah orang Toba. Mereka menjadi kelompok minoritas dan tertinggal dalam pembangunan ekonomi serta manfaat sosial, seperti pendidikan dan kesejahteraan yang ditawarkan oleh pemerintahan Belanda.</w:t>
      </w:r>
      <w:r w:rsidRPr="000D53A9">
        <w:rPr>
          <w:rStyle w:val="FootnoteReference"/>
        </w:rPr>
        <w:footnoteReference w:id="35"/>
      </w:r>
    </w:p>
    <w:p w14:paraId="28AE4CA8" w14:textId="77777777" w:rsidR="003D67DC" w:rsidRPr="000D53A9" w:rsidRDefault="003D67DC" w:rsidP="003D67DC">
      <w:pPr>
        <w:tabs>
          <w:tab w:val="num" w:pos="720"/>
        </w:tabs>
        <w:spacing w:line="360" w:lineRule="auto"/>
        <w:jc w:val="both"/>
        <w:rPr>
          <w:i/>
          <w:iCs/>
        </w:rPr>
      </w:pPr>
    </w:p>
    <w:p w14:paraId="41BF8220" w14:textId="77777777" w:rsidR="003D67DC" w:rsidRPr="003F54F4" w:rsidRDefault="003D67DC" w:rsidP="003D67DC">
      <w:pPr>
        <w:tabs>
          <w:tab w:val="num" w:pos="720"/>
        </w:tabs>
        <w:spacing w:line="360" w:lineRule="auto"/>
        <w:jc w:val="both"/>
        <w:rPr>
          <w:b/>
          <w:bCs/>
        </w:rPr>
      </w:pPr>
      <w:r w:rsidRPr="003F54F4">
        <w:rPr>
          <w:b/>
          <w:bCs/>
        </w:rPr>
        <w:t>Dinamika Historis Internal Gereja, 1930-1936</w:t>
      </w:r>
    </w:p>
    <w:p w14:paraId="6AEFEF32" w14:textId="77777777" w:rsidR="003D67DC" w:rsidRPr="000D53A9" w:rsidRDefault="003D67DC" w:rsidP="003D67DC">
      <w:pPr>
        <w:tabs>
          <w:tab w:val="num" w:pos="720"/>
        </w:tabs>
        <w:spacing w:line="360" w:lineRule="auto"/>
        <w:ind w:firstLine="567"/>
        <w:jc w:val="both"/>
      </w:pPr>
      <w:r w:rsidRPr="000D53A9">
        <w:t xml:space="preserve"> Pada periode tahun 1930-1936, gereja  mengalami peristiwa penting yang mempengaruhi perjalanan dan struktur gereja secara internal di Simalungun.  Pada tahun 1930, guru Tudarus Lumbantobing, yang melayani sebagai guru II di Juma Saba, berpindah tugas menjadi guru di Dolok Merlawan. Hal ini menjadikan penurunan pada angka jemaat, dimana sekitar 100 keluarga  berpindah ke HChB, yang didirikan oleh Sutan Malu.</w:t>
      </w:r>
      <w:r w:rsidRPr="000D53A9">
        <w:rPr>
          <w:rStyle w:val="FootnoteReference"/>
        </w:rPr>
        <w:footnoteReference w:id="36"/>
      </w:r>
      <w:r w:rsidRPr="000D53A9">
        <w:t xml:space="preserve"> Semenjak April 1931, Simalungun bagian Balata tidak lagi sebagai wilayah pelayanan Pdt. Israel Tambunan. Hal ini didasari dengan perpindahan tugas Pdt. Friedrik sebagai pelayan di HKBP Balata.  Wilayah pelayanan Pdt. Israel saat itu menjadi Pematangsiantar, Siantar Sawah, Bahal Gaja, Sidamanik, Ambarisan dan yang tinggal di kebun Sidamanik.</w:t>
      </w:r>
      <w:r w:rsidRPr="000D53A9">
        <w:rPr>
          <w:rStyle w:val="FootnoteReference"/>
        </w:rPr>
        <w:footnoteReference w:id="37"/>
      </w:r>
    </w:p>
    <w:p w14:paraId="11B84EBF" w14:textId="77777777" w:rsidR="003D67DC" w:rsidRPr="000D53A9" w:rsidRDefault="003D67DC" w:rsidP="003D67DC">
      <w:pPr>
        <w:tabs>
          <w:tab w:val="num" w:pos="720"/>
        </w:tabs>
        <w:spacing w:line="360" w:lineRule="auto"/>
        <w:ind w:firstLine="567"/>
        <w:jc w:val="both"/>
      </w:pPr>
      <w:r w:rsidRPr="000D53A9">
        <w:t>Dibulan Oktober 1932, HKBP Pematangsiantar merayakan pesta perak yang menandai 25 tahun berdirinya gereja tersebut, yang dihadiri oleh banyak jemaat dan tamu dari berbagai daerah, termasuk gereja pagaran</w:t>
      </w:r>
      <w:r w:rsidRPr="000D53A9">
        <w:rPr>
          <w:color w:val="FF0000"/>
        </w:rPr>
        <w:t xml:space="preserve"> </w:t>
      </w:r>
      <w:r w:rsidRPr="000D53A9">
        <w:t>Pematangsiantar, dari Pematang Raya, Saribu Dolok dan Sidikalang. Semua orang yang datang bersukacita, terlebih mendapat firman Tuhan. Kemudian, buku kecil dijual yaitu “barita ni huria HKBP Pematangsiantar” yang memberitahu persitiwa 25 tahun yang lalu. Buku tersebut ditulis oleh Pdt. Israel Tambunan dengan L. Bregenstroth dan pelayan yang ada di Siantar.</w:t>
      </w:r>
      <w:r w:rsidRPr="000D53A9">
        <w:rPr>
          <w:rStyle w:val="FootnoteReference"/>
        </w:rPr>
        <w:footnoteReference w:id="38"/>
      </w:r>
      <w:r w:rsidRPr="000D53A9">
        <w:t xml:space="preserve"> </w:t>
      </w:r>
    </w:p>
    <w:p w14:paraId="66B1B958" w14:textId="77777777" w:rsidR="003D67DC" w:rsidRPr="000D53A9" w:rsidRDefault="003D67DC" w:rsidP="003D67DC">
      <w:pPr>
        <w:tabs>
          <w:tab w:val="num" w:pos="720"/>
        </w:tabs>
        <w:spacing w:line="360" w:lineRule="auto"/>
        <w:ind w:firstLine="567"/>
        <w:jc w:val="both"/>
      </w:pPr>
      <w:r w:rsidRPr="000D53A9">
        <w:t>Tahun 1933, belum ada jemaat HKBP yang pindah ke Katolik, tetapi Kenan Hutabarat, pendeta yang di pecat dari HKBP, menjadi katekis batak yang pertama. Banyak orang menyebutnya sebagai Rasul Simalungun Atas karena dedikasinya yang luar biasa untuk Katolik.</w:t>
      </w:r>
      <w:r w:rsidRPr="000D53A9">
        <w:rPr>
          <w:rStyle w:val="FootnoteReference"/>
        </w:rPr>
        <w:footnoteReference w:id="39"/>
      </w:r>
      <w:r w:rsidRPr="000D53A9">
        <w:t xml:space="preserve"> Guru injil lannya seperti, Hermanus Hutagalung dan Theodorus Lumbantobing telah keluar dari zending dan menjadi jemaat Katolik bersama beberapa orang lainnya. Beberapa jemaat HKBP juga telah berpindah ke Katolik.</w:t>
      </w:r>
      <w:r w:rsidRPr="000D53A9">
        <w:rPr>
          <w:rStyle w:val="FootnoteReference"/>
        </w:rPr>
        <w:footnoteReference w:id="40"/>
      </w:r>
    </w:p>
    <w:p w14:paraId="4B205B81" w14:textId="77777777" w:rsidR="003D67DC" w:rsidRPr="000D53A9" w:rsidRDefault="003D67DC" w:rsidP="003D67DC">
      <w:pPr>
        <w:tabs>
          <w:tab w:val="num" w:pos="720"/>
        </w:tabs>
        <w:spacing w:line="360" w:lineRule="auto"/>
        <w:ind w:firstLine="567"/>
        <w:jc w:val="both"/>
      </w:pPr>
      <w:r w:rsidRPr="000D53A9">
        <w:t>Pada tahun 1934, jemaat HKBP yang bersuku Simalungun, membuat peribadahan tersendiri dan terpisah dari gereja Pematangsiantar. Hal ini dilatarbelakangi oleh persoalan bahasa, dimana kaum ibu (masyarakat Simalungun) sulit mengartikan bahasa batak Toba yang ada dalam khotbah ketika beribadah. Namun, permintaan mereka tetap disetujui, dan mereka tetap menjadi jemaat HKBP, sebanyak 60-100 orang.</w:t>
      </w:r>
      <w:r w:rsidRPr="000D53A9">
        <w:rPr>
          <w:rStyle w:val="FootnoteReference"/>
        </w:rPr>
        <w:footnoteReference w:id="41"/>
      </w:r>
      <w:r w:rsidRPr="000D53A9">
        <w:t xml:space="preserve"> Tahun 1934, HChB terpecah </w:t>
      </w:r>
      <w:r w:rsidRPr="000D53A9">
        <w:lastRenderedPageBreak/>
        <w:t>dua dimana muncul dua kelompok yang bersaingan, yang masing-masing dipimpin oleh Sutan Malu dan Tarkus Hutabarat di Sirpangdua. Mereka saling merebut pimpinan, kepengurusan gereja</w:t>
      </w:r>
      <w:r w:rsidRPr="000D53A9">
        <w:rPr>
          <w:rStyle w:val="FootnoteReference"/>
        </w:rPr>
        <w:footnoteReference w:id="42"/>
      </w:r>
      <w:r w:rsidRPr="000D53A9">
        <w:t xml:space="preserve"> dan uang. Terpecahnya duanya HChB, menjadi jalan kembalinya jemaat yang sempat </w:t>
      </w:r>
      <w:r w:rsidRPr="000D53A9">
        <w:rPr>
          <w:i/>
          <w:iCs/>
        </w:rPr>
        <w:t>selfstandig</w:t>
      </w:r>
      <w:r w:rsidRPr="000D53A9">
        <w:t>, kembali ke gereja HKBP.</w:t>
      </w:r>
      <w:r w:rsidRPr="000D53A9">
        <w:rPr>
          <w:rStyle w:val="FootnoteReference"/>
        </w:rPr>
        <w:footnoteReference w:id="43"/>
      </w:r>
    </w:p>
    <w:p w14:paraId="33634B57" w14:textId="77777777" w:rsidR="003D67DC" w:rsidRPr="000D53A9" w:rsidRDefault="003D67DC" w:rsidP="003D67DC">
      <w:pPr>
        <w:tabs>
          <w:tab w:val="num" w:pos="720"/>
        </w:tabs>
        <w:spacing w:line="360" w:lineRule="auto"/>
        <w:ind w:firstLine="567"/>
        <w:jc w:val="both"/>
      </w:pPr>
      <w:r w:rsidRPr="000D53A9">
        <w:t>Pada 7 Oktober 1936, HKBP di seluruh dunia merayakan pesta Jubileum ke-75 tahun. Seluruh pelayan se Ressort Pematangsiantar, baik itu Pendeta, Guru jemaat, Sintua dan Kasbestuur berkumpul di HKBP Pematangsiantar. Mereka melaksanakan perjamuan kudus dalam kegiatan itu.</w:t>
      </w:r>
      <w:r w:rsidRPr="000D53A9">
        <w:rPr>
          <w:rStyle w:val="FootnoteReference"/>
        </w:rPr>
        <w:footnoteReference w:id="44"/>
      </w:r>
      <w:r w:rsidRPr="000D53A9">
        <w:t xml:space="preserve"> Kasbestuur sangat berperan aktif membantu keberhasilan pelayanan gereja dan pesta jubileum tersebut, dengan mendatangkan pemasukan-pemasukan. Memang, ada beberapa yang masih lebih mementingkan gerejanya, namun sebagian besar bergerak aktif memajukan gereja.</w:t>
      </w:r>
      <w:r w:rsidRPr="000D53A9">
        <w:rPr>
          <w:rStyle w:val="FootnoteReference"/>
        </w:rPr>
        <w:footnoteReference w:id="45"/>
      </w:r>
    </w:p>
    <w:p w14:paraId="034E1C87" w14:textId="77777777" w:rsidR="003D67DC" w:rsidRPr="000D53A9" w:rsidRDefault="003D67DC" w:rsidP="003D67DC">
      <w:pPr>
        <w:tabs>
          <w:tab w:val="left" w:pos="5894"/>
        </w:tabs>
        <w:spacing w:line="360" w:lineRule="auto"/>
        <w:jc w:val="both"/>
      </w:pPr>
      <w:r w:rsidRPr="000D53A9">
        <w:tab/>
      </w:r>
    </w:p>
    <w:p w14:paraId="66A92B4D" w14:textId="77777777" w:rsidR="003D67DC" w:rsidRPr="003F54F4" w:rsidRDefault="003D67DC" w:rsidP="003D67DC">
      <w:pPr>
        <w:tabs>
          <w:tab w:val="num" w:pos="720"/>
        </w:tabs>
        <w:spacing w:line="360" w:lineRule="auto"/>
        <w:jc w:val="both"/>
        <w:rPr>
          <w:b/>
          <w:bCs/>
        </w:rPr>
      </w:pPr>
      <w:r w:rsidRPr="003F54F4">
        <w:rPr>
          <w:b/>
          <w:bCs/>
        </w:rPr>
        <w:t>Perkembangan Jemaat Baru</w:t>
      </w:r>
    </w:p>
    <w:p w14:paraId="02EF1507" w14:textId="77777777" w:rsidR="003D67DC" w:rsidRPr="000D53A9" w:rsidRDefault="003D67DC" w:rsidP="003D67DC">
      <w:pPr>
        <w:tabs>
          <w:tab w:val="num" w:pos="720"/>
        </w:tabs>
        <w:spacing w:line="360" w:lineRule="auto"/>
        <w:ind w:firstLine="567"/>
        <w:jc w:val="both"/>
      </w:pPr>
      <w:r w:rsidRPr="000D53A9">
        <w:t>Kehadiran orang batak kristen dari Tapanuli menjadi faktor utama pertumbuhan jemaat HKBP di Simalungun. Meluasnya daerah-daerah perkebunan, menjadi daya tarik bagi orang batak untuk mengolahnya, karena mereka lebih terampil dibanding masyarakat Simalungun. Kebanyakan dari mereka beragama Kristen karena zending RMG telah bekerja di Tapanuli sejak 1861. Para zending menggalakkan migrasi batak ke Simalungun dengan harapan membantu orang-orang di daerah itu beralih ke agama Kristen. Orang batak toba yang bermigrasi di daerah itu, selalu mendirikan gereja.</w:t>
      </w:r>
      <w:r w:rsidRPr="000D53A9">
        <w:rPr>
          <w:rStyle w:val="FootnoteReference"/>
        </w:rPr>
        <w:footnoteReference w:id="46"/>
      </w:r>
      <w:r w:rsidRPr="000D53A9">
        <w:t xml:space="preserve">  Hal ini sangat sesuai dengan teori Durkheim yang menyatakan bahwa agama adalah perekat sosial yang menciptakan perdamaian dan menggerakkan masyarakat demi perubahan sosial.</w:t>
      </w:r>
      <w:r w:rsidRPr="000D53A9">
        <w:rPr>
          <w:rStyle w:val="FootnoteReference"/>
        </w:rPr>
        <w:footnoteReference w:id="47"/>
      </w:r>
      <w:r w:rsidRPr="000D53A9">
        <w:t xml:space="preserve"> Disamping terampil dalam bidang pertanian, migran batak Kristen ini membawa adat istiadatnya. Sehingga gereja HKBP menjadi institusi yang mewakili kesatuan kultural batak toba di Simalungun.</w:t>
      </w:r>
    </w:p>
    <w:p w14:paraId="29064ED0" w14:textId="77777777" w:rsidR="003D67DC" w:rsidRPr="000D53A9" w:rsidRDefault="003D67DC" w:rsidP="003D67DC">
      <w:pPr>
        <w:tabs>
          <w:tab w:val="num" w:pos="720"/>
        </w:tabs>
        <w:spacing w:line="360" w:lineRule="auto"/>
        <w:ind w:firstLine="567"/>
        <w:jc w:val="both"/>
      </w:pPr>
      <w:r w:rsidRPr="000D53A9">
        <w:t xml:space="preserve">Pada tahun 1930, perkembangan gereja ditandai dengan berdirinya gereja baru di Bukit Hataran, yang sebelumnya, mereka beribadah ke Balata. Raja-raja wilayah sepakat untuk meminta sekolah kepada gouvernemen, dan langsung didirikan atas kelola dari zending. </w:t>
      </w:r>
      <w:r w:rsidRPr="000D53A9">
        <w:lastRenderedPageBreak/>
        <w:t>Kemudian, berdirinya gereja dan sekolah di Dolok Merlawan dan di Dolok Maraja, menandakan bahwa semangat masyarakat mendirikan sekolah dan gereja sudah sangat tinggi. Jemaatnya yang merupakan masyarakat Simalungun masih sedikit, kebanyakan adalah masyarakat toba, Humbang dan Silindung.</w:t>
      </w:r>
      <w:r w:rsidRPr="000D53A9">
        <w:rPr>
          <w:rStyle w:val="FootnoteReference"/>
        </w:rPr>
        <w:footnoteReference w:id="48"/>
      </w:r>
    </w:p>
    <w:p w14:paraId="720A4DEA" w14:textId="77777777" w:rsidR="003D67DC" w:rsidRPr="000D53A9" w:rsidRDefault="003D67DC" w:rsidP="003D67DC">
      <w:pPr>
        <w:tabs>
          <w:tab w:val="num" w:pos="720"/>
        </w:tabs>
        <w:spacing w:line="360" w:lineRule="auto"/>
        <w:ind w:firstLine="567"/>
        <w:jc w:val="both"/>
      </w:pPr>
      <w:r w:rsidRPr="000D53A9">
        <w:t>Pada tahun 1931, gereja-gereja seperti Juma Saba, Bahal Gaja, Pematang Sidamanik dan Ambarisan mulai berkembang dengan adanya penambahan jumlah jemaat dan pembukaan sekolah-sekolah yang mendukung pendidikan Kristen. Pada tahun ini, dirikan gereja dan sekolah di Siantar Sawah, Dolok Marlawan dan Dolok Maraja (Tiga Dolok).</w:t>
      </w:r>
      <w:r w:rsidRPr="000D53A9">
        <w:rPr>
          <w:rStyle w:val="FootnoteReference"/>
        </w:rPr>
        <w:footnoteReference w:id="49"/>
      </w:r>
      <w:r w:rsidRPr="000D53A9">
        <w:t xml:space="preserve"> Di Bahal Gaja, tambahnya jemaat adalah yang datang dari Balige, Samosir dan Humbang, yaitu orang-orang yang sudah Kristen sebelumnya. Sebelumnya, gereja di Sidamanik hanya satu, tetapi pada tahun 1931 telah dibuka gereja baru yang dipimpin oleh Guru dari Sidamanik. Dekat dengan Ambarisan, kobun Simantin tempat orang batak dan orang Jawa berkebun. Orang yang bekerja disana sekitar 400 orang, yang berasal dari Samosir, Tolping, Balige dan Uluan. Disana, telah dibuka gereja dimana yang melayani disana adalah guru dari Ambarisan.</w:t>
      </w:r>
      <w:r w:rsidRPr="000D53A9">
        <w:rPr>
          <w:rStyle w:val="FootnoteReference"/>
        </w:rPr>
        <w:footnoteReference w:id="50"/>
      </w:r>
    </w:p>
    <w:p w14:paraId="105BFE60" w14:textId="77777777" w:rsidR="003D67DC" w:rsidRPr="000D53A9" w:rsidRDefault="003D67DC" w:rsidP="003D67DC">
      <w:pPr>
        <w:tabs>
          <w:tab w:val="num" w:pos="720"/>
        </w:tabs>
        <w:spacing w:line="360" w:lineRule="auto"/>
        <w:ind w:firstLine="567"/>
        <w:jc w:val="both"/>
      </w:pPr>
      <w:r w:rsidRPr="000D53A9">
        <w:t>Tahun 1933 pembukaan gereja-gereja baru di berbagai lokasi, misalnya gereja di Marihat dan Pematang Bandar yang dibangun dengan ukuran yang cukup besar dan jemaat aktif dalam kegiatan keagamaan.</w:t>
      </w:r>
      <w:r w:rsidRPr="000D53A9">
        <w:rPr>
          <w:rStyle w:val="FootnoteReference"/>
        </w:rPr>
        <w:footnoteReference w:id="51"/>
      </w:r>
      <w:r w:rsidRPr="000D53A9">
        <w:t xml:space="preserve"> Tiga tahun setelahnya, perkembangan gereja terlihat dari bertambahnya jemaat mengikuti persekutuan, baik yang datang dari hasipelebeguon dan dari HChB (selfstandig). Walaupun tidak ada pembukaan gereja baru saat itu, tetapi jemaat yang bertambah lebih dari 120 orang.</w:t>
      </w:r>
      <w:r w:rsidRPr="000D53A9">
        <w:rPr>
          <w:rStyle w:val="FootnoteReference"/>
        </w:rPr>
        <w:footnoteReference w:id="52"/>
      </w:r>
      <w:r w:rsidRPr="000D53A9">
        <w:t xml:space="preserve"> Kemudian, perkembangan gereja terlihat dari bertambahnya jemaat yang mengikuti persekutuan, baik itu kaum ibu, pemuda laki-laki dan perempuan. Kaum Ibu yang aktif mengikuti persekutuan di gereja, seperti di Pematangsiantar sejumlah 160 orang, Siantar Sawah 50 orang, Marihat 50 orang, Baris 50 orang, Bandar Meratur 40 orang, Pematang Bandar 25 orang. Lalu, semangat pemuda laki-laki dalam mengikuti persekutuan juga terlihat, dimana sekitar 35-40 orang ikut dan aktif dalam persekutuan.</w:t>
      </w:r>
      <w:r w:rsidRPr="000D53A9">
        <w:rPr>
          <w:rStyle w:val="FootnoteReference"/>
        </w:rPr>
        <w:footnoteReference w:id="53"/>
      </w:r>
    </w:p>
    <w:p w14:paraId="343A5FCC" w14:textId="77777777" w:rsidR="003D67DC" w:rsidRPr="000D53A9" w:rsidRDefault="003D67DC" w:rsidP="003D67DC">
      <w:pPr>
        <w:tabs>
          <w:tab w:val="num" w:pos="720"/>
        </w:tabs>
        <w:spacing w:line="360" w:lineRule="auto"/>
        <w:jc w:val="both"/>
      </w:pPr>
    </w:p>
    <w:p w14:paraId="3E79F46B" w14:textId="77777777" w:rsidR="003D67DC" w:rsidRPr="003F54F4" w:rsidRDefault="003D67DC" w:rsidP="003D67DC">
      <w:pPr>
        <w:tabs>
          <w:tab w:val="num" w:pos="720"/>
        </w:tabs>
        <w:spacing w:line="360" w:lineRule="auto"/>
        <w:jc w:val="both"/>
      </w:pPr>
      <w:r w:rsidRPr="003F54F4">
        <w:rPr>
          <w:b/>
          <w:bCs/>
        </w:rPr>
        <w:t>Dinamika HKBP,  HChB, Katolik dan Adventist</w:t>
      </w:r>
    </w:p>
    <w:p w14:paraId="67A28882" w14:textId="77777777" w:rsidR="003D67DC" w:rsidRPr="000D53A9" w:rsidRDefault="003D67DC" w:rsidP="003D67DC">
      <w:pPr>
        <w:tabs>
          <w:tab w:val="num" w:pos="720"/>
        </w:tabs>
        <w:spacing w:line="360" w:lineRule="auto"/>
        <w:jc w:val="both"/>
      </w:pPr>
      <w:r w:rsidRPr="000D53A9">
        <w:lastRenderedPageBreak/>
        <w:tab/>
        <w:t>Perkembangan HKBP di Simalungun, diperhadapkan dengan pertentangan-pertentangan, baik itu masalah yang dihadapi dengan HChB, Katolik dan Adventist. Skisma pertama dalam jemaat Batak muncul dari kalangan anggota jemaat Pematangsiantar (Kampung Kristen). Anggota jemaat dimaksud berdomisili di Pantoan, tempat tinggal Sutan Malu, pendiri HChB.</w:t>
      </w:r>
      <w:r w:rsidRPr="000D53A9">
        <w:rPr>
          <w:rStyle w:val="FootnoteReference"/>
        </w:rPr>
        <w:footnoteReference w:id="54"/>
      </w:r>
      <w:r w:rsidRPr="000D53A9">
        <w:t xml:space="preserve"> Hadirnya gereja-gereja tersebut, membuat tantangan HKBP periode 1930-1936, di wilayah Simalungun. Masalah awalnya datang dari HChB, tahun 1930, dimana atas adanya selfstandig, membuat banyak jemaat ingin berpindah ke HChB.</w:t>
      </w:r>
      <w:r w:rsidRPr="000D53A9">
        <w:rPr>
          <w:rStyle w:val="FootnoteReference"/>
        </w:rPr>
        <w:footnoteReference w:id="55"/>
      </w:r>
      <w:r w:rsidRPr="000D53A9">
        <w:t xml:space="preserve"> </w:t>
      </w:r>
    </w:p>
    <w:p w14:paraId="615BC2AF" w14:textId="77777777" w:rsidR="003D67DC" w:rsidRPr="000D53A9" w:rsidRDefault="003D67DC" w:rsidP="003D67DC">
      <w:pPr>
        <w:tabs>
          <w:tab w:val="num" w:pos="720"/>
        </w:tabs>
        <w:spacing w:line="360" w:lineRule="auto"/>
        <w:jc w:val="both"/>
      </w:pPr>
      <w:r w:rsidRPr="000D53A9">
        <w:tab/>
        <w:t>Pada tahun 1931, HKBP menghadapi tantangan dari gereja Katolik yang mulai berkembang di Simalungun. Pada tanggal 3 Juli 1931, Pater Aurelius Kerkers hadir sebagai pastor pertama di Siantar. Setahun kemudian, dia membuka sekolah HIS di sebuah rumah yang disewanya di Simpang Empat.</w:t>
      </w:r>
      <w:r w:rsidRPr="000D53A9">
        <w:rPr>
          <w:rStyle w:val="FootnoteReference"/>
        </w:rPr>
        <w:footnoteReference w:id="56"/>
      </w:r>
      <w:r w:rsidRPr="000D53A9">
        <w:t xml:space="preserve"> Pastor Kerkers berusaha menarik jemaat untuk masuk ke gerejanya saat itu. Usaha mereka adalah dengan mendirikan sekolah seperti Volkschool dan HIS, dengan biaya sekolah yang lebih murah dibanding sekolah yang sudah ada sebelumnya. Ada juga bantuan berupa pakaian dan uang kepada orang yang mau masuk ke Katolik saat itu.</w:t>
      </w:r>
      <w:r w:rsidRPr="000D53A9">
        <w:rPr>
          <w:rStyle w:val="FootnoteReference"/>
        </w:rPr>
        <w:footnoteReference w:id="57"/>
      </w:r>
    </w:p>
    <w:p w14:paraId="18489D27" w14:textId="77777777" w:rsidR="003D67DC" w:rsidRPr="000D53A9" w:rsidRDefault="003D67DC" w:rsidP="003D67DC">
      <w:pPr>
        <w:tabs>
          <w:tab w:val="num" w:pos="720"/>
        </w:tabs>
        <w:spacing w:line="360" w:lineRule="auto"/>
        <w:jc w:val="both"/>
      </w:pPr>
      <w:r w:rsidRPr="000D53A9">
        <w:tab/>
        <w:t>Pada tahun 1932, HKBP menghadapi tantangan dari gereja Katolik dan HChB. Katolik berusaha menarik jemaat melalui pendidikan di sekolah-sekolah mereka, seperti HIS. Terdapat juga permasalahan HKBP dengan HChB, yaitu bepindahnya pendeta HKBP menjadi pendeta di HChB, seperti Willy Sinaga yang diberhentikan dari pendeta HKBP.</w:t>
      </w:r>
      <w:r w:rsidRPr="000D53A9">
        <w:rPr>
          <w:rStyle w:val="FootnoteReference"/>
        </w:rPr>
        <w:footnoteReference w:id="58"/>
      </w:r>
      <w:r w:rsidRPr="000D53A9">
        <w:t xml:space="preserve"> HChB melihat ini sebagai suatu kesempatan, dimana pendiri HChB, Sutan Malu Panggabean, mengangkat Willy untuk membuka HChB di Siantar.</w:t>
      </w:r>
      <w:r w:rsidRPr="000D53A9">
        <w:rPr>
          <w:rStyle w:val="FootnoteReference"/>
        </w:rPr>
        <w:footnoteReference w:id="59"/>
      </w:r>
    </w:p>
    <w:p w14:paraId="34C19206" w14:textId="77777777" w:rsidR="003D67DC" w:rsidRPr="000D53A9" w:rsidRDefault="003D67DC" w:rsidP="003D67DC">
      <w:pPr>
        <w:tabs>
          <w:tab w:val="num" w:pos="720"/>
        </w:tabs>
        <w:spacing w:line="360" w:lineRule="auto"/>
        <w:jc w:val="both"/>
      </w:pPr>
      <w:r w:rsidRPr="000D53A9">
        <w:tab/>
        <w:t xml:space="preserve">Pada tahun 1933, tantangan yang sama datang dari Katolik dan HChB. Setelah HChB memperoleh pengakuan sebagai badan hukum dari pemerintah Hindia Belanda, gereja tersebut mendirikan seminari untuk mendidikan guru jemaat dan pendeta. HChB seperti di Pantoan, Dolok Marangir, Sirpangdua, Baris dan Sirapu mendirikan sekolah masing-masing dibawah naungan HChB. Hal ini menunjukkan perkembangan dan pertumbuhan HChB </w:t>
      </w:r>
      <w:r w:rsidRPr="000D53A9">
        <w:lastRenderedPageBreak/>
        <w:t>tahun tersebut sangat tinggi.</w:t>
      </w:r>
      <w:r w:rsidRPr="000D53A9">
        <w:rPr>
          <w:rStyle w:val="FootnoteReference"/>
        </w:rPr>
        <w:footnoteReference w:id="60"/>
      </w:r>
      <w:r w:rsidRPr="000D53A9">
        <w:t xml:space="preserve"> Gereja Katolik juga mendirikan standardschool dan normalschool di Pematangsiantar. Guru Hermanus Hutagalung, yang sebelumnya merupakan guru injil di HKBP, telah keluar dari HKBP (</w:t>
      </w:r>
      <w:r w:rsidRPr="000D53A9">
        <w:rPr>
          <w:i/>
          <w:iCs/>
        </w:rPr>
        <w:t>maradian sian panghobasion di HKBP</w:t>
      </w:r>
      <w:r w:rsidRPr="000D53A9">
        <w:t>), dan menjadi guru di sekolah Katolik tersebut.</w:t>
      </w:r>
      <w:r w:rsidRPr="000D53A9">
        <w:rPr>
          <w:rStyle w:val="FootnoteReference"/>
        </w:rPr>
        <w:footnoteReference w:id="61"/>
      </w:r>
    </w:p>
    <w:p w14:paraId="010BB425" w14:textId="77777777" w:rsidR="003D67DC" w:rsidRPr="000D53A9" w:rsidRDefault="003D67DC" w:rsidP="003D67DC">
      <w:pPr>
        <w:tabs>
          <w:tab w:val="num" w:pos="720"/>
        </w:tabs>
        <w:spacing w:line="360" w:lineRule="auto"/>
        <w:jc w:val="both"/>
      </w:pPr>
      <w:r w:rsidRPr="000D53A9">
        <w:rPr>
          <w:color w:val="4BACC6" w:themeColor="accent5"/>
        </w:rPr>
        <w:tab/>
      </w:r>
      <w:r w:rsidRPr="000D53A9">
        <w:t xml:space="preserve">Tahun 1934, Katolik memperluas misinya di Pematangsiantar dengan membangun gereja. Kemudian, mereka membangun sebuah </w:t>
      </w:r>
      <w:r w:rsidRPr="000D53A9">
        <w:rPr>
          <w:i/>
          <w:iCs/>
        </w:rPr>
        <w:t xml:space="preserve">internaat </w:t>
      </w:r>
      <w:r w:rsidRPr="000D53A9">
        <w:t>di sebelah gereja. Anak-anak banyak yang sekolah disana, tetapi tidak ada jemaat HKBP yang masuk ke Katolik saat itu. Alasannya, karena praktik ibadah Katolik sama dengan penyembah berhala</w:t>
      </w:r>
      <w:r w:rsidRPr="000D53A9">
        <w:rPr>
          <w:i/>
          <w:iCs/>
        </w:rPr>
        <w:t xml:space="preserve">, </w:t>
      </w:r>
      <w:r w:rsidRPr="000D53A9">
        <w:t>karena praktik ibadahnya sama dengan sipelebegu, dengan memercikkan minyak di sekeliling gereja dan membakar kemenyan (dupa) di altar. Sehingga, perluasan misi Katolik adalah ke daerah Panei, Sinaman dan Raya.</w:t>
      </w:r>
      <w:r w:rsidRPr="000D53A9">
        <w:rPr>
          <w:rStyle w:val="FootnoteReference"/>
        </w:rPr>
        <w:footnoteReference w:id="62"/>
      </w:r>
    </w:p>
    <w:p w14:paraId="390A9941" w14:textId="77777777" w:rsidR="003D67DC" w:rsidRPr="000D53A9" w:rsidRDefault="003D67DC" w:rsidP="003D67DC">
      <w:pPr>
        <w:tabs>
          <w:tab w:val="num" w:pos="720"/>
        </w:tabs>
        <w:spacing w:line="360" w:lineRule="auto"/>
        <w:jc w:val="both"/>
      </w:pPr>
      <w:r w:rsidRPr="000D53A9">
        <w:tab/>
        <w:t>Pada tahun 1936, tidak ada jemaat HKBP yang pindah ke Katolik. Namun, jemaat yang kena siasat gereja, merekalah yang menjadi jemaat Katolik. Seperti, di Bandar Maratur, 4 orang kena siasat gereja karena melakukan penyembahan berhala (</w:t>
      </w:r>
      <w:r w:rsidRPr="000D53A9">
        <w:rPr>
          <w:i/>
          <w:iCs/>
        </w:rPr>
        <w:t>mamele begu</w:t>
      </w:r>
      <w:r w:rsidRPr="000D53A9">
        <w:t>). Sebelumnya, mereka masuk ke HChB, setelah itu mereka menjadi jemaat Katolik. Guru Hermanus Hutagalung, yang sebelumnya merupakan guru zending HKBP, telah menjadi guru  (</w:t>
      </w:r>
      <w:r w:rsidRPr="000D53A9">
        <w:rPr>
          <w:i/>
          <w:iCs/>
        </w:rPr>
        <w:t>Propagandis</w:t>
      </w:r>
      <w:r w:rsidRPr="000D53A9">
        <w:t>) di standaardschool Roma Katolik di Pematangsiantar. Pelayan yang keluar dari HKBP dan menjadi propagandis Katolik yaitu Pdt. Kenan Hutabarat, Guru Hermanus Hutagalung dan Guru Johannes Sihombing.</w:t>
      </w:r>
      <w:r w:rsidRPr="000D53A9">
        <w:rPr>
          <w:rStyle w:val="FootnoteReference"/>
        </w:rPr>
        <w:footnoteReference w:id="63"/>
      </w:r>
    </w:p>
    <w:p w14:paraId="66A613BA" w14:textId="77777777" w:rsidR="003D67DC" w:rsidRPr="000D53A9" w:rsidRDefault="003D67DC" w:rsidP="003D67DC">
      <w:pPr>
        <w:tabs>
          <w:tab w:val="num" w:pos="720"/>
        </w:tabs>
        <w:spacing w:line="360" w:lineRule="auto"/>
        <w:jc w:val="both"/>
        <w:rPr>
          <w:color w:val="4BACC6" w:themeColor="accent5"/>
        </w:rPr>
      </w:pPr>
      <w:r w:rsidRPr="000D53A9">
        <w:rPr>
          <w:color w:val="4BACC6" w:themeColor="accent5"/>
        </w:rPr>
        <w:tab/>
      </w:r>
      <w:r w:rsidRPr="000D53A9">
        <w:t>Masalah tidak hanya datang dari HChB atau Katolik, justru datang dari gereja Adventis (Seventhday Adventis), yang muncul tahun 1936 di Pematangsiantar. Pendeta Adventis di Pematangsiantar, membuat kursus atau pelatihan (</w:t>
      </w:r>
      <w:r w:rsidRPr="000D53A9">
        <w:rPr>
          <w:i/>
          <w:iCs/>
        </w:rPr>
        <w:t>lezing</w:t>
      </w:r>
      <w:r w:rsidRPr="000D53A9">
        <w:t>)</w:t>
      </w:r>
      <w:r w:rsidRPr="000D53A9">
        <w:rPr>
          <w:color w:val="FF0000"/>
        </w:rPr>
        <w:t xml:space="preserve"> </w:t>
      </w:r>
      <w:r w:rsidRPr="000D53A9">
        <w:t>lamanya sebulan, guna menarik masyarakat untuk masuk ke Adventis. Lezing tersebut mengenai hari sabat, bayi yang tidak bisa di baptis dan roh orang mati. Pendeta tersebut membuka ruang diskusi mengenai lezing yang sedang dilaksanakan tersebut. Kabar baiknya, jemaat HKBP tidak terpengaruh untuk masuk ke gereja itu, bahkan mereka melawan adanya lezing tersebut. Strategi yang dilakukan gereja HKBP saat itu adalah dengan mengadakan evangelisasi khotbah di HKBP  Pematangsiantar. Kemudian, gereja melaksanakan pastoralisasi (</w:t>
      </w:r>
      <w:r w:rsidRPr="000D53A9">
        <w:rPr>
          <w:i/>
          <w:iCs/>
        </w:rPr>
        <w:t>seelsorge</w:t>
      </w:r>
      <w:r w:rsidRPr="000D53A9">
        <w:t>) ke jemaat, terlebih kepada yang mengalami penderitaan atau kesesakan.</w:t>
      </w:r>
      <w:r w:rsidRPr="000D53A9">
        <w:rPr>
          <w:rStyle w:val="FootnoteReference"/>
        </w:rPr>
        <w:footnoteReference w:id="64"/>
      </w:r>
    </w:p>
    <w:p w14:paraId="0C4FA5F5" w14:textId="77777777" w:rsidR="003D67DC" w:rsidRPr="000D53A9" w:rsidRDefault="003D67DC" w:rsidP="003D67DC">
      <w:pPr>
        <w:tabs>
          <w:tab w:val="num" w:pos="720"/>
        </w:tabs>
        <w:spacing w:line="360" w:lineRule="auto"/>
        <w:jc w:val="both"/>
      </w:pPr>
    </w:p>
    <w:p w14:paraId="669E643F" w14:textId="77777777" w:rsidR="003D67DC" w:rsidRPr="003F54F4" w:rsidRDefault="003D67DC" w:rsidP="003D67DC">
      <w:pPr>
        <w:tabs>
          <w:tab w:val="num" w:pos="720"/>
        </w:tabs>
        <w:spacing w:line="360" w:lineRule="auto"/>
        <w:jc w:val="both"/>
        <w:rPr>
          <w:b/>
          <w:bCs/>
        </w:rPr>
      </w:pPr>
      <w:r w:rsidRPr="003F54F4">
        <w:rPr>
          <w:b/>
          <w:bCs/>
        </w:rPr>
        <w:t>Pelayanan dalam Bidang Pendidikan</w:t>
      </w:r>
    </w:p>
    <w:p w14:paraId="6578A039" w14:textId="77777777" w:rsidR="003D67DC" w:rsidRPr="000D53A9" w:rsidRDefault="003D67DC" w:rsidP="003D67DC">
      <w:pPr>
        <w:tabs>
          <w:tab w:val="num" w:pos="720"/>
        </w:tabs>
        <w:spacing w:line="360" w:lineRule="auto"/>
        <w:jc w:val="both"/>
      </w:pPr>
      <w:r w:rsidRPr="000D53A9">
        <w:tab/>
        <w:t xml:space="preserve">Pelayanan gereja HKBP tidak hanya soal peribadahan, namun pendidikan tetap menjadi fokus utamanya. Hal ini terlihat dari banyaknya pembukaan sekolah-sekolah, yang berkontribusi pada pendidikan anak-anak di Pematangsiantar. Pdt. Scheneider yang </w:t>
      </w:r>
      <w:r w:rsidRPr="000D53A9">
        <w:rPr>
          <w:i/>
          <w:iCs/>
        </w:rPr>
        <w:t xml:space="preserve">verlof </w:t>
      </w:r>
      <w:r w:rsidRPr="000D53A9">
        <w:t xml:space="preserve"> ke Eropa, pada tanggal 26 Februari 1930, kemudian digantikan oleh Pdt. Bregenstrogh, menjadi awal perkembangan pendidikan, dengan pembangunan sekolah-sekolah di Ressort Pematangsiantar dan pagarannya.</w:t>
      </w:r>
      <w:r w:rsidRPr="000D53A9">
        <w:rPr>
          <w:rStyle w:val="FootnoteReference"/>
        </w:rPr>
        <w:footnoteReference w:id="65"/>
      </w:r>
    </w:p>
    <w:p w14:paraId="5FA794A7" w14:textId="77777777" w:rsidR="003D67DC" w:rsidRPr="000D53A9" w:rsidRDefault="003D67DC" w:rsidP="003D67DC">
      <w:pPr>
        <w:tabs>
          <w:tab w:val="num" w:pos="720"/>
        </w:tabs>
        <w:spacing w:line="360" w:lineRule="auto"/>
        <w:jc w:val="both"/>
      </w:pPr>
      <w:r w:rsidRPr="000D53A9">
        <w:tab/>
        <w:t>Pada tahun 1930, telah berdiri zendingschool (vervolgschool), dan di bulan juli 1930 berdiri standaardschool di Siantar.</w:t>
      </w:r>
      <w:r w:rsidRPr="000D53A9">
        <w:rPr>
          <w:rStyle w:val="FootnoteReference"/>
        </w:rPr>
        <w:footnoteReference w:id="66"/>
      </w:r>
      <w:r w:rsidRPr="000D53A9">
        <w:t xml:space="preserve"> Pembukaan sekolah baru lainnya, seperti Leergangschool pada 1 Juli 1931 sangat berkontribusi pada pendidikan di Pematangsiantar. Kemudian, berdiri juga Christelijkeschakelschool dan meisjesvervolgschool agar pengajaran (</w:t>
      </w:r>
      <w:r w:rsidRPr="000D53A9">
        <w:rPr>
          <w:i/>
          <w:iCs/>
        </w:rPr>
        <w:t>onderwijs</w:t>
      </w:r>
      <w:r w:rsidRPr="000D53A9">
        <w:t>) di Siantar semakin maju. Pada Juli 1931, dibuka juga sebuah internaat di Siantar untuk mendukung pendidikan anak-anak. Guru-guru dari gereja juga berperan dalam mendidik anak-anak di sekolah yang didirikan, dengan tujuan untuk meningkatkan kualitas pendidikan di kalangan jemaat.</w:t>
      </w:r>
      <w:r w:rsidRPr="000D53A9">
        <w:rPr>
          <w:rStyle w:val="FootnoteReference"/>
        </w:rPr>
        <w:footnoteReference w:id="67"/>
      </w:r>
    </w:p>
    <w:p w14:paraId="3AFEC4BA" w14:textId="77777777" w:rsidR="003D67DC" w:rsidRPr="000D53A9" w:rsidRDefault="003D67DC" w:rsidP="003D67DC">
      <w:pPr>
        <w:tabs>
          <w:tab w:val="num" w:pos="720"/>
        </w:tabs>
        <w:spacing w:line="360" w:lineRule="auto"/>
        <w:jc w:val="both"/>
      </w:pPr>
      <w:r w:rsidRPr="000D53A9">
        <w:tab/>
        <w:t>Pada bulan 1 Juli 1932, dibuka sekolah Christelijke HIS di Pematangsiantar, yang dikelola oleh School Vereeniging dan merupakan lembaga pendidikan dibawah naungan gereja. Banyak anak-anak yang bersekolah di sana.</w:t>
      </w:r>
      <w:r w:rsidRPr="000D53A9">
        <w:rPr>
          <w:rStyle w:val="FootnoteReference"/>
        </w:rPr>
        <w:footnoteReference w:id="68"/>
      </w:r>
      <w:r w:rsidRPr="000D53A9">
        <w:t xml:space="preserve"> Di bulan Juni 1933, 10 orang telah tamat dari normalleergang dan di tahun itu juga, diterima sebanyak 11 orang murid untuk sekolah disana. Jumlah anak yang sekolah pada tahun tersebut adalah sebanyak 1.100 anak murid.</w:t>
      </w:r>
      <w:r w:rsidRPr="000D53A9">
        <w:rPr>
          <w:rStyle w:val="FootnoteReference"/>
        </w:rPr>
        <w:footnoteReference w:id="69"/>
      </w:r>
    </w:p>
    <w:p w14:paraId="5ACDE949" w14:textId="77777777" w:rsidR="003D67DC" w:rsidRPr="000D53A9" w:rsidRDefault="003D67DC" w:rsidP="003D67DC">
      <w:pPr>
        <w:tabs>
          <w:tab w:val="num" w:pos="720"/>
        </w:tabs>
        <w:spacing w:line="360" w:lineRule="auto"/>
        <w:ind w:firstLine="567"/>
        <w:jc w:val="both"/>
      </w:pPr>
      <w:r w:rsidRPr="000D53A9">
        <w:t>Pendidikan hadir tidak hanya untuk anak-anak, tetapi hadir juga untuk kaum ibu (ina parari kamis). Kursus untuk kaum ibu dilaksanakan di Simalungun, yang menunjukkan perhatian gereja terhadap pendidikan perempuan tersebut semakin berkembang. Tahun 1930, ina parari kamis terlihat semangat dalam kursus atau belajar mengenal firman Tuhan. Hal ini terbukti, karena sebanyak 75 orang telah mengikutinya.</w:t>
      </w:r>
      <w:r w:rsidRPr="000D53A9">
        <w:rPr>
          <w:rStyle w:val="FootnoteReference"/>
        </w:rPr>
        <w:footnoteReference w:id="70"/>
      </w:r>
      <w:r w:rsidRPr="000D53A9">
        <w:t xml:space="preserve"> Setahun setelahnya, </w:t>
      </w:r>
      <w:r w:rsidRPr="000D53A9">
        <w:lastRenderedPageBreak/>
        <w:t>kedatangan mereka bertambah menjadi 130 orang dan kursus berlangsung selama seminggu oleh L. Frieda dan M. Bregestroth.</w:t>
      </w:r>
      <w:r w:rsidRPr="000D53A9">
        <w:rPr>
          <w:rStyle w:val="FootnoteReference"/>
        </w:rPr>
        <w:footnoteReference w:id="71"/>
      </w:r>
    </w:p>
    <w:p w14:paraId="135ABFC8" w14:textId="688DB0D8" w:rsidR="00C30472" w:rsidRDefault="003D67DC" w:rsidP="003D67DC">
      <w:pPr>
        <w:tabs>
          <w:tab w:val="num" w:pos="720"/>
        </w:tabs>
        <w:spacing w:line="360" w:lineRule="auto"/>
        <w:ind w:firstLine="567"/>
        <w:jc w:val="both"/>
      </w:pPr>
      <w:r w:rsidRPr="000D53A9">
        <w:t>Hadirnya zending RMG ini membuat perkembangan yang sangat luar biasa di kalangan masyarakat Simalungun. Kehadirannya yang tidak hanya mempercepat penyebaran agama Kristen, namun meningkatkan kualitas masyarakat Simalungun melalui perkembangan pendidikan. HKBP yang berkontribusi dalam pembangunan sekolah di lingkungan maasyarakat Simalungun, menunjukkan bahwa gereja tidak hanya berbicara soal keagamaan, tetapi menjadi pusat pendidikan saat itu.</w:t>
      </w:r>
    </w:p>
    <w:p w14:paraId="1EC6393E" w14:textId="77777777" w:rsidR="003D67DC" w:rsidRDefault="003D67DC" w:rsidP="003D67DC">
      <w:pPr>
        <w:tabs>
          <w:tab w:val="num" w:pos="720"/>
        </w:tabs>
        <w:spacing w:line="360" w:lineRule="auto"/>
        <w:ind w:firstLine="567"/>
        <w:jc w:val="both"/>
      </w:pPr>
    </w:p>
    <w:p w14:paraId="1B7C2636" w14:textId="77777777" w:rsidR="00C30472" w:rsidRDefault="00093090">
      <w:pPr>
        <w:tabs>
          <w:tab w:val="left" w:pos="284"/>
        </w:tabs>
        <w:jc w:val="both"/>
        <w:rPr>
          <w:b/>
        </w:rPr>
      </w:pPr>
      <w:r>
        <w:rPr>
          <w:b/>
        </w:rPr>
        <w:t>KESIMPULAN</w:t>
      </w:r>
    </w:p>
    <w:p w14:paraId="04D2B532" w14:textId="0E6B47B6" w:rsidR="00C30472" w:rsidRDefault="00093090" w:rsidP="003F54F4">
      <w:pPr>
        <w:tabs>
          <w:tab w:val="num" w:pos="720"/>
        </w:tabs>
        <w:spacing w:line="360" w:lineRule="auto"/>
        <w:jc w:val="both"/>
        <w:sectPr w:rsidR="00C30472">
          <w:type w:val="continuous"/>
          <w:pgSz w:w="11906" w:h="16838"/>
          <w:pgMar w:top="1418" w:right="1418" w:bottom="1418" w:left="1701" w:header="708" w:footer="708" w:gutter="0"/>
          <w:cols w:space="720"/>
        </w:sectPr>
      </w:pPr>
      <w:r>
        <w:tab/>
      </w:r>
      <w:r w:rsidR="003F54F4" w:rsidRPr="000D53A9">
        <w:t>Perkembangan HKBP menunjukkan dinamika yang signifikan dalam konteks sosial, agama dan pendidikan. HKBP mengalami pertumbuhan yang pesat, yang ditandai dengan peningkatan jumlah jemaat dan pendirian gereja serta sekolah baru. Masyarakat batak Kristen, terutama dari Tapanuli, menjadi kelompok dominan di Simalungun, sementara penduduk asli Simalungun menjadi minoritas. Kehadiran misi dari RMG tidak hanya memperkenalkan agama Kristen, tetapi juga sistem pendidikan Eropa yang berdampak positif pada masyarakat. Penelitian ini menggarisbawahi pentingnya peran agama sebagai perekat sosial, sesuai dengan pandangan Emile Durkheim, yang menekankan bahwa agama dan pendidikan berfungsi untuk membangun solidaritas sosial masyarakat. HKBP berperan sebagai institusi yang menyatukan berbagai kelompok etnis dan budaya, menciptakan identitas kolektif di tengah perubahan sosial yang cepat. Untuk penelitian selanjutnya, disarankan untuk mengeksplorasi dampak jangka panjang dari pendidikan yang diperkenalkan oleh HKBP terhadap perkembangan sosial dan ekonomi masyarakat Simalungun. Selain itu, perlu dilakukan analisis lebih mendalam mengenai interaksi antara HKBP dengan gereja-gereja lain untuk memberikan wawasan lebih lanjut tentang dinamika keagamaan di wilayah tersebut. Dengan demikian, penelitian ini memberikan kontribusi yang berarti terhadap pemahaman tentang perkembangan HKBP di Simalungun dan perannya dalam masyarakat, serta tantangan yang dihadapi dalam konteks pluralisme ag</w:t>
      </w:r>
      <w:r w:rsidR="003F54F4">
        <w:t>ama.</w:t>
      </w:r>
    </w:p>
    <w:p w14:paraId="544295B7" w14:textId="77777777" w:rsidR="00C30472" w:rsidRDefault="00093090">
      <w:pPr>
        <w:rPr>
          <w:b/>
        </w:rPr>
      </w:pPr>
      <w:r>
        <w:rPr>
          <w:b/>
        </w:rPr>
        <w:lastRenderedPageBreak/>
        <w:t xml:space="preserve">DAFTAR PUSTAKA </w:t>
      </w:r>
    </w:p>
    <w:p w14:paraId="0931EB89" w14:textId="77777777" w:rsidR="003F54F4" w:rsidRPr="003F54F4" w:rsidRDefault="003F54F4" w:rsidP="003F54F4">
      <w:pPr>
        <w:pStyle w:val="Bibliography"/>
        <w:spacing w:line="360" w:lineRule="auto"/>
        <w:jc w:val="both"/>
      </w:pPr>
      <w:r>
        <w:fldChar w:fldCharType="begin"/>
      </w:r>
      <w:r>
        <w:instrText xml:space="preserve"> ADDIN ZOTERO_BIBL {"uncited":[],"omitted":[],"custom":[]} CSL_BIBLIOGRAPHY </w:instrText>
      </w:r>
      <w:r>
        <w:fldChar w:fldCharType="separate"/>
      </w:r>
      <w:r w:rsidRPr="003F54F4">
        <w:t xml:space="preserve">Agustuno dkk., Budi. </w:t>
      </w:r>
      <w:r w:rsidRPr="003F54F4">
        <w:rPr>
          <w:i/>
          <w:iCs/>
        </w:rPr>
        <w:t>Sejarah Etnis Simalungun</w:t>
      </w:r>
      <w:r w:rsidRPr="003F54F4">
        <w:t>. Pamatang Raya: Terbit atas kerjasama Pemerintah Kabupaten Simalungun dan Fakultas Ilmu Budaya Universitas Sumatera Utara, 2020.</w:t>
      </w:r>
    </w:p>
    <w:p w14:paraId="5B25A15D" w14:textId="77777777" w:rsidR="003F54F4" w:rsidRPr="003F54F4" w:rsidRDefault="003F54F4" w:rsidP="003F54F4">
      <w:pPr>
        <w:pStyle w:val="Bibliography"/>
        <w:spacing w:line="360" w:lineRule="auto"/>
        <w:jc w:val="both"/>
      </w:pPr>
      <w:r w:rsidRPr="003F54F4">
        <w:t xml:space="preserve">Azhari, Ichwan, dan Rosmaida Sinaga. </w:t>
      </w:r>
      <w:r w:rsidRPr="003F54F4">
        <w:rPr>
          <w:i/>
          <w:iCs/>
        </w:rPr>
        <w:t>Tuan M.H. Manullang Pahlawan Indonesia dari Tanah Batak (1887-1979)</w:t>
      </w:r>
      <w:r w:rsidRPr="003F54F4">
        <w:t>. Malang: Literasi Indonesia, 2022.</w:t>
      </w:r>
    </w:p>
    <w:p w14:paraId="4DAC4846" w14:textId="77777777" w:rsidR="003F54F4" w:rsidRPr="003F54F4" w:rsidRDefault="003F54F4" w:rsidP="003F54F4">
      <w:pPr>
        <w:pStyle w:val="Bibliography"/>
        <w:spacing w:line="360" w:lineRule="auto"/>
        <w:jc w:val="both"/>
      </w:pPr>
      <w:r w:rsidRPr="003F54F4">
        <w:t xml:space="preserve">Boty, Middya. “Agama dan Perubahan Sosial (Tinjauan Perpspektif Sosiologi Agama).” </w:t>
      </w:r>
      <w:r w:rsidRPr="003F54F4">
        <w:rPr>
          <w:i/>
          <w:iCs/>
        </w:rPr>
        <w:t>Istinbath: Jurnal Raden Fatah</w:t>
      </w:r>
      <w:r w:rsidRPr="003F54F4">
        <w:t xml:space="preserve"> 14, no. 15 (2015): 35–30.</w:t>
      </w:r>
    </w:p>
    <w:p w14:paraId="655D76F3" w14:textId="77777777" w:rsidR="003F54F4" w:rsidRPr="003F54F4" w:rsidRDefault="003F54F4" w:rsidP="003F54F4">
      <w:pPr>
        <w:pStyle w:val="Bibliography"/>
        <w:spacing w:line="360" w:lineRule="auto"/>
        <w:jc w:val="both"/>
      </w:pPr>
      <w:r w:rsidRPr="003F54F4">
        <w:t xml:space="preserve">End, Th. van den, dan J. Weitjens. </w:t>
      </w:r>
      <w:r w:rsidRPr="003F54F4">
        <w:rPr>
          <w:i/>
          <w:iCs/>
        </w:rPr>
        <w:t>Ragi Carita 2: Sejarah Gereja di Indonesia tahun 1860-an - sekarang</w:t>
      </w:r>
      <w:r w:rsidRPr="003F54F4">
        <w:t>. Jakarta: BPK Gunung Mulia, 2018.</w:t>
      </w:r>
    </w:p>
    <w:p w14:paraId="4DA93A18" w14:textId="77777777" w:rsidR="003F54F4" w:rsidRPr="003F54F4" w:rsidRDefault="003F54F4" w:rsidP="003F54F4">
      <w:pPr>
        <w:pStyle w:val="Bibliography"/>
        <w:spacing w:line="360" w:lineRule="auto"/>
        <w:jc w:val="both"/>
      </w:pPr>
      <w:r w:rsidRPr="003F54F4">
        <w:t xml:space="preserve">Fathoni, Tamrin. “Peran Teori Sosial Émile Durkheim Dalam Pengembangan Pendidikan Agama Islam (Perspektif Solidaritas Sosial Dan Integrasi Masyarakat).” </w:t>
      </w:r>
      <w:r w:rsidRPr="003F54F4">
        <w:rPr>
          <w:i/>
          <w:iCs/>
        </w:rPr>
        <w:t>AL-MIKRAJ Jurnal Studi Islam dan Humaniora (E-ISSN 2745-4584)</w:t>
      </w:r>
      <w:r w:rsidRPr="003F54F4">
        <w:t xml:space="preserve"> 5, no. 01 (November 2024): 1654–68. https://doi.org/10.37680/almikraj.v5i01.6403.</w:t>
      </w:r>
    </w:p>
    <w:p w14:paraId="7026812F" w14:textId="77777777" w:rsidR="003F54F4" w:rsidRPr="003F54F4" w:rsidRDefault="003F54F4" w:rsidP="003F54F4">
      <w:pPr>
        <w:pStyle w:val="Bibliography"/>
        <w:spacing w:line="360" w:lineRule="auto"/>
        <w:jc w:val="both"/>
      </w:pPr>
      <w:r w:rsidRPr="003F54F4">
        <w:t xml:space="preserve">Hasugian, Jalatua. </w:t>
      </w:r>
      <w:r w:rsidRPr="003F54F4">
        <w:rPr>
          <w:i/>
          <w:iCs/>
        </w:rPr>
        <w:t>Masa Pemerintahan Kolonial Belanda di Pematangsiantar 1917-1942</w:t>
      </w:r>
      <w:r w:rsidRPr="003F54F4">
        <w:t>. Yogyakarta: KBM Indonesia, 2020.</w:t>
      </w:r>
    </w:p>
    <w:p w14:paraId="1036D972" w14:textId="77777777" w:rsidR="003F54F4" w:rsidRPr="003F54F4" w:rsidRDefault="003F54F4" w:rsidP="003F54F4">
      <w:pPr>
        <w:pStyle w:val="Bibliography"/>
        <w:spacing w:line="360" w:lineRule="auto"/>
        <w:jc w:val="both"/>
      </w:pPr>
      <w:r w:rsidRPr="003F54F4">
        <w:t xml:space="preserve">Hutauruk, J. R. </w:t>
      </w:r>
      <w:r w:rsidRPr="003F54F4">
        <w:rPr>
          <w:i/>
          <w:iCs/>
        </w:rPr>
        <w:t>Kemandirian Gereja: Penelitian historis-sistematis tentang Gerakan Kemandirian Gereja di Sumatera Utara dalam kancah Pergolakan Kolonialisme dan Gerakan Kebangsaan di Indonesia, 1899-1942</w:t>
      </w:r>
      <w:r w:rsidRPr="003F54F4">
        <w:t>. Jakarta: BPK Gunung Mulia, 1992.</w:t>
      </w:r>
    </w:p>
    <w:p w14:paraId="23409726" w14:textId="77777777" w:rsidR="003F54F4" w:rsidRPr="003F54F4" w:rsidRDefault="003F54F4" w:rsidP="003F54F4">
      <w:pPr>
        <w:pStyle w:val="Bibliography"/>
        <w:spacing w:line="360" w:lineRule="auto"/>
        <w:jc w:val="both"/>
      </w:pPr>
      <w:r w:rsidRPr="003F54F4">
        <w:t xml:space="preserve">———. </w:t>
      </w:r>
      <w:r w:rsidRPr="003F54F4">
        <w:rPr>
          <w:i/>
          <w:iCs/>
        </w:rPr>
        <w:t>Lahir, Berakar dan Bertumbuh di dalam Kristus Sejarah 150 Tahun Huria Kristen Batak Protestan (HKBP) 7 Oktober 1861 - 7 Oktober 2011</w:t>
      </w:r>
      <w:r w:rsidRPr="003F54F4">
        <w:t>. Pearaja Tarutung: Kantor Pusat HKBP, 2011.</w:t>
      </w:r>
    </w:p>
    <w:p w14:paraId="7FF35123" w14:textId="77777777" w:rsidR="003F54F4" w:rsidRPr="003F54F4" w:rsidRDefault="003F54F4" w:rsidP="003F54F4">
      <w:pPr>
        <w:pStyle w:val="Bibliography"/>
        <w:spacing w:line="360" w:lineRule="auto"/>
        <w:jc w:val="both"/>
      </w:pPr>
      <w:r w:rsidRPr="003F54F4">
        <w:t xml:space="preserve">———. </w:t>
      </w:r>
      <w:r w:rsidRPr="003F54F4">
        <w:rPr>
          <w:i/>
          <w:iCs/>
        </w:rPr>
        <w:t>Ula Jala Surathon! Barita Jujur Taon Pandita Batak, 1891-1959 Jilid IV</w:t>
      </w:r>
      <w:r w:rsidRPr="003F54F4">
        <w:t>. Medan: LAPiK, 2017.</w:t>
      </w:r>
    </w:p>
    <w:p w14:paraId="347C9EBB" w14:textId="77777777" w:rsidR="003F54F4" w:rsidRPr="003F54F4" w:rsidRDefault="003F54F4" w:rsidP="003F54F4">
      <w:pPr>
        <w:pStyle w:val="Bibliography"/>
        <w:spacing w:line="360" w:lineRule="auto"/>
        <w:jc w:val="both"/>
      </w:pPr>
      <w:r w:rsidRPr="003F54F4">
        <w:t xml:space="preserve">Jones, Pip. </w:t>
      </w:r>
      <w:r w:rsidRPr="003F54F4">
        <w:rPr>
          <w:i/>
          <w:iCs/>
        </w:rPr>
        <w:t>Pengantar Teori-teori Sosial: Dari Fungsionalisme Hingga Post-Modernisme</w:t>
      </w:r>
      <w:r w:rsidRPr="003F54F4">
        <w:t>. Jakarta: Obor Indonesia, 2010.</w:t>
      </w:r>
    </w:p>
    <w:p w14:paraId="2BE23EE1" w14:textId="77777777" w:rsidR="003F54F4" w:rsidRPr="003F54F4" w:rsidRDefault="003F54F4" w:rsidP="003F54F4">
      <w:pPr>
        <w:pStyle w:val="Bibliography"/>
        <w:spacing w:line="360" w:lineRule="auto"/>
        <w:jc w:val="both"/>
      </w:pPr>
      <w:r w:rsidRPr="003F54F4">
        <w:lastRenderedPageBreak/>
        <w:t xml:space="preserve">Kurris, SJ, R. </w:t>
      </w:r>
      <w:r w:rsidRPr="003F54F4">
        <w:rPr>
          <w:i/>
          <w:iCs/>
        </w:rPr>
        <w:t>Pelangi di Bukit Barisan: Gereja Katolik Memasuki Tapanuli</w:t>
      </w:r>
      <w:r w:rsidRPr="003F54F4">
        <w:t>. Yogyakarta: Kanisius, 2006.</w:t>
      </w:r>
    </w:p>
    <w:p w14:paraId="21931A80" w14:textId="77777777" w:rsidR="003F54F4" w:rsidRPr="003F54F4" w:rsidRDefault="003F54F4" w:rsidP="003F54F4">
      <w:pPr>
        <w:pStyle w:val="Bibliography"/>
        <w:spacing w:line="360" w:lineRule="auto"/>
        <w:jc w:val="both"/>
      </w:pPr>
      <w:r w:rsidRPr="003F54F4">
        <w:t xml:space="preserve">Maulidia, Hanifa. “Relasi Agama dan Masyarakat dalam Perspektif Emile Durkheim dan Karl Marx.” </w:t>
      </w:r>
      <w:r w:rsidRPr="003F54F4">
        <w:rPr>
          <w:i/>
          <w:iCs/>
        </w:rPr>
        <w:t>Jurnal Sosiologi USK (Media Pemikiran &amp; Aplikasi)</w:t>
      </w:r>
      <w:r w:rsidRPr="003F54F4">
        <w:t xml:space="preserve"> 13, no. 2 (Desember 2019): 183–200. https://doi.org/10.24815/jsu.v13i2.17506.</w:t>
      </w:r>
    </w:p>
    <w:p w14:paraId="236C7565" w14:textId="77777777" w:rsidR="003F54F4" w:rsidRPr="003F54F4" w:rsidRDefault="003F54F4" w:rsidP="003F54F4">
      <w:pPr>
        <w:pStyle w:val="Bibliography"/>
        <w:spacing w:line="360" w:lineRule="auto"/>
        <w:jc w:val="both"/>
      </w:pPr>
      <w:r w:rsidRPr="003F54F4">
        <w:t xml:space="preserve">Pematangsiantar, HKBP. </w:t>
      </w:r>
      <w:r w:rsidRPr="003F54F4">
        <w:rPr>
          <w:i/>
          <w:iCs/>
        </w:rPr>
        <w:t>Sejarah Jubileum 100 Tahun HKBP Pematangsiantar Ressort Pematangsiantar Distrik V Sumatera Timur</w:t>
      </w:r>
      <w:r w:rsidRPr="003F54F4">
        <w:t>. Pematangsiantar: HKBP Pematangsiantar, 2007.</w:t>
      </w:r>
    </w:p>
    <w:p w14:paraId="12E075D1" w14:textId="77777777" w:rsidR="003F54F4" w:rsidRPr="003F54F4" w:rsidRDefault="003F54F4" w:rsidP="003F54F4">
      <w:pPr>
        <w:pStyle w:val="Bibliography"/>
        <w:spacing w:line="360" w:lineRule="auto"/>
        <w:jc w:val="both"/>
      </w:pPr>
      <w:r w:rsidRPr="003F54F4">
        <w:t xml:space="preserve">Saragih, Hisarma, Subhilhar, Hamdani Harahap, dan Amir Purba. “The Struggle of Batak Simalungun for Their Identity in Church Organization in Simalungun, Medan, Indonesia.” </w:t>
      </w:r>
      <w:r w:rsidRPr="003F54F4">
        <w:rPr>
          <w:i/>
          <w:iCs/>
        </w:rPr>
        <w:t>Journal of Human Behavior in the Social Environment</w:t>
      </w:r>
      <w:r w:rsidRPr="003F54F4">
        <w:t xml:space="preserve"> 29, no. 6 (Agustus 2019): 693–704. https://doi.org/10.1080/10911359.2019.1590888.</w:t>
      </w:r>
    </w:p>
    <w:p w14:paraId="48148966" w14:textId="77777777" w:rsidR="003F54F4" w:rsidRPr="003F54F4" w:rsidRDefault="003F54F4" w:rsidP="003F54F4">
      <w:pPr>
        <w:pStyle w:val="Bibliography"/>
        <w:spacing w:line="360" w:lineRule="auto"/>
        <w:jc w:val="both"/>
      </w:pPr>
      <w:r w:rsidRPr="003F54F4">
        <w:t xml:space="preserve">Saragih, Jan Christian Wismar. “Taat Kepada Mannusia atau Kepada Allah? Memaknai Ketaatan dalam Konteks Peribadahan di GKPS.” Dalam </w:t>
      </w:r>
      <w:r w:rsidRPr="003F54F4">
        <w:rPr>
          <w:i/>
          <w:iCs/>
        </w:rPr>
        <w:t>Menjadi Gereja yang Seutuhnya: Apa dan Bagaimana?</w:t>
      </w:r>
      <w:r w:rsidRPr="003F54F4">
        <w:t xml:space="preserve"> Yogyakarta: KBM Indonesia, 2023.</w:t>
      </w:r>
    </w:p>
    <w:p w14:paraId="56E7E9EA" w14:textId="77777777" w:rsidR="003F54F4" w:rsidRPr="003F54F4" w:rsidRDefault="003F54F4" w:rsidP="003F54F4">
      <w:pPr>
        <w:pStyle w:val="Bibliography"/>
        <w:spacing w:line="360" w:lineRule="auto"/>
        <w:jc w:val="both"/>
      </w:pPr>
      <w:r w:rsidRPr="003F54F4">
        <w:t xml:space="preserve">Sitorus, Gideon Hasiholan. “Sumbangsih Teori Fungsionalis Emile Durkheim untuk Mewujudkan Agama sebagai Wacana Performatif dalam Mewujudkan Solidaritas di Tengah Pandemi.” </w:t>
      </w:r>
      <w:r w:rsidRPr="003F54F4">
        <w:rPr>
          <w:i/>
          <w:iCs/>
        </w:rPr>
        <w:t>Pute Waya: Sociology of Religion Journal</w:t>
      </w:r>
      <w:r w:rsidRPr="003F54F4">
        <w:t xml:space="preserve"> 3, no. 1 (2022): 52–64.</w:t>
      </w:r>
    </w:p>
    <w:p w14:paraId="1A05AA60" w14:textId="77777777" w:rsidR="003F54F4" w:rsidRPr="003F54F4" w:rsidRDefault="003F54F4" w:rsidP="003F54F4">
      <w:pPr>
        <w:pStyle w:val="Bibliography"/>
        <w:spacing w:line="360" w:lineRule="auto"/>
        <w:jc w:val="both"/>
      </w:pPr>
      <w:r w:rsidRPr="003F54F4">
        <w:t xml:space="preserve">Tambak, TBA. Purba. </w:t>
      </w:r>
      <w:r w:rsidRPr="003F54F4">
        <w:rPr>
          <w:i/>
          <w:iCs/>
        </w:rPr>
        <w:t>Sejarah Simalungun: Pemerintahan Tradisional, Kolonialisme, Agama dan Adat Istiadat</w:t>
      </w:r>
      <w:r w:rsidRPr="003F54F4">
        <w:t>. Medan: Simetri Institute, 2019.</w:t>
      </w:r>
    </w:p>
    <w:p w14:paraId="6665DBB8" w14:textId="77777777" w:rsidR="003F54F4" w:rsidRPr="003F54F4" w:rsidRDefault="003F54F4" w:rsidP="003F54F4">
      <w:pPr>
        <w:pStyle w:val="Bibliography"/>
        <w:spacing w:line="360" w:lineRule="auto"/>
        <w:jc w:val="both"/>
      </w:pPr>
      <w:r w:rsidRPr="003F54F4">
        <w:t>Tambunan, Dumas. “A PROGRAM FOR TRAINING IN PERSONAL CHRISTIAN WITNESSING TO THE MUSLIM OF INDONESIA.” Andrews University Seventh-day Adventist Theological Seminary, 1987.</w:t>
      </w:r>
    </w:p>
    <w:p w14:paraId="6B71F03F" w14:textId="05C8DEA3" w:rsidR="00C30472" w:rsidRDefault="003F54F4" w:rsidP="003F54F4">
      <w:pPr>
        <w:spacing w:line="360" w:lineRule="auto"/>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9F3D9F" w14:textId="77777777" w:rsidR="00093090" w:rsidRDefault="00093090">
      <w:r>
        <w:separator/>
      </w:r>
    </w:p>
  </w:endnote>
  <w:endnote w:type="continuationSeparator" w:id="0">
    <w:p w14:paraId="26D2E804" w14:textId="77777777" w:rsidR="00093090" w:rsidRDefault="00093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6A049F7F-8BF9-4C37-A130-16A2D21087FB}"/>
    <w:embedBold r:id="rId2" w:fontKey="{8ACD3CD9-3303-4892-8A70-F3B41845F4B4}"/>
  </w:font>
  <w:font w:name="Calibri">
    <w:panose1 w:val="020F0502020204030204"/>
    <w:charset w:val="00"/>
    <w:family w:val="swiss"/>
    <w:pitch w:val="variable"/>
    <w:sig w:usb0="E4002EFF" w:usb1="C000247B" w:usb2="00000009" w:usb3="00000000" w:csb0="000001FF" w:csb1="00000000"/>
    <w:embedRegular r:id="rId3" w:fontKey="{AC6B21C4-C418-413C-8D45-E39B52E36C3D}"/>
    <w:embedBold r:id="rId4" w:fontKey="{CC1F6EDB-5867-41DA-A01B-EA0140FA7C22}"/>
    <w:embedItalic r:id="rId5" w:fontKey="{9DADCAD5-F17A-4914-9610-67BC6185C886}"/>
  </w:font>
  <w:font w:name="Calisto MT">
    <w:panose1 w:val="02040603050505030304"/>
    <w:charset w:val="00"/>
    <w:family w:val="roman"/>
    <w:pitch w:val="variable"/>
    <w:sig w:usb0="00000003" w:usb1="00000000" w:usb2="00000000" w:usb3="00000000" w:csb0="00000001" w:csb1="00000000"/>
    <w:embedRegular r:id="rId6" w:fontKey="{39CB7360-DBD0-4EDA-9DAA-6487BA884A47}"/>
    <w:embedBold r:id="rId7" w:fontKey="{09185C82-0C9E-4B5A-A188-401484A33396}"/>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4588F061-BE2A-4E1B-920F-F979960465D5}"/>
    <w:embedItalic r:id="rId9" w:fontKey="{744E2A75-B64E-4B95-8898-513AC009DBE6}"/>
  </w:font>
  <w:font w:name="Palatino Linotype">
    <w:panose1 w:val="02040502050505030304"/>
    <w:charset w:val="00"/>
    <w:family w:val="roman"/>
    <w:pitch w:val="variable"/>
    <w:sig w:usb0="E0000287" w:usb1="40000013" w:usb2="00000000" w:usb3="00000000" w:csb0="0000019F" w:csb1="00000000"/>
    <w:embedRegular r:id="rId10" w:fontKey="{16112A18-718B-48AB-A43B-BD02CF457466}"/>
  </w:font>
  <w:font w:name="Lustria">
    <w:altName w:val="Cambria"/>
    <w:charset w:val="00"/>
    <w:family w:val="auto"/>
    <w:pitch w:val="default"/>
    <w:embedRegular r:id="rId11" w:fontKey="{66F33FBB-3778-4740-829A-FF0DFCD7AD80}"/>
    <w:embedBold r:id="rId12" w:fontKey="{B6C6DBF0-AF93-44E8-ACFB-0D105B48555C}"/>
    <w:embedItalic r:id="rId13" w:fontKey="{AD59B845-ECDC-4FC6-8E7D-1D5D95BB9864}"/>
  </w:font>
  <w:font w:name="Book Antiqua">
    <w:panose1 w:val="02040602050305030304"/>
    <w:charset w:val="00"/>
    <w:family w:val="roman"/>
    <w:pitch w:val="variable"/>
    <w:sig w:usb0="00000287" w:usb1="00000000" w:usb2="00000000" w:usb3="00000000" w:csb0="0000009F" w:csb1="00000000"/>
    <w:embedRegular r:id="rId14" w:fontKey="{4C63CFE2-8825-4563-8111-B83196C2E83A}"/>
  </w:font>
  <w:font w:name="EB Garamond">
    <w:altName w:val="Calibri"/>
    <w:charset w:val="00"/>
    <w:family w:val="auto"/>
    <w:pitch w:val="variable"/>
    <w:sig w:usb0="E00002FF" w:usb1="02000413" w:usb2="00000000" w:usb3="00000000" w:csb0="0000019F" w:csb1="00000000"/>
    <w:embedRegular r:id="rId15" w:fontKey="{33638D92-6052-40BD-9694-B082774E452B}"/>
  </w:font>
  <w:font w:name="Cambria">
    <w:panose1 w:val="02040503050406030204"/>
    <w:charset w:val="00"/>
    <w:family w:val="roman"/>
    <w:pitch w:val="variable"/>
    <w:sig w:usb0="E00006FF" w:usb1="420024FF" w:usb2="02000000" w:usb3="00000000" w:csb0="0000019F" w:csb1="00000000"/>
    <w:embedRegular r:id="rId16" w:fontKey="{C450EC6E-98D9-4830-8E25-E6B5E926C0B0}"/>
    <w:embedBoldItalic r:id="rId17" w:fontKey="{C129CB41-1F97-49E5-A980-B4C86C7755BB}"/>
  </w:font>
  <w:font w:name="Garamond">
    <w:panose1 w:val="02020404030301010803"/>
    <w:charset w:val="00"/>
    <w:family w:val="roman"/>
    <w:pitch w:val="variable"/>
    <w:sig w:usb0="00000287" w:usb1="00000000" w:usb2="00000000" w:usb3="00000000" w:csb0="0000009F" w:csb1="00000000"/>
    <w:embedRegular r:id="rId18" w:fontKey="{B9D1B6E3-E686-455B-A7B5-0791A4CD8025}"/>
  </w:font>
  <w:font w:name="Corben">
    <w:charset w:val="00"/>
    <w:family w:val="auto"/>
    <w:pitch w:val="default"/>
    <w:embedRegular r:id="rId19" w:fontKey="{562917D6-DCA7-4B0F-A109-6E12A049675A}"/>
  </w:font>
  <w:font w:name="Verdana">
    <w:panose1 w:val="020B0604030504040204"/>
    <w:charset w:val="00"/>
    <w:family w:val="swiss"/>
    <w:pitch w:val="variable"/>
    <w:sig w:usb0="A00006FF" w:usb1="4000205B" w:usb2="00000010" w:usb3="00000000" w:csb0="0000019F" w:csb1="00000000"/>
    <w:embedRegular r:id="rId20" w:fontKey="{47DEC79D-DC1C-46A1-AA37-9D66FAE8FFA7}"/>
    <w:embedBold r:id="rId21" w:fontKey="{9125A507-4B12-4B8E-ADD4-059803B952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C18F1" w14:textId="77777777" w:rsidR="00C30472" w:rsidRDefault="0009309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F3A863" w14:textId="77777777" w:rsidR="00C30472" w:rsidRDefault="0009309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4803B" w14:textId="77777777" w:rsidR="00C30472" w:rsidRDefault="0009309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80E19E" w14:textId="77777777" w:rsidR="00093090" w:rsidRDefault="00093090">
      <w:r>
        <w:separator/>
      </w:r>
    </w:p>
  </w:footnote>
  <w:footnote w:type="continuationSeparator" w:id="0">
    <w:p w14:paraId="56317B29" w14:textId="77777777" w:rsidR="00093090" w:rsidRDefault="00093090">
      <w:r>
        <w:continuationSeparator/>
      </w:r>
    </w:p>
  </w:footnote>
  <w:footnote w:id="1">
    <w:p w14:paraId="0EAA7FD7"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{"citationID":"W9rMY5EU","properties":{"formattedCitation":"Jan Christian Wismar Saragih, \\uc0\\u8220{}Taat Kepada Mannusia atau Kepada Allah? Memaknai Ketaatan dalam Konteks Peribadahan di GKPS,\\uc0\\u8221{} dalam {\\i{}Menjadi Gereja yang Seutuhnya: Apa dan Bagaimana?} (Yogyakarta: KBM Indonesia, 2023), 138.","plainCitation":"Jan Christian Wismar Saragih, “Taat Kepada Mannusia atau Kepada Allah? Memaknai Ketaatan dalam Konteks Peribadahan di GKPS,” dalam Menjadi Gereja yang Seutuhnya: Apa dan Bagaimana? (Yogyakarta: KBM Indonesia, 2023), 138.","dontUpdate":true,"noteIndex":1},"citationItems":[{"id":653,"uris":["http://zotero.org/users/local/q9G6HF8J/items/L6VNLSK9"],"itemData":{"id":653,"type":"chapter","container-title":"Menjadi Gereja yang Seutuhnya: Apa dan Bagaimana?","event-place":"Yogyakarta","publisher":"KBM Indonesia","publisher-place":"Yogyakarta","title":"Taat Kepada Mannusia atau Kepada Allah? Memaknai Ketaatan dalam Konteks Peribadahan di GKPS","author":[{"family":"Saragih","given":"Jan Christian Wismar"}],"issued":{"date-parts":[["2023"]]}},"locator":"138"}],"schema":"https://github.com/citation-style-language/schema/raw/master/csl-citation.json"} </w:instrText>
      </w:r>
      <w:r>
        <w:fldChar w:fldCharType="separate"/>
      </w:r>
      <w:r w:rsidRPr="00832AD2">
        <w:rPr>
          <w:rFonts w:ascii="Calibri" w:hAnsi="Calibri" w:cs="Calibri"/>
          <w:szCs w:val="24"/>
        </w:rPr>
        <w:t xml:space="preserve">Jan Christian Wismar Saragih, “Taat Kepada Manusia atau Kepada Allah? Memaknai Ketaatan dalam Konteks Peribadahan di GKPS,” dalam </w:t>
      </w:r>
      <w:r w:rsidRPr="00832AD2">
        <w:rPr>
          <w:rFonts w:ascii="Calibri" w:hAnsi="Calibri" w:cs="Calibri"/>
          <w:i/>
          <w:iCs/>
          <w:szCs w:val="24"/>
        </w:rPr>
        <w:t>Menjadi Gereja yang Seutuhnya: Apa dan Bagaimana?</w:t>
      </w:r>
      <w:r w:rsidRPr="00832AD2">
        <w:rPr>
          <w:rFonts w:ascii="Calibri" w:hAnsi="Calibri" w:cs="Calibri"/>
          <w:szCs w:val="24"/>
        </w:rPr>
        <w:t xml:space="preserve"> (Yogyakarta: KBM Indonesia, 2023), 138.</w:t>
      </w:r>
      <w:r>
        <w:fldChar w:fldCharType="end"/>
      </w:r>
    </w:p>
  </w:footnote>
  <w:footnote w:id="2">
    <w:p w14:paraId="3DF71DCB" w14:textId="30FC9C08"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{"citationID":"u2joZFh0","properties":{"formattedCitation":"Budi Agustuno dkk., {\\i{}Sejarah Etnis Simalungun} (Pamatang Raya: Terbit atas kerjasama Pemerintah Kabupaten Simalungun dan Fakultas Ilmu Budaya Universitas Sumatera Utara, 2020), 314.","plainCitation":"Budi Agustuno dkk., Sejarah Etnis Simalungun (Pamatang Raya: Terbit atas kerjasama Pemerintah Kabupaten Simalungun dan Fakultas Ilmu Budaya Universitas Sumatera Utara, 2020), 314.","noteIndex":2},"citationItems":[{"id":650,"uris":["http://zotero.org/users/local/q9G6HF8J/items/KZ8FWM3R"],"itemData":{"id":650,"type":"book","event-place":"Pamatang Raya","publisher":"Terbit atas kerjasama Pemerintah Kabupaten Simalungun dan Fakultas Ilmu Budaya Universitas Sumatera Utara","publisher-place":"Pamatang Raya","title":"Sejarah Etnis Simalungun","author":[{"family":"Agustuno dkk.,","given":"Budi"}],"issued":{"date-parts":[["2020"]]}},"locator":"314"}],"schema":"https://github.com/citation-style-language/schema/raw/master/csl-citation.json"} </w:instrText>
      </w:r>
      <w:r>
        <w:fldChar w:fldCharType="separate"/>
      </w:r>
      <w:r w:rsidR="003F54F4" w:rsidRPr="003F54F4">
        <w:rPr>
          <w:rFonts w:ascii="Calibri" w:hAnsi="Calibri" w:cs="Calibri"/>
          <w:szCs w:val="24"/>
        </w:rPr>
        <w:t xml:space="preserve">Budi Agustuno dkk., </w:t>
      </w:r>
      <w:r w:rsidR="003F54F4" w:rsidRPr="003F54F4">
        <w:rPr>
          <w:rFonts w:ascii="Calibri" w:hAnsi="Calibri" w:cs="Calibri"/>
          <w:i/>
          <w:iCs/>
          <w:szCs w:val="24"/>
        </w:rPr>
        <w:t>Sejarah Etnis Simalungun</w:t>
      </w:r>
      <w:r w:rsidR="003F54F4" w:rsidRPr="003F54F4">
        <w:rPr>
          <w:rFonts w:ascii="Calibri" w:hAnsi="Calibri" w:cs="Calibri"/>
          <w:szCs w:val="24"/>
        </w:rPr>
        <w:t xml:space="preserve"> (Pamatang Raya: Terbit atas kerjasama Pemerintah Kabupaten Simalungun dan Fakultas Ilmu Budaya Universitas Sumatera Utara, 2020), 314.</w:t>
      </w:r>
      <w:r>
        <w:fldChar w:fldCharType="end"/>
      </w:r>
    </w:p>
  </w:footnote>
  <w:footnote w:id="3">
    <w:p w14:paraId="4C3EC18C"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{"citationID":"Kua9axCI","properties":{"formattedCitation":"J. R. Hutauruk, {\\i{}Lahir, Berakar dan Bertumbuh di dalam Kristus Sejarah 150 Tahun Huria Kristen Batak Protestan (HKBP) 7 Oktober 1861 - 7 Oktober 2011} (Pearaja Tarutung: Kantor Pusat HKBP, 2011), 87.","plainCitation":"J. R. Hutauruk, Lahir, Berakar dan Bertumbuh di dalam Kristus Sejarah 150 Tahun Huria Kristen Batak Protestan (HKBP) 7 Oktober 1861 - 7 Oktober 2011 (Pearaja Tarutung: Kantor Pusat HKBP, 2011), 87.","noteIndex":3},"citationItems":[{"id":651,"uris":["http://zotero.org/users/local/q9G6HF8J/items/CIH32EUS"],"itemData":{"id":651,"type":"book","event-place":"Pearaja Tarutung","publisher":"Kantor Pusat HKBP","publisher-place":"Pearaja Tarutung","title":"Lahir, Berakar dan Bertumbuh di dalam Kristus Sejarah 150 Tahun Huria Kristen Batak Protestan (HKBP) 7 Oktober 1861 - 7 Oktober 2011","author":[{"family":"Hutauruk","given":"J. R."}],"issued":{"date-parts":[["2011"]]}},"locator":"87"}],"schema":"https://github.com/citation-style-language/schema/raw/master/csl-citation.json"} </w:instrText>
      </w:r>
      <w:r>
        <w:fldChar w:fldCharType="separate"/>
      </w:r>
      <w:r w:rsidRPr="005E036D">
        <w:rPr>
          <w:rFonts w:ascii="Calibri" w:hAnsi="Calibri" w:cs="Calibri"/>
          <w:szCs w:val="24"/>
        </w:rPr>
        <w:t xml:space="preserve">J. R. Hutauruk, </w:t>
      </w:r>
      <w:r w:rsidRPr="005E036D">
        <w:rPr>
          <w:rFonts w:ascii="Calibri" w:hAnsi="Calibri" w:cs="Calibri"/>
          <w:i/>
          <w:iCs/>
          <w:szCs w:val="24"/>
        </w:rPr>
        <w:t>Lahir, Berakar dan Bertumbuh di dalam Kristus Sejarah 150 Tahun Huria Kristen Batak Protestan (HKBP) 7 Oktober 1861 - 7 Oktober 2011</w:t>
      </w:r>
      <w:r w:rsidRPr="005E036D">
        <w:rPr>
          <w:rFonts w:ascii="Calibri" w:hAnsi="Calibri" w:cs="Calibri"/>
          <w:szCs w:val="24"/>
        </w:rPr>
        <w:t xml:space="preserve"> (Pearaja Tarutung: Kantor Pusat HKBP, 2011), 87.</w:t>
      </w:r>
      <w:r>
        <w:fldChar w:fldCharType="end"/>
      </w:r>
    </w:p>
  </w:footnote>
  <w:footnote w:id="4">
    <w:p w14:paraId="1E93F8AB"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{"citationID":"FUyXgUPu","properties":{"formattedCitation":"HKBP Pematangsiantar, {\\i{}Sejarah Jubileum 100 Tahun HKBP Pematangsiantar Ressort Pematangsiantar Distrik V Sumatera Timur} (Pematangsiantar: HKBP Pematangsiantar, 2007), 14.","plainCitation":"HKBP Pematangsiantar, Sejarah Jubileum 100 Tahun HKBP Pematangsiantar Ressort Pematangsiantar Distrik V Sumatera Timur (Pematangsiantar: HKBP Pematangsiantar, 2007), 14.","noteIndex":4},"citationItems":[{"id":645,"uris":["http://zotero.org/users/local/q9G6HF8J/items/34UN23SE"],"itemData":{"id":645,"type":"book","event-place":"Pematangsiantar","publisher":"HKBP Pematangsiantar","publisher-place":"Pematangsiantar","title":"Sejarah Jubileum 100 Tahun HKBP Pematangsiantar Ressort Pematangsiantar Distrik V Sumatera Timur","author":[{"family":"Pematangsiantar","given":"HKBP"}],"issued":{"date-parts":[["2007"]]}},"locator":"14"}],"schema":"https://github.com/citation-style-language/schema/raw/master/csl-citation.json"} </w:instrText>
      </w:r>
      <w:r>
        <w:fldChar w:fldCharType="separate"/>
      </w:r>
      <w:r w:rsidRPr="006B41A9">
        <w:rPr>
          <w:rFonts w:ascii="Calibri" w:hAnsi="Calibri" w:cs="Calibri"/>
          <w:szCs w:val="24"/>
        </w:rPr>
        <w:t xml:space="preserve">HKBP Pematangsiantar, </w:t>
      </w:r>
      <w:r w:rsidRPr="006B41A9">
        <w:rPr>
          <w:rFonts w:ascii="Calibri" w:hAnsi="Calibri" w:cs="Calibri"/>
          <w:i/>
          <w:iCs/>
          <w:szCs w:val="24"/>
        </w:rPr>
        <w:t>Sejarah Jubileum 100 Tahun HKBP Pematangsiantar Ressort Pematangsiantar Distrik V Sumatera Timur</w:t>
      </w:r>
      <w:r w:rsidRPr="006B41A9">
        <w:rPr>
          <w:rFonts w:ascii="Calibri" w:hAnsi="Calibri" w:cs="Calibri"/>
          <w:szCs w:val="24"/>
        </w:rPr>
        <w:t xml:space="preserve"> (Pematangsiantar: HKBP Pematangsiantar, 2007), 14.</w:t>
      </w:r>
      <w:r>
        <w:fldChar w:fldCharType="end"/>
      </w:r>
    </w:p>
  </w:footnote>
  <w:footnote w:id="5">
    <w:p w14:paraId="2DB785AC"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{"citationID":"OO3XdJ6m","properties":{"formattedCitation":"Jalatua Hasugian, {\\i{}Masa Pemerintahan Kolonial Belanda di Pematangsiantar 1917-1942} (Yogyakarta: KBM Indonesia, 2020), 179.","plainCitation":"Jalatua Hasugian, Masa Pemerintahan Kolonial Belanda di Pematangsiantar 1917-1942 (Yogyakarta: KBM Indonesia, 2020), 179.","noteIndex":5},"citationItems":[{"id":649,"uris":["http://zotero.org/users/local/q9G6HF8J/items/IWGFR4TM"],"itemData":{"id":649,"type":"book","event-place":"Yogyakarta","publisher":"KBM Indonesia","publisher-place":"Yogyakarta","title":"Masa Pemerintahan Kolonial Belanda di Pematangsiantar 1917-1942","author":[{"family":"Hasugian","given":"Jalatua"}],"issued":{"date-parts":[["2020"]]}},"locator":"179"}],"schema":"https://github.com/citation-style-language/schema/raw/master/csl-citation.json"} </w:instrText>
      </w:r>
      <w:r>
        <w:fldChar w:fldCharType="separate"/>
      </w:r>
      <w:r w:rsidRPr="00372F81">
        <w:rPr>
          <w:rFonts w:ascii="Calibri" w:hAnsi="Calibri" w:cs="Calibri"/>
          <w:szCs w:val="24"/>
        </w:rPr>
        <w:t xml:space="preserve">Jalatua Hasugian, </w:t>
      </w:r>
      <w:r w:rsidRPr="00372F81">
        <w:rPr>
          <w:rFonts w:ascii="Calibri" w:hAnsi="Calibri" w:cs="Calibri"/>
          <w:i/>
          <w:iCs/>
          <w:szCs w:val="24"/>
        </w:rPr>
        <w:t>Masa Pemerintahan Kolonial Belanda di Pematangsiantar 1917-1942</w:t>
      </w:r>
      <w:r w:rsidRPr="00372F81">
        <w:rPr>
          <w:rFonts w:ascii="Calibri" w:hAnsi="Calibri" w:cs="Calibri"/>
          <w:szCs w:val="24"/>
        </w:rPr>
        <w:t xml:space="preserve"> (Yogyakarta: KBM Indonesia, 2020), 179.</w:t>
      </w:r>
      <w:r>
        <w:fldChar w:fldCharType="end"/>
      </w:r>
    </w:p>
  </w:footnote>
  <w:footnote w:id="6">
    <w:p w14:paraId="748FF13F"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{"citationID":"OZV7g6Dk","properties":{"formattedCitation":"Ichwan Azhari dan Rosmaida Sinaga, {\\i{}Tuan M.H. Manullang Pahlawan Indonesia dari Tanah Batak (1887-1979)} (Malang: Literasi Indonesia, 2022), 41.","plainCitation":"Ichwan Azhari dan Rosmaida Sinaga, Tuan M.H. Manullang Pahlawan Indonesia dari Tanah Batak (1887-1979) (Malang: Literasi Indonesia, 2022), 41.","noteIndex":6},"citationItems":[{"id":655,"uris":["http://zotero.org/users/local/q9G6HF8J/items/6B4WSVJJ"],"itemData":{"id":655,"type":"book","event-place":"Malang","publisher":"Literasi Indonesia","publisher-place":"Malang","title":"Tuan M.H. Manullang Pahlawan Indonesia dari Tanah Batak (1887-1979)","author":[{"family":"Azhari","given":"Ichwan"},{"family":"Sinaga","given":"Rosmaida"}],"issued":{"date-parts":[["2022"]]}},"locator":"41"}],"schema":"https://github.com/citation-style-language/schema/raw/master/csl-citation.json"} </w:instrText>
      </w:r>
      <w:r>
        <w:fldChar w:fldCharType="separate"/>
      </w:r>
      <w:r w:rsidRPr="003E40F2">
        <w:rPr>
          <w:rFonts w:ascii="Calibri" w:hAnsi="Calibri" w:cs="Calibri"/>
          <w:szCs w:val="24"/>
        </w:rPr>
        <w:t xml:space="preserve">Ichwan Azhari dan Rosmaida Sinaga, </w:t>
      </w:r>
      <w:r w:rsidRPr="003E40F2">
        <w:rPr>
          <w:rFonts w:ascii="Calibri" w:hAnsi="Calibri" w:cs="Calibri"/>
          <w:i/>
          <w:iCs/>
          <w:szCs w:val="24"/>
        </w:rPr>
        <w:t>Tuan M.H. Manullang Pahlawan Indonesia dari Tanah Batak (1887-1979)</w:t>
      </w:r>
      <w:r w:rsidRPr="003E40F2">
        <w:rPr>
          <w:rFonts w:ascii="Calibri" w:hAnsi="Calibri" w:cs="Calibri"/>
          <w:szCs w:val="24"/>
        </w:rPr>
        <w:t xml:space="preserve"> (Malang: Literasi Indonesia, 2022), 41.</w:t>
      </w:r>
      <w:r>
        <w:fldChar w:fldCharType="end"/>
      </w:r>
    </w:p>
  </w:footnote>
  <w:footnote w:id="7">
    <w:p w14:paraId="5126EEF4"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{"citationID":"7r2aasd0","properties":{"formattedCitation":"Pematangsiantar, {\\i{}Sejarah Jubileum 100 Tahun HKBP Pematangsiantar Ressort Pematangsiantar Distrik V Sumatera Timur}, 14\\uc0\\u8211{}15.","plainCitation":"Pematangsiantar, Sejarah Jubileum 100 Tahun HKBP Pematangsiantar Ressort Pematangsiantar Distrik V Sumatera Timur, 14–15.","noteIndex":7},"citationItems":[{"id":645,"uris":["http://zotero.org/users/local/q9G6HF8J/items/34UN23SE"],"itemData":{"id":645,"type":"book","event-place":"Pematangsiantar","publisher":"HKBP Pematangsiantar","publisher-place":"Pematangsiantar","title":"Sejarah Jubileum 100 Tahun HKBP Pematangsiantar Ressort Pematangsiantar Distrik V Sumatera Timur","author":[{"family":"Pematangsiantar","given":"HKBP"}],"issued":{"date-parts":[["2007"]]}},"locator":"14-15"}],"schema":"https://github.com/citation-style-language/schema/raw/master/csl-citation.json"} </w:instrText>
      </w:r>
      <w:r>
        <w:fldChar w:fldCharType="separate"/>
      </w:r>
      <w:r w:rsidRPr="00372F81">
        <w:rPr>
          <w:rFonts w:ascii="Calibri" w:hAnsi="Calibri" w:cs="Calibri"/>
          <w:szCs w:val="24"/>
        </w:rPr>
        <w:t xml:space="preserve">Pematangsiantar, </w:t>
      </w:r>
      <w:r w:rsidRPr="00372F81">
        <w:rPr>
          <w:rFonts w:ascii="Calibri" w:hAnsi="Calibri" w:cs="Calibri"/>
          <w:i/>
          <w:iCs/>
          <w:szCs w:val="24"/>
        </w:rPr>
        <w:t>Sejarah Jubileum 100 Tahun HKBP Pematangsiantar Ressort Pematangsiantar Distrik V Sumatera Timur</w:t>
      </w:r>
      <w:r w:rsidRPr="00372F81">
        <w:rPr>
          <w:rFonts w:ascii="Calibri" w:hAnsi="Calibri" w:cs="Calibri"/>
          <w:szCs w:val="24"/>
        </w:rPr>
        <w:t>, 14–15.</w:t>
      </w:r>
      <w:r>
        <w:fldChar w:fldCharType="end"/>
      </w:r>
    </w:p>
  </w:footnote>
  <w:footnote w:id="8">
    <w:p w14:paraId="5DA9E439"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{"citationID":"H276p8YC","properties":{"formattedCitation":"Pematangsiantar, 42\\uc0\\u8211{}45.","plainCitation":"Pematangsiantar, 42–45.","noteIndex":8},"citationItems":[{"id":645,"uris":["http://zotero.org/users/local/q9G6HF8J/items/34UN23SE"],"itemData":{"id":645,"type":"book","event-place":"Pematangsiantar","publisher":"HKBP Pematangsiantar","publisher-place":"Pematangsiantar","title":"Sejarah Jubileum 100 Tahun HKBP Pematangsiantar Ressort Pematangsiantar Distrik V Sumatera Timur","author":[{"family":"Pematangsiantar","given":"HKBP"}],"issued":{"date-parts":[["2007"]]}},"locator":"42-45"}],"schema":"https://github.com/citation-style-language/schema/raw/master/csl-citation.json"} </w:instrText>
      </w:r>
      <w:r>
        <w:fldChar w:fldCharType="separate"/>
      </w:r>
      <w:r w:rsidRPr="00416E97">
        <w:rPr>
          <w:rFonts w:ascii="Calibri" w:hAnsi="Calibri" w:cs="Calibri"/>
          <w:szCs w:val="24"/>
        </w:rPr>
        <w:t>Pematangsiantar, 42–45.</w:t>
      </w:r>
      <w:r>
        <w:fldChar w:fldCharType="end"/>
      </w:r>
    </w:p>
  </w:footnote>
  <w:footnote w:id="9">
    <w:p w14:paraId="59A559E3" w14:textId="572D2EF7"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{"citationID":"W30Izqt4","properties":{"formattedCitation":"Agustuno dkk., {\\i{}Sejarah Etnis Simalungun}, 314.","plainCitation":"Agustuno dkk., Sejarah Etnis Simalungun, 314.","noteIndex":9},"citationItems":[{"id":650,"uris":["http://zotero.org/users/local/q9G6HF8J/items/KZ8FWM3R"],"itemData":{"id":650,"type":"book","event-place":"Pamatang Raya","publisher":"Terbit atas kerjasama Pemerintah Kabupaten Simalungun dan Fakultas Ilmu Budaya Universitas Sumatera Utara","publisher-place":"Pamatang Raya","title":"Sejarah Etnis Simalungun","author":[{"family":"Agustuno dkk.,","given":"Budi"}],"issued":{"date-parts":[["2020"]]}},"locator":"314"}],"schema":"https://github.com/citation-style-language/schema/raw/master/csl-citation.json"} </w:instrText>
      </w:r>
      <w:r>
        <w:fldChar w:fldCharType="separate"/>
      </w:r>
      <w:r w:rsidRPr="00526CC9">
        <w:rPr>
          <w:rFonts w:ascii="Calibri" w:hAnsi="Calibri" w:cs="Calibri"/>
          <w:szCs w:val="24"/>
        </w:rPr>
        <w:t xml:space="preserve">Agustuno dkk., </w:t>
      </w:r>
      <w:r w:rsidRPr="00526CC9">
        <w:rPr>
          <w:rFonts w:ascii="Calibri" w:hAnsi="Calibri" w:cs="Calibri"/>
          <w:i/>
          <w:iCs/>
          <w:szCs w:val="24"/>
        </w:rPr>
        <w:t>Sejarah Etnis Simalungun</w:t>
      </w:r>
      <w:r w:rsidRPr="00526CC9">
        <w:rPr>
          <w:rFonts w:ascii="Calibri" w:hAnsi="Calibri" w:cs="Calibri"/>
          <w:szCs w:val="24"/>
        </w:rPr>
        <w:t>, 314.</w:t>
      </w:r>
      <w:r>
        <w:fldChar w:fldCharType="end"/>
      </w:r>
    </w:p>
  </w:footnote>
  <w:footnote w:id="10">
    <w:p w14:paraId="37764AFB"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{"citationID":"yZ5mdjJe","properties":{"formattedCitation":"Azhari dan Sinaga, {\\i{}Tuan M.H. Manullang Pahlawan Indonesia dari Tanah Batak (1887-1979)}, 254.","plainCitation":"Azhari dan Sinaga, Tuan M.H. Manullang Pahlawan Indonesia dari Tanah Batak (1887-1979), 254.","noteIndex":10},"citationItems":[{"id":655,"uris":["http://zotero.org/users/local/q9G6HF8J/items/6B4WSVJJ"],"itemData":{"id":655,"type":"book","event-place":"Malang","publisher":"Literasi Indonesia","publisher-place":"Malang","title":"Tuan M.H. Manullang Pahlawan Indonesia dari Tanah Batak (1887-1979)","author":[{"family":"Azhari","given":"Ichwan"},{"family":"Sinaga","given":"Rosmaida"}],"issued":{"date-parts":[["2022"]]}},"locator":"254"}],"schema":"https://github.com/citation-style-language/schema/raw/master/csl-citation.json"} </w:instrText>
      </w:r>
      <w:r>
        <w:fldChar w:fldCharType="separate"/>
      </w:r>
      <w:r w:rsidRPr="003E40F2">
        <w:rPr>
          <w:rFonts w:ascii="Calibri" w:hAnsi="Calibri" w:cs="Calibri"/>
          <w:szCs w:val="24"/>
        </w:rPr>
        <w:t xml:space="preserve">Azhari dan Sinaga, </w:t>
      </w:r>
      <w:r w:rsidRPr="003E40F2">
        <w:rPr>
          <w:rFonts w:ascii="Calibri" w:hAnsi="Calibri" w:cs="Calibri"/>
          <w:i/>
          <w:iCs/>
          <w:szCs w:val="24"/>
        </w:rPr>
        <w:t>Tuan M.H. Manullang Pahlawan Indonesia dari Tanah Batak (1887-1979)</w:t>
      </w:r>
      <w:r w:rsidRPr="003E40F2">
        <w:rPr>
          <w:rFonts w:ascii="Calibri" w:hAnsi="Calibri" w:cs="Calibri"/>
          <w:szCs w:val="24"/>
        </w:rPr>
        <w:t>, 254.</w:t>
      </w:r>
      <w:r>
        <w:fldChar w:fldCharType="end"/>
      </w:r>
    </w:p>
  </w:footnote>
  <w:footnote w:id="11">
    <w:p w14:paraId="50276024"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{"citationID":"QnzGOpDc","properties":{"formattedCitation":"R. Kurris, SJ, {\\i{}Pelangi di Bukit Barisan: Gereja Katolik Memasuki Tapanuli} (Yogyakarta: Kanisius, 2006), 117.","plainCitation":"R. Kurris, SJ, Pelangi di Bukit Barisan: Gereja Katolik Memasuki Tapanuli (Yogyakarta: Kanisius, 2006), 117.","noteIndex":11},"citationItems":[{"id":648,"uris":["http://zotero.org/users/local/q9G6HF8J/items/SFM46UVU"],"itemData":{"id":648,"type":"book","event-place":"Yogyakarta","publisher":"Kanisius","publisher-place":"Yogyakarta","title":"Pelangi di Bukit Barisan: Gereja Katolik Memasuki Tapanuli","author":[{"family":"Kurris, SJ","given":"R."}],"issued":{"date-parts":[["2006"]]}},"locator":"117"}],"schema":"https://github.com/citation-style-language/schema/raw/master/csl-citation.json"} </w:instrText>
      </w:r>
      <w:r>
        <w:fldChar w:fldCharType="separate"/>
      </w:r>
      <w:r w:rsidRPr="00987A9B">
        <w:rPr>
          <w:rFonts w:ascii="Calibri" w:hAnsi="Calibri" w:cs="Calibri"/>
          <w:szCs w:val="24"/>
        </w:rPr>
        <w:t xml:space="preserve">R. Kurris, SJ, </w:t>
      </w:r>
      <w:r w:rsidRPr="00987A9B">
        <w:rPr>
          <w:rFonts w:ascii="Calibri" w:hAnsi="Calibri" w:cs="Calibri"/>
          <w:i/>
          <w:iCs/>
          <w:szCs w:val="24"/>
        </w:rPr>
        <w:t>Pelangi di Bukit Barisan: Gereja Katolik Memasuki Tapanuli</w:t>
      </w:r>
      <w:r w:rsidRPr="00987A9B">
        <w:rPr>
          <w:rFonts w:ascii="Calibri" w:hAnsi="Calibri" w:cs="Calibri"/>
          <w:szCs w:val="24"/>
        </w:rPr>
        <w:t xml:space="preserve"> (Yogyakarta: Kanisius, 2006), 117.</w:t>
      </w:r>
      <w:r>
        <w:fldChar w:fldCharType="end"/>
      </w:r>
    </w:p>
  </w:footnote>
  <w:footnote w:id="12">
    <w:p w14:paraId="11A02092"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{"citationID":"LsDDREwi","properties":{"formattedCitation":"J. R. Hutauruk, {\\i{}Kemandirian Gereja: Penelitian hidtoris-sistematis tentang Gerakan Kemandirian Gereja di Sumatera Utara dalam kancah Pergolakan Kolonialisme dan Gerakan Kebangsaan di Indonesia, 1899-1942} (Jakarta: BPK Gunung Mulia, 1992), 131\\uc0\\u8211{}32.","plainCitation":"J. R. Hutauruk, Kemandirian Gereja: Penelitian hidtoris-sistematis tentang Gerakan Kemandirian Gereja di Sumatera Utara dalam kancah Pergolakan Kolonialisme dan Gerakan Kebangsaan di Indonesia, 1899-1942 (Jakarta: BPK Gunung Mulia, 1992), 131–32.","dontUpdate":true,"noteIndex":12},"citationItems":[{"id":647,"uris":["http://zotero.org/users/local/q9G6HF8J/items/684D5U4D"],"itemData":{"id":647,"type":"book","event-place":"Jakarta","publisher":"BPK Gunung Mulia","publisher-place":"Jakarta","title":"Kemandirian Gereja: Penelitian historis-sistematis tentang Gerakan Kemandirian Gereja di Sumatera Utara dalam kancah Pergolakan Kolonialisme dan Gerakan Kebangsaan di Indonesia, 1899-1942","author":[{"family":"Hutauruk","given":"J. R."}],"issued":{"date-parts":[["1992"]]}},"locator":"131-132"}],"schema":"https://github.com/citation-style-language/schema/raw/master/csl-citation.json"} </w:instrText>
      </w:r>
      <w:r>
        <w:fldChar w:fldCharType="separate"/>
      </w:r>
      <w:r w:rsidRPr="00544279">
        <w:rPr>
          <w:rFonts w:ascii="Calibri" w:hAnsi="Calibri" w:cs="Calibri"/>
          <w:szCs w:val="24"/>
        </w:rPr>
        <w:t xml:space="preserve">J. R. Hutauruk, </w:t>
      </w:r>
      <w:r w:rsidRPr="00544279">
        <w:rPr>
          <w:rFonts w:ascii="Calibri" w:hAnsi="Calibri" w:cs="Calibri"/>
          <w:i/>
          <w:iCs/>
          <w:szCs w:val="24"/>
        </w:rPr>
        <w:t>Kemandirian Gereja: Penelitian hi</w:t>
      </w:r>
      <w:r>
        <w:rPr>
          <w:rFonts w:ascii="Calibri" w:hAnsi="Calibri" w:cs="Calibri"/>
          <w:i/>
          <w:iCs/>
          <w:szCs w:val="24"/>
        </w:rPr>
        <w:t>s</w:t>
      </w:r>
      <w:r w:rsidRPr="00544279">
        <w:rPr>
          <w:rFonts w:ascii="Calibri" w:hAnsi="Calibri" w:cs="Calibri"/>
          <w:i/>
          <w:iCs/>
          <w:szCs w:val="24"/>
        </w:rPr>
        <w:t>toris-sistematis tentang Gerakan Kemandirian Gereja di Sumatera Utara dalam kancah Pergolakan Kolonialisme dan Gerakan Kebangsaan di Indonesia, 1899-1942</w:t>
      </w:r>
      <w:r w:rsidRPr="00544279">
        <w:rPr>
          <w:rFonts w:ascii="Calibri" w:hAnsi="Calibri" w:cs="Calibri"/>
          <w:szCs w:val="24"/>
        </w:rPr>
        <w:t xml:space="preserve"> (Jakarta: BPK Gunung Mulia, 1992), 131–32.</w:t>
      </w:r>
      <w:r>
        <w:fldChar w:fldCharType="end"/>
      </w:r>
    </w:p>
  </w:footnote>
  <w:footnote w:id="13">
    <w:p w14:paraId="470E2C33"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{"citationID":"daJoBF8P","properties":{"formattedCitation":"Hutauruk, 134.","plainCitation":"Hutauruk, 134.","noteIndex":13},"citationItems":[{"id":647,"uris":["http://zotero.org/users/local/q9G6HF8J/items/684D5U4D"],"itemData":{"id":647,"type":"book","event-place":"Jakarta","publisher":"BPK Gunung Mulia","publisher-place":"Jakarta","title":"Kemandirian Gereja: Penelitian historis-sistematis tentang Gerakan Kemandirian Gereja di Sumatera Utara dalam kancah Pergolakan Kolonialisme dan Gerakan Kebangsaan di Indonesia, 1899-1942","author":[{"family":"Hutauruk","given":"J. R."}],"issued":{"date-parts":[["1992"]]}},"locator":"134"}],"schema":"https://github.com/citation-style-language/schema/raw/master/csl-citation.json"} </w:instrText>
      </w:r>
      <w:r>
        <w:fldChar w:fldCharType="separate"/>
      </w:r>
      <w:r w:rsidRPr="002617D9">
        <w:rPr>
          <w:rFonts w:ascii="Calibri" w:hAnsi="Calibri" w:cs="Calibri"/>
        </w:rPr>
        <w:t>Hutauruk, 134.</w:t>
      </w:r>
      <w:r>
        <w:fldChar w:fldCharType="end"/>
      </w:r>
    </w:p>
  </w:footnote>
  <w:footnote w:id="14">
    <w:p w14:paraId="05C26BFC"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{"citationID":"C4lYepG4","properties":{"formattedCitation":"Hutauruk, {\\i{}Lahir, Berakar dan Bertumbuh di dalam Kristus Sejarah 150 Tahun Huria Kristen Batak Protestan (HKBP) 7 Oktober 1861 - 7 Oktober 2011}, 307.","plainCitation":"Hutauruk, Lahir, Berakar dan Bertumbuh di dalam Kristus Sejarah 150 Tahun Huria Kristen Batak Protestan (HKBP) 7 Oktober 1861 - 7 Oktober 2011, 307.","noteIndex":14},"citationItems":[{"id":651,"uris":["http://zotero.org/users/local/q9G6HF8J/items/CIH32EUS"],"itemData":{"id":651,"type":"book","event-place":"Pearaja Tarutung","publisher":"Kantor Pusat HKBP","publisher-place":"Pearaja Tarutung","title":"Lahir, Berakar dan Bertumbuh di dalam Kristus Sejarah 150 Tahun Huria Kristen Batak Protestan (HKBP) 7 Oktober 1861 - 7 Oktober 2011","author":[{"family":"Hutauruk","given":"J. R."}],"issued":{"date-parts":[["2011"]]}},"locator":"307"}],"schema":"https://github.com/citation-style-language/schema/raw/master/csl-citation.json"} </w:instrText>
      </w:r>
      <w:r>
        <w:fldChar w:fldCharType="separate"/>
      </w:r>
      <w:r w:rsidRPr="005E4267">
        <w:rPr>
          <w:rFonts w:ascii="Calibri" w:hAnsi="Calibri" w:cs="Calibri"/>
          <w:szCs w:val="24"/>
        </w:rPr>
        <w:t xml:space="preserve">Hutauruk, </w:t>
      </w:r>
      <w:r w:rsidRPr="005E4267">
        <w:rPr>
          <w:rFonts w:ascii="Calibri" w:hAnsi="Calibri" w:cs="Calibri"/>
          <w:i/>
          <w:iCs/>
          <w:szCs w:val="24"/>
        </w:rPr>
        <w:t>Lahir, Berakar dan Bertumbuh di dalam Kristus Sejarah 150 Tahun Huria Kristen Batak Protestan (HKBP) 7 Oktober 1861 - 7 Oktober 2011</w:t>
      </w:r>
      <w:r w:rsidRPr="005E4267">
        <w:rPr>
          <w:rFonts w:ascii="Calibri" w:hAnsi="Calibri" w:cs="Calibri"/>
          <w:szCs w:val="24"/>
        </w:rPr>
        <w:t>, 307.</w:t>
      </w:r>
      <w:r>
        <w:fldChar w:fldCharType="end"/>
      </w:r>
    </w:p>
  </w:footnote>
  <w:footnote w:id="15">
    <w:p w14:paraId="0EB552A7"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{"citationID":"S7dXG9I0","properties":{"formattedCitation":"Pematangsiantar, {\\i{}Sejarah Jubileum 100 Tahun HKBP Pematangsiantar Ressort Pematangsiantar Distrik V Sumatera Timur}, 39.","plainCitation":"Pematangsiantar, Sejarah Jubileum 100 Tahun HKBP Pematangsiantar Ressort Pematangsiantar Distrik V Sumatera Timur, 39.","noteIndex":15},"citationItems":[{"id":645,"uris":["http://zotero.org/users/local/q9G6HF8J/items/34UN23SE"],"itemData":{"id":645,"type":"book","event-place":"Pematangsiantar","publisher":"HKBP Pematangsiantar","publisher-place":"Pematangsiantar","title":"Sejarah Jubileum 100 Tahun HKBP Pematangsiantar Ressort Pematangsiantar Distrik V Sumatera Timur","author":[{"family":"Pematangsiantar","given":"HKBP"}],"issued":{"date-parts":[["2007"]]}},"locator":"39"}],"schema":"https://github.com/citation-style-language/schema/raw/master/csl-citation.json"} </w:instrText>
      </w:r>
      <w:r>
        <w:fldChar w:fldCharType="separate"/>
      </w:r>
      <w:r w:rsidRPr="00544279">
        <w:rPr>
          <w:rFonts w:ascii="Calibri" w:hAnsi="Calibri" w:cs="Calibri"/>
          <w:szCs w:val="24"/>
        </w:rPr>
        <w:t xml:space="preserve">Pematangsiantar, </w:t>
      </w:r>
      <w:r w:rsidRPr="00544279">
        <w:rPr>
          <w:rFonts w:ascii="Calibri" w:hAnsi="Calibri" w:cs="Calibri"/>
          <w:i/>
          <w:iCs/>
          <w:szCs w:val="24"/>
        </w:rPr>
        <w:t>Sejarah Jubileum 100 Tahun HKBP Pematangsiantar Ressort Pematangsiantar Distrik V Sumatera Timur</w:t>
      </w:r>
      <w:r w:rsidRPr="00544279">
        <w:rPr>
          <w:rFonts w:ascii="Calibri" w:hAnsi="Calibri" w:cs="Calibri"/>
          <w:szCs w:val="24"/>
        </w:rPr>
        <w:t>, 39.</w:t>
      </w:r>
      <w:r>
        <w:fldChar w:fldCharType="end"/>
      </w:r>
    </w:p>
  </w:footnote>
  <w:footnote w:id="16">
    <w:p w14:paraId="5D309BAB" w14:textId="4DEE4186"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{"citationID":"dOfkheS2","properties":{"formattedCitation":"Dumas Tambunan, \\uc0\\u8220{}A PROGRAM FOR TRAINING IN PERSONAL CHRISTIAN WITNESSING TO THE MUSLIM OF INDONESIA\\uc0\\u8221{} (Andrews University Seventh-day Adventist Theological Seminary, 1987), 68.","plainCitation":"Dumas Tambunan, “A PROGRAM FOR TRAINING IN PERSONAL CHRISTIAN WITNESSING TO THE MUSLIM OF INDONESIA” (Andrews University Seventh-day Adventist Theological Seminary, 1987), 68.","noteIndex":16},"citationItems":[{"id":658,"uris":["http://zotero.org/users/local/q9G6HF8J/items/YKL5374B"],"itemData":{"id":658,"type":"thesis","event-place":"Bandung","publisher":"Andrews University Seventh-day Adventist Theological Seminary","publisher-place":"Bandung","title":"A PROGRAM FOR TRAINING IN PERSONAL CHRISTIAN WITNESSING TO THE MUSLIM OF INDONESIA","author":[{"family":"Tambunan","given":"Dumas"}],"issued":{"date-parts":[["1987"]]}},"locator":"68"}],"schema":"https://github.com/citation-style-language/schema/raw/master/csl-citation.json"} </w:instrText>
      </w:r>
      <w:r>
        <w:fldChar w:fldCharType="separate"/>
      </w:r>
      <w:r w:rsidR="003F54F4" w:rsidRPr="003F54F4">
        <w:rPr>
          <w:rFonts w:ascii="Calibri" w:hAnsi="Calibri" w:cs="Calibri"/>
          <w:szCs w:val="24"/>
        </w:rPr>
        <w:t>Dumas Tambunan, “A PROGRAM FOR TRAINING IN PERSONAL CHRISTIAN WITNESSING TO THE MUSLIM OF INDONESIA” (Andrews University Seventh-day Adventist Theological Seminary, 1987), 68.</w:t>
      </w:r>
      <w:r>
        <w:fldChar w:fldCharType="end"/>
      </w:r>
    </w:p>
  </w:footnote>
  <w:footnote w:id="17">
    <w:p w14:paraId="2CD0E882"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{"citationID":"dUBQoC0u","properties":{"formattedCitation":"Th. van den End dan J. Weitjens, {\\i{}Ragi Carita 2: Sejarah Gereja di Indonesia tahun 1860-an - sekarang} (Jakarta: BPK Gunung Mulia, 2018), 294.","plainCitation":"Th. van den End dan J. Weitjens, Ragi Carita 2: Sejarah Gereja di Indonesia tahun 1860-an - sekarang (Jakarta: BPK Gunung Mulia, 2018), 294.","noteIndex":17},"citationItems":[{"id":656,"uris":["http://zotero.org/users/local/q9G6HF8J/items/MSJ52CMW"],"itemData":{"id":656,"type":"book","event-place":"Jakarta","publisher":"BPK Gunung Mulia","publisher-place":"Jakarta","title":"Ragi Carita 2: Sejarah Gereja di Indonesia tahun 1860-an - sekarang","author":[{"family":"End","given":"Th.","dropping-particle":"van den"},{"family":"Weitjens","given":"J."}],"issued":{"date-parts":[["2018"]]}},"locator":"294"}],"schema":"https://github.com/citation-style-language/schema/raw/master/csl-citation.json"} </w:instrText>
      </w:r>
      <w:r>
        <w:fldChar w:fldCharType="separate"/>
      </w:r>
      <w:r w:rsidRPr="00FE5C82">
        <w:rPr>
          <w:rFonts w:ascii="Calibri" w:hAnsi="Calibri" w:cs="Calibri"/>
          <w:szCs w:val="24"/>
        </w:rPr>
        <w:t xml:space="preserve">Th. van den End dan J. Weitjens, </w:t>
      </w:r>
      <w:r w:rsidRPr="00FE5C82">
        <w:rPr>
          <w:rFonts w:ascii="Calibri" w:hAnsi="Calibri" w:cs="Calibri"/>
          <w:i/>
          <w:iCs/>
          <w:szCs w:val="24"/>
        </w:rPr>
        <w:t>Ragi Carita 2: Sejarah Gereja di Indonesia tahun 1860-an - sekarang</w:t>
      </w:r>
      <w:r w:rsidRPr="00FE5C82">
        <w:rPr>
          <w:rFonts w:ascii="Calibri" w:hAnsi="Calibri" w:cs="Calibri"/>
          <w:szCs w:val="24"/>
        </w:rPr>
        <w:t xml:space="preserve"> (Jakarta: BPK Gunung Mulia, 2018), 294.</w:t>
      </w:r>
      <w:r>
        <w:fldChar w:fldCharType="end"/>
      </w:r>
    </w:p>
  </w:footnote>
  <w:footnote w:id="18">
    <w:p w14:paraId="65748097"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{"citationID":"1x0SHB15","properties":{"formattedCitation":"Pematangsiantar, {\\i{}Sejarah Jubileum 100 Tahun HKBP Pematangsiantar Ressort Pematangsiantar Distrik V Sumatera Timur}, 28\\uc0\\u8211{}29.","plainCitation":"Pematangsiantar, Sejarah Jubileum 100 Tahun HKBP Pematangsiantar Ressort Pematangsiantar Distrik V Sumatera Timur, 28–29.","noteIndex":18},"citationItems":[{"id":645,"uris":["http://zotero.org/users/local/q9G6HF8J/items/34UN23SE"],"itemData":{"id":645,"type":"book","event-place":"Pematangsiantar","publisher":"HKBP Pematangsiantar","publisher-place":"Pematangsiantar","title":"Sejarah Jubileum 100 Tahun HKBP Pematangsiantar Ressort Pematangsiantar Distrik V Sumatera Timur","author":[{"family":"Pematangsiantar","given":"HKBP"}],"issued":{"date-parts":[["2007"]]}},"locator":"28-29"}],"schema":"https://github.com/citation-style-language/schema/raw/master/csl-citation.json"} </w:instrText>
      </w:r>
      <w:r>
        <w:fldChar w:fldCharType="separate"/>
      </w:r>
      <w:r w:rsidRPr="00FE5C82">
        <w:rPr>
          <w:rFonts w:ascii="Calibri" w:hAnsi="Calibri" w:cs="Calibri"/>
          <w:szCs w:val="24"/>
        </w:rPr>
        <w:t xml:space="preserve">Pematangsiantar, </w:t>
      </w:r>
      <w:r w:rsidRPr="00FE5C82">
        <w:rPr>
          <w:rFonts w:ascii="Calibri" w:hAnsi="Calibri" w:cs="Calibri"/>
          <w:i/>
          <w:iCs/>
          <w:szCs w:val="24"/>
        </w:rPr>
        <w:t>Sejarah Jubileum 100 Tahun HKBP Pematangsiantar Ressort Pematangsiantar Distrik V Sumatera Timur</w:t>
      </w:r>
      <w:r w:rsidRPr="00FE5C82">
        <w:rPr>
          <w:rFonts w:ascii="Calibri" w:hAnsi="Calibri" w:cs="Calibri"/>
          <w:szCs w:val="24"/>
        </w:rPr>
        <w:t>, 28–29.</w:t>
      </w:r>
      <w:r>
        <w:fldChar w:fldCharType="end"/>
      </w:r>
    </w:p>
  </w:footnote>
  <w:footnote w:id="19">
    <w:p w14:paraId="2700B955"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{"citationID":"jWUZ94X9","properties":{"formattedCitation":"Gideon Hasiholan Sitorus, \\uc0\\u8220{}Sumbangsih Teori Fungsionalis Emile Durkheim untuk Mewujudkan Agama sebagai Wacana Performatif dalam Mewujudkan Solidaritas di Tengah Pandemi,\\uc0\\u8221{} {\\i{}Pute Waya: Sociology of Religion Journal} 3, no. 1 (2022): 59.","plainCitation":"Gideon Hasiholan Sitorus, “Sumbangsih Teori Fungsionalis Emile Durkheim untuk Mewujudkan Agama sebagai Wacana Performatif dalam Mewujudkan Solidaritas di Tengah Pandemi,” Pute Waya: Sociology of Religion Journal 3, no. 1 (2022): 59.","noteIndex":19},"citationItems":[{"id":661,"uris":["http://zotero.org/users/local/q9G6HF8J/items/Q8AUZM6H"],"itemData":{"id":661,"type":"article-journal","abstract":"Agama sangat memungkinkan menjadi penentu akan terwujudnya perspektif bagi setiap penganutnya dalam\nmemandang dan mengerti akan eksistensi diri sendiri serta setiap relasiyang ada dengan masyarakat dan juga alam.\nBenarlah bahwa agama saat ini mendapat tempat utama pada masyarakat dan menjadi bagian yang bersifat\nkonstitutif. Dalam tulisan ini, penulismengemukakanargumentasi bahwa fungsi agama sebagaimana terdapat dalam\ndimensi fungsionalnyaseharusnya memberikan suatu hal baru yang mampu mengintegrasikan kehidupan yang\nbersifat individual(privat) ke kehidupan komunal (public). Kemudian agar agama dapat dipahami sebagai wahana\nyang dapat berfungsi sebagai penolong. Hasil penelitian menemukan bahwa, Fungsi agama adalah itu sebagai\nberikut: Pertama, agama mendasarkan perhatiannya pada sesuatu yang berada di luar jangkauan manusia. Kedua,\nagama menawarkan hubungan transendental melalui pemujaan dan ibadat sehingga memberikan dasar emosional.\nKetiga, agama menyucikan norma-norma dan nila-nilai masyarakat yang telah terbentuk.","container-title":"Pute Waya: Sociology of Religion Journal","ISSN":"2747-1179","issue":"1","journalAbbreviation":"Pute Waya","page":"52-64","title":"Sumbangsih Teori Fungsionalis Emile Durkheim untuk Mewujudkan Agama sebagai Wacana Performatif dalam Mewujudkan Solidaritas di Tengah Pandemi","volume":"3","author":[{"family":"Sitorus","given":"Gideon Hasiholan"}],"issued":{"date-parts":[["2022"]]}},"locator":"59"}],"schema":"https://github.com/citation-style-language/schema/raw/master/csl-citation.json"} </w:instrText>
      </w:r>
      <w:r>
        <w:fldChar w:fldCharType="separate"/>
      </w:r>
      <w:r w:rsidRPr="009A7712">
        <w:rPr>
          <w:rFonts w:ascii="Calibri" w:hAnsi="Calibri" w:cs="Calibri"/>
          <w:szCs w:val="24"/>
        </w:rPr>
        <w:t xml:space="preserve">Gideon Hasiholan Sitorus, “Sumbangsih Teori Fungsionalis Emile Durkheim untuk Mewujudkan Agama sebagai Wacana Performatif dalam Mewujudkan Solidaritas di Tengah Pandemi,” </w:t>
      </w:r>
      <w:r w:rsidRPr="009A7712">
        <w:rPr>
          <w:rFonts w:ascii="Calibri" w:hAnsi="Calibri" w:cs="Calibri"/>
          <w:i/>
          <w:iCs/>
          <w:szCs w:val="24"/>
        </w:rPr>
        <w:t>Pute Waya: Sociology of Religion Journal</w:t>
      </w:r>
      <w:r w:rsidRPr="009A7712">
        <w:rPr>
          <w:rFonts w:ascii="Calibri" w:hAnsi="Calibri" w:cs="Calibri"/>
          <w:szCs w:val="24"/>
        </w:rPr>
        <w:t xml:space="preserve"> 3, no. 1 (2022): 59.</w:t>
      </w:r>
      <w:r>
        <w:fldChar w:fldCharType="end"/>
      </w:r>
    </w:p>
  </w:footnote>
  <w:footnote w:id="20">
    <w:p w14:paraId="61D2AB7F" w14:textId="6646440D"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{"citationID":"anuxwHsv","properties":{"formattedCitation":"Pip Jones, {\\i{}Pengantar Teori-teori Sosial: Dari Fungsionalisme Hingga Post-Modernisme} (Jakarta: Obor Indonesia, 2010), 53.","plainCitation":"Pip Jones, Pengantar Teori-teori Sosial: Dari Fungsionalisme Hingga Post-Modernisme (Jakarta: Obor Indonesia, 2010), 53.","noteIndex":20},"citationItems":[{"id":667,"uris":["http://zotero.org/users/local/q9G6HF8J/items/JP4RJXDN"],"itemData":{"id":667,"type":"book","event-place":"Jakarta","publisher":"Obor Indonesia","publisher-place":"Jakarta","title":"Pengantar Teori-teori Sosial: Dari Fungsionalisme Hingga Post-Modernisme","author":[{"family":"Jones","given":"Pip"}],"issued":{"date-parts":[["2010"]]}},"locator":"53"}],"schema":"https://github.com/citation-style-language/schema/raw/master/csl-citation.json"} </w:instrText>
      </w:r>
      <w:r>
        <w:fldChar w:fldCharType="separate"/>
      </w:r>
      <w:r w:rsidRPr="00087E6C">
        <w:rPr>
          <w:rFonts w:ascii="Calibri" w:hAnsi="Calibri" w:cs="Calibri"/>
          <w:szCs w:val="24"/>
        </w:rPr>
        <w:t xml:space="preserve">Pip Jones, </w:t>
      </w:r>
      <w:r w:rsidRPr="00087E6C">
        <w:rPr>
          <w:rFonts w:ascii="Calibri" w:hAnsi="Calibri" w:cs="Calibri"/>
          <w:i/>
          <w:iCs/>
          <w:szCs w:val="24"/>
        </w:rPr>
        <w:t>Pengantar Teori-teori Sosial: Dari Fungsionalisme Hingga Post-Modernisme</w:t>
      </w:r>
      <w:r w:rsidRPr="00087E6C">
        <w:rPr>
          <w:rFonts w:ascii="Calibri" w:hAnsi="Calibri" w:cs="Calibri"/>
          <w:szCs w:val="24"/>
        </w:rPr>
        <w:t xml:space="preserve"> (Jakarta: Obor Indonesia, 2010), 53.</w:t>
      </w:r>
      <w:r>
        <w:fldChar w:fldCharType="end"/>
      </w:r>
    </w:p>
  </w:footnote>
  <w:footnote w:id="21">
    <w:p w14:paraId="6A0A1B20" w14:textId="3F513C1E"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{"citationID":"gVRFju0D","properties":{"formattedCitation":"Hanifa Maulidia, \\uc0\\u8220{}Relasi Agama dan Masyarakat dalam Perspektif Emile Durkheim dan Karl Marx,\\uc0\\u8221{} {\\i{}Jurnal Sosiologi USK (Media Pemikiran &amp; Aplikasi)} 13, no. 2 (Desember 2019): 189, https://doi.org/10.24815/jsu.v13i2.17506.","plainCitation":"Hanifa Maulidia, “Relasi Agama dan Masyarakat dalam Perspektif Emile Durkheim dan Karl Marx,” Jurnal Sosiologi USK (Media Pemikiran &amp; Aplikasi) 13, no. 2 (Desember 2019): 189, https://doi.org/10.24815/jsu.v13i2.17506.","noteIndex":21},"citationItems":[{"id":665,"uris":["http://zotero.org/users/local/q9G6HF8J/items/67VQAZV8"],"itemData":{"id":665,"type":"article-journal","abstract":"This article talks about the relation of religion and society according to the views of two sociologists, are Emile Durkheim and Karl Marx. This paper begins with the definition of religion, how religion can emerge and develop, followed by the definition of religion according to Durkheim and Marx. Relation of religion and society according to Durkheim is very intimate because religion is formed from social current, that is from the existence of collective effervescence towards collective consciousness, when traditional societies perform worship rituals by purifying something called totem. In contrast to Marx's opinion which explains that religion can reduce pain due to pressure from all life problems experienced by society. Writer used study of literature and the results of this article are forms of cumulative theoretical descriptions.  Abstrak Artikel ini berbicara mengenai relasi agama dan masyarakat menurut pandangan kedua tokoh sosiologi yaitu Emile Durkheim dan Karl Marx. Tulisan ini diawali dengan definisi agama, bagaimana agama dapat muncul dan berkembang yang dilanjutkan oleh definisi agama menurut Durkheim dan Marx. Relasi agama dan masyarakat menurut Durkheim sangatlah intim karena agama terbentuk dari social current (arus sosial) yaitu dari adanya collective effervescence (kesadaran kolektif) menuju collective consciousness, ketika masyarakat tradisional melakukan ritual-ritual peribadatan dengan mensucikan sesuatu yang disebut dengan totem. Berbeda dengan pendapat Marx yang menjelaskan bahwa agama dapat mengurangi rasa sakit akibat tekanan dari segala permasalahan hidup yang dialami oleh masyarakat. Penulis menggunakan kajian kepustakaan yang hasil tulisan ini adalah berupa deskripsi-deskripsi teoritis yang sifatnya kumulatif.","container-title":"Jurnal Sosiologi USK (Media Pemikiran &amp; Aplikasi)","DOI":"10.24815/jsu.v13i2.17506","ISSN":"2654-8143, 2252-5254","issue":"2","journalAbbreviation":"Jur. Sos. Med. Pem. Apl.","license":"https://creativecommons.org/licenses/by-nc/4.0","page":"183-200","source":"DOI.org (Crossref)","title":"Relasi Agama dan Masyarakat dalam Perspektif Emile Durkheim dan Karl Marx","volume":"13","author":[{"family":"Maulidia","given":"Hanifa"}],"issued":{"date-parts":[["2019",12,30]]}},"locator":"189"}],"schema":"https://github.com/citation-style-language/schema/raw/master/csl-citation.json"} </w:instrText>
      </w:r>
      <w:r>
        <w:fldChar w:fldCharType="separate"/>
      </w:r>
      <w:r w:rsidR="003F54F4" w:rsidRPr="003F54F4">
        <w:rPr>
          <w:rFonts w:ascii="Calibri" w:hAnsi="Calibri" w:cs="Calibri"/>
          <w:szCs w:val="24"/>
        </w:rPr>
        <w:t xml:space="preserve">Hanifa Maulidia, “Relasi Agama dan Masyarakat dalam Perspektif Emile Durkheim dan Karl Marx,” </w:t>
      </w:r>
      <w:r w:rsidR="003F54F4" w:rsidRPr="003F54F4">
        <w:rPr>
          <w:rFonts w:ascii="Calibri" w:hAnsi="Calibri" w:cs="Calibri"/>
          <w:i/>
          <w:iCs/>
          <w:szCs w:val="24"/>
        </w:rPr>
        <w:t>Jurnal Sosiologi USK (Media Pemikiran &amp; Aplikasi)</w:t>
      </w:r>
      <w:r w:rsidR="003F54F4" w:rsidRPr="003F54F4">
        <w:rPr>
          <w:rFonts w:ascii="Calibri" w:hAnsi="Calibri" w:cs="Calibri"/>
          <w:szCs w:val="24"/>
        </w:rPr>
        <w:t xml:space="preserve"> 13, no. 2 (Desember 2019): 189, https://doi.org/10.24815/jsu.v13i2.17506.</w:t>
      </w:r>
      <w:r>
        <w:fldChar w:fldCharType="end"/>
      </w:r>
    </w:p>
  </w:footnote>
  <w:footnote w:id="22">
    <w:p w14:paraId="20BF7B5C" w14:textId="22D36E97"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{"citationID":"XtUOiw59","properties":{"formattedCitation":"Tamrin Fathoni, \\uc0\\u8220{}Peran Teori Sosial \\uc0\\u201{}mile Durkheim Dalam Pengembangan Pendidikan Agama Islam (Perspektif Solidaritas Sosial Dan Integrasi Masyarakat),\\uc0\\u8221{} {\\i{}AL-MIKRAJ Jurnal Studi Islam dan Humaniora (E-ISSN 2745-4584)} 5, no. 01 (November 2024): 1654, https://doi.org/10.37680/almikraj.v5i01.6403.","plainCitation":"Tamrin Fathoni, “Peran Teori Sosial Émile Durkheim Dalam Pengembangan Pendidikan Agama Islam (Perspektif Solidaritas Sosial Dan Integrasi Masyarakat),” AL-MIKRAJ Jurnal Studi Islam dan Humaniora (E-ISSN 2745-4584) 5, no. 01 (November 2024): 1654, https://doi.org/10.37680/almikraj.v5i01.6403.","noteIndex":22},"citationItems":[{"id":666,"uris":["http://zotero.org/users/local/q9G6HF8J/items/MKYGLAK5"],"itemData":{"id":666,"type":"article-journal","abstract":"The purpose of this study is to analyze the role of Durkheim's social solidarity theory in the development of Islamic religious education in the context of social integration of Muslim society. This study uses a library method to analyze the role of Émile Durkheim's social theory in the development of Islamic religious education, focusing on the theory of social solidarity and its application. The literature used includes Durkheim's works as well as recent articles and research related to the relationship between Islamic religious education and social solidarity. By reviewing various references, this study aims to deepen understanding of the application of Durkheim's theory in the context of Islamic religious education in society. Islamic religious education has an important role in forming social solidarity through values ​​such as ukhuwah, ta'awun, and social justice. Durkheim's principle of social solidarity which emphasizes shared values ​​is very relevant to be applied in Islamic religious education. By teaching these values, Islamic religious education can strengthen social integration and create a more harmonious and just society.","container-title":"AL-MIKRAJ Jurnal Studi Islam dan Humaniora (E-ISSN 2745-4584)","DOI":"10.37680/almikraj.v5i01.6403","ISSN":"2745-4584","issue":"01","journalAbbreviation":"almikraj","license":"http://creativecommons.org/licenses/by-nc/4.0","page":"1654-1668","source":"DOI.org (Crossref)","title":"Peran Teori Sosial Émile Durkheim Dalam Pengembangan Pendidikan Agama Islam (Perspektif Solidaritas Sosial Dan Integrasi Masyarakat)","volume":"5","author":[{"family":"Fathoni","given":"Tamrin"}],"issued":{"date-parts":[["2024",11,27]]}},"locator":"1654"}],"schema":"https://github.com/citation-style-language/schema/raw/master/csl-citation.json"} </w:instrText>
      </w:r>
      <w:r>
        <w:fldChar w:fldCharType="separate"/>
      </w:r>
      <w:r w:rsidR="003F54F4" w:rsidRPr="003F54F4">
        <w:rPr>
          <w:rFonts w:ascii="Calibri" w:hAnsi="Calibri" w:cs="Calibri"/>
          <w:szCs w:val="24"/>
        </w:rPr>
        <w:t xml:space="preserve">Tamrin Fathoni, “Peran Teori Sosial Émile Durkheim Dalam Pengembangan Pendidikan Agama Islam (Perspektif Solidaritas Sosial Dan Integrasi Masyarakat),” </w:t>
      </w:r>
      <w:r w:rsidR="003F54F4" w:rsidRPr="003F54F4">
        <w:rPr>
          <w:rFonts w:ascii="Calibri" w:hAnsi="Calibri" w:cs="Calibri"/>
          <w:i/>
          <w:iCs/>
          <w:szCs w:val="24"/>
        </w:rPr>
        <w:t>AL-MIKRAJ Jurnal Studi Islam dan Humaniora (E-ISSN 2745-4584)</w:t>
      </w:r>
      <w:r w:rsidR="003F54F4" w:rsidRPr="003F54F4">
        <w:rPr>
          <w:rFonts w:ascii="Calibri" w:hAnsi="Calibri" w:cs="Calibri"/>
          <w:szCs w:val="24"/>
        </w:rPr>
        <w:t xml:space="preserve"> 5, no. 01 (November 2024): 1654, https://doi.org/10.37680/almikraj.v5i01.6403.</w:t>
      </w:r>
      <w:r>
        <w:fldChar w:fldCharType="end"/>
      </w:r>
    </w:p>
  </w:footnote>
  <w:footnote w:id="23">
    <w:p w14:paraId="6CEC3F00"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{"citationID":"RJ57OTJX","properties":{"formattedCitation":"Fathoni, 1660.","plainCitation":"Fathoni, 1660.","noteIndex":23},"citationItems":[{"id":666,"uris":["http://zotero.org/users/local/q9G6HF8J/items/MKYGLAK5"],"itemData":{"id":666,"type":"article-journal","abstract":"The purpose of this study is to analyze the role of Durkheim's social solidarity theory in the development of Islamic religious education in the context of social integration of Muslim society. This study uses a library method to analyze the role of Émile Durkheim's social theory in the development of Islamic religious education, focusing on the theory of social solidarity and its application. The literature used includes Durkheim's works as well as recent articles and research related to the relationship between Islamic religious education and social solidarity. By reviewing various references, this study aims to deepen understanding of the application of Durkheim's theory in the context of Islamic religious education in society. Islamic religious education has an important role in forming social solidarity through values ​​such as ukhuwah, ta'awun, and social justice. Durkheim's principle of social solidarity which emphasizes shared values ​​is very relevant to be applied in Islamic religious education. By teaching these values, Islamic religious education can strengthen social integration and create a more harmonious and just society.","container-title":"AL-MIKRAJ Jurnal Studi Islam dan Humaniora (E-ISSN 2745-4584)","DOI":"10.37680/almikraj.v5i01.6403","ISSN":"2745-4584","issue":"01","journalAbbreviation":"almikraj","license":"http://creativecommons.org/licenses/by-nc/4.0","page":"1654-1668","source":"DOI.org (Crossref)","title":"Peran Teori Sosial Émile Durkheim Dalam Pengembangan Pendidikan Agama Islam (Perspektif Solidaritas Sosial Dan Integrasi Masyarakat)","volume":"5","author":[{"family":"Fathoni","given":"Tamrin"}],"issued":{"date-parts":[["2024",11,27]]}},"locator":"1660"}],"schema":"https://github.com/citation-style-language/schema/raw/master/csl-citation.json"} </w:instrText>
      </w:r>
      <w:r>
        <w:fldChar w:fldCharType="separate"/>
      </w:r>
      <w:r w:rsidRPr="009A7712">
        <w:rPr>
          <w:rFonts w:ascii="Calibri" w:hAnsi="Calibri" w:cs="Calibri"/>
        </w:rPr>
        <w:t>Fathoni, 1660.</w:t>
      </w:r>
      <w:r>
        <w:fldChar w:fldCharType="end"/>
      </w:r>
    </w:p>
  </w:footnote>
  <w:footnote w:id="24">
    <w:p w14:paraId="3E39E740"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{"citationID":"nVTr2BIA","properties":{"formattedCitation":"TBA. Purba Tambak, {\\i{}Sejarah Simalungun: Pemerintahan Tradisional, Kolonialisme, Agama dan Adat Istiadat} (Medan: Simetri Institute, 2019), 1.","plainCitation":"TBA. Purba Tambak, Sejarah Simalungun: Pemerintahan Tradisional, Kolonialisme, Agama dan Adat Istiadat (Medan: Simetri Institute, 2019), 1.","noteIndex":24},"citationItems":[{"id":662,"uris":["http://zotero.org/users/local/q9G6HF8J/items/SZHSI9Q6"],"itemData":{"id":662,"type":"book","event-place":"Medan","ISBN":"978-623-7300-00-7","publisher":"Simetri Institute","publisher-place":"Medan","title":"Sejarah Simalungun: Pemerintahan Tradisional, Kolonialisme, Agama dan Adat Istiadat","author":[{"family":"Tambak","given":"TBA. Purba"}],"issued":{"date-parts":[["2019"]]}},"locator":"1"}],"schema":"https://github.com/citation-style-language/schema/raw/master/csl-citation.json"} </w:instrText>
      </w:r>
      <w:r>
        <w:fldChar w:fldCharType="separate"/>
      </w:r>
      <w:r w:rsidRPr="00F77A26">
        <w:rPr>
          <w:rFonts w:ascii="Calibri" w:hAnsi="Calibri" w:cs="Calibri"/>
          <w:szCs w:val="24"/>
        </w:rPr>
        <w:t xml:space="preserve">TBA. Purba Tambak, </w:t>
      </w:r>
      <w:r w:rsidRPr="00F77A26">
        <w:rPr>
          <w:rFonts w:ascii="Calibri" w:hAnsi="Calibri" w:cs="Calibri"/>
          <w:i/>
          <w:iCs/>
          <w:szCs w:val="24"/>
        </w:rPr>
        <w:t>Sejarah Simalungun: Pemerintahan Tradisional, Kolonialisme, Agama dan Adat Istiadat</w:t>
      </w:r>
      <w:r w:rsidRPr="00F77A26">
        <w:rPr>
          <w:rFonts w:ascii="Calibri" w:hAnsi="Calibri" w:cs="Calibri"/>
          <w:szCs w:val="24"/>
        </w:rPr>
        <w:t xml:space="preserve"> (Medan: Simetri Institute, 2019), 1.</w:t>
      </w:r>
      <w:r>
        <w:fldChar w:fldCharType="end"/>
      </w:r>
    </w:p>
  </w:footnote>
  <w:footnote w:id="25">
    <w:p w14:paraId="4E694CA7" w14:textId="351EAD7E"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{"citationID":"hHtNz8Kk","properties":{"formattedCitation":"Hasugian, {\\i{}Masa Pemerintahan Kolonial Belanda di Pematangsiantar 1917-1942}, 7\\uc0\\u8211{}8.","plainCitation":"Hasugian, Masa Pemerintahan Kolonial Belanda di Pematangsiantar 1917-1942, 7–8.","noteIndex":25},"citationItems":[{"id":649,"uris":["http://zotero.org/users/local/q9G6HF8J/items/IWGFR4TM"],"itemData":{"id":649,"type":"book","event-place":"Yogyakarta","publisher":"KBM Indonesia","publisher-place":"Yogyakarta","title":"Masa Pemerintahan Kolonial Belanda di Pematangsiantar 1917-1942","author":[{"family":"Hasugian","given":"Jalatua"}],"issued":{"date-parts":[["2020"]]}},"locator":"7-8"}],"schema":"https://github.com/citation-style-language/schema/raw/master/csl-citation.json"} </w:instrText>
      </w:r>
      <w:r>
        <w:fldChar w:fldCharType="separate"/>
      </w:r>
      <w:r w:rsidRPr="00715421">
        <w:rPr>
          <w:rFonts w:ascii="Calibri" w:hAnsi="Calibri" w:cs="Calibri"/>
          <w:szCs w:val="24"/>
        </w:rPr>
        <w:t xml:space="preserve">Hasugian, </w:t>
      </w:r>
      <w:r w:rsidRPr="00715421">
        <w:rPr>
          <w:rFonts w:ascii="Calibri" w:hAnsi="Calibri" w:cs="Calibri"/>
          <w:i/>
          <w:iCs/>
          <w:szCs w:val="24"/>
        </w:rPr>
        <w:t>Masa Pemerintahan Kolonial Belanda di Pematangsiantar 1917-1942</w:t>
      </w:r>
      <w:r w:rsidRPr="00715421">
        <w:rPr>
          <w:rFonts w:ascii="Calibri" w:hAnsi="Calibri" w:cs="Calibri"/>
          <w:szCs w:val="24"/>
        </w:rPr>
        <w:t>, 7–8.</w:t>
      </w:r>
      <w:r>
        <w:fldChar w:fldCharType="end"/>
      </w:r>
    </w:p>
  </w:footnote>
  <w:footnote w:id="26">
    <w:p w14:paraId="38AE8AAB" w14:textId="31048109"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{"citationID":"QJ1rkdCo","properties":{"formattedCitation":"Hasugian, 53.","plainCitation":"Hasugian, 53.","noteIndex":26},"citationItems":[{"id":649,"uris":["http://zotero.org/users/local/q9G6HF8J/items/IWGFR4TM"],"itemData":{"id":649,"type":"book","event-place":"Yogyakarta","publisher":"KBM Indonesia","publisher-place":"Yogyakarta","title":"Masa Pemerintahan Kolonial Belanda di Pematangsiantar 1917-1942","author":[{"family":"Hasugian","given":"Jalatua"}],"issued":{"date-parts":[["2020"]]}},"locator":"53"}],"schema":"https://github.com/citation-style-language/schema/raw/master/csl-citation.json"} </w:instrText>
      </w:r>
      <w:r>
        <w:fldChar w:fldCharType="separate"/>
      </w:r>
      <w:r w:rsidRPr="0085340E">
        <w:rPr>
          <w:rFonts w:ascii="Calibri" w:hAnsi="Calibri" w:cs="Calibri"/>
        </w:rPr>
        <w:t>Hasugian, 53.</w:t>
      </w:r>
      <w:r>
        <w:fldChar w:fldCharType="end"/>
      </w:r>
    </w:p>
  </w:footnote>
  <w:footnote w:id="27">
    <w:p w14:paraId="1B0AA075" w14:textId="241FF3E3"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{"citationID":"I4RI2YpJ","properties":{"formattedCitation":"Hisarma Saragih dkk., \\uc0\\u8220{}The Struggle of Batak Simalungun for Their Identity in Church Organization in Simalungun, Medan, Indonesia,\\uc0\\u8221{} {\\i{}Journal of Human Behavior in the Social Environment} 29, no. 6 (Agustus 2019): 694, https://doi.org/10.1080/10911359.2019.1590888.","plainCitation":"Hisarma Saragih dkk., “The Struggle of Batak Simalungun for Their Identity in Church Organization in Simalungun, Medan, Indonesia,” Journal of Human Behavior in the Social Environment 29, no. 6 (Agustus 2019): 694, https://doi.org/10.1080/10911359.2019.1590888.","noteIndex":27},"citationItems":[{"id":657,"uris":["http://zotero.org/users/local/q9G6HF8J/items/ZI8V6DW9"],"itemData":{"id":657,"type":"article-journal","container-title":"Journal of Human Behavior in the Social Environment","DOI":"10.1080/10911359.2019.1590888","ISSN":"1091-1359, 1540-3556","issue":"6","journalAbbreviation":"Journal of Human Behavior in the Social Environment","language":"en","page":"693-704","source":"DOI.org (Crossref)","title":"The struggle of Batak Simalungun for their identity in Church organization in Simalungun, Medan, Indonesia","volume":"29","author":[{"family":"Saragih","given":"Hisarma"},{"literal":"Subhilhar"},{"family":"Harahap","given":"Hamdani"},{"family":"Purba","given":"Amir"}],"issued":{"date-parts":[["2019",8,18]]}},"locator":"694"}],"schema":"https://github.com/citation-style-language/schema/raw/master/csl-citation.json"} </w:instrText>
      </w:r>
      <w:r>
        <w:fldChar w:fldCharType="separate"/>
      </w:r>
      <w:r w:rsidR="003F54F4" w:rsidRPr="003F54F4">
        <w:rPr>
          <w:rFonts w:ascii="Calibri" w:hAnsi="Calibri" w:cs="Calibri"/>
          <w:szCs w:val="24"/>
        </w:rPr>
        <w:t xml:space="preserve">Hisarma Saragih dkk., “The Struggle of Batak Simalungun for Their Identity in Church Organization in Simalungun, Medan, Indonesia,” </w:t>
      </w:r>
      <w:r w:rsidR="003F54F4" w:rsidRPr="003F54F4">
        <w:rPr>
          <w:rFonts w:ascii="Calibri" w:hAnsi="Calibri" w:cs="Calibri"/>
          <w:i/>
          <w:iCs/>
          <w:szCs w:val="24"/>
        </w:rPr>
        <w:t>Journal of Human Behavior in the Social Environment</w:t>
      </w:r>
      <w:r w:rsidR="003F54F4" w:rsidRPr="003F54F4">
        <w:rPr>
          <w:rFonts w:ascii="Calibri" w:hAnsi="Calibri" w:cs="Calibri"/>
          <w:szCs w:val="24"/>
        </w:rPr>
        <w:t xml:space="preserve"> 29, no. 6 (Agustus 2019): 694, https://doi.org/10.1080/10911359.2019.1590888.</w:t>
      </w:r>
      <w:r>
        <w:fldChar w:fldCharType="end"/>
      </w:r>
    </w:p>
  </w:footnote>
  <w:footnote w:id="28">
    <w:p w14:paraId="01BA7649"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{"citationID":"sdPTOnDL","properties":{"formattedCitation":"Tambak, {\\i{}Sejarah Simalungun: Pemerintahan Tradisional, Kolonialisme, Agama dan Adat Istiadat}, 10\\uc0\\u8211{}11.","plainCitation":"Tambak, Sejarah Simalungun: Pemerintahan Tradisional, Kolonialisme, Agama dan Adat Istiadat, 10–11.","noteIndex":28},"citationItems":[{"id":662,"uris":["http://zotero.org/users/local/q9G6HF8J/items/SZHSI9Q6"],"itemData":{"id":662,"type":"book","event-place":"Medan","ISBN":"978-623-7300-00-7","publisher":"Simetri Institute","publisher-place":"Medan","title":"Sejarah Simalungun: Pemerintahan Tradisional, Kolonialisme, Agama dan Adat Istiadat","author":[{"family":"Tambak","given":"TBA. Purba"}],"issued":{"date-parts":[["2019"]]}},"locator":"10-11"}],"schema":"https://github.com/citation-style-language/schema/raw/master/csl-citation.json"} </w:instrText>
      </w:r>
      <w:r>
        <w:fldChar w:fldCharType="separate"/>
      </w:r>
      <w:r w:rsidRPr="00FD71DC">
        <w:rPr>
          <w:rFonts w:ascii="Calibri" w:hAnsi="Calibri" w:cs="Calibri"/>
          <w:szCs w:val="24"/>
        </w:rPr>
        <w:t xml:space="preserve">Tambak, </w:t>
      </w:r>
      <w:r w:rsidRPr="00FD71DC">
        <w:rPr>
          <w:rFonts w:ascii="Calibri" w:hAnsi="Calibri" w:cs="Calibri"/>
          <w:i/>
          <w:iCs/>
          <w:szCs w:val="24"/>
        </w:rPr>
        <w:t>Sejarah Simalungun: Pemerintahan Tradisional, Kolonialisme, Agama dan Adat Istiadat</w:t>
      </w:r>
      <w:r w:rsidRPr="00FD71DC">
        <w:rPr>
          <w:rFonts w:ascii="Calibri" w:hAnsi="Calibri" w:cs="Calibri"/>
          <w:szCs w:val="24"/>
        </w:rPr>
        <w:t>, 10–11.</w:t>
      </w:r>
      <w:r>
        <w:fldChar w:fldCharType="end"/>
      </w:r>
    </w:p>
  </w:footnote>
  <w:footnote w:id="29">
    <w:p w14:paraId="69587076"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{"citationID":"UMLbcUn4","properties":{"formattedCitation":"Tambak, 20.","plainCitation":"Tambak, 20.","noteIndex":29},"citationItems":[{"id":662,"uris":["http://zotero.org/users/local/q9G6HF8J/items/SZHSI9Q6"],"itemData":{"id":662,"type":"book","event-place":"Medan","ISBN":"978-623-7300-00-7","publisher":"Simetri Institute","publisher-place":"Medan","title":"Sejarah Simalungun: Pemerintahan Tradisional, Kolonialisme, Agama dan Adat Istiadat","author":[{"family":"Tambak","given":"TBA. Purba"}],"issued":{"date-parts":[["2019"]]}},"locator":"20"}],"schema":"https://github.com/citation-style-language/schema/raw/master/csl-citation.json"} </w:instrText>
      </w:r>
      <w:r>
        <w:fldChar w:fldCharType="separate"/>
      </w:r>
      <w:r w:rsidRPr="00B10D12">
        <w:rPr>
          <w:rFonts w:ascii="Calibri" w:hAnsi="Calibri" w:cs="Calibri"/>
        </w:rPr>
        <w:t>Tambak, 20.</w:t>
      </w:r>
      <w:r>
        <w:fldChar w:fldCharType="end"/>
      </w:r>
    </w:p>
  </w:footnote>
  <w:footnote w:id="30">
    <w:p w14:paraId="00DF4394"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{"citationID":"xyEnJRwN","properties":{"formattedCitation":"Tambak, 24\\uc0\\u8211{}25.","plainCitation":"Tambak, 24–25.","noteIndex":30},"citationItems":[{"id":662,"uris":["http://zotero.org/users/local/q9G6HF8J/items/SZHSI9Q6"],"itemData":{"id":662,"type":"book","event-place":"Medan","ISBN":"978-623-7300-00-7","publisher":"Simetri Institute","publisher-place":"Medan","title":"Sejarah Simalungun: Pemerintahan Tradisional, Kolonialisme, Agama dan Adat Istiadat","author":[{"family":"Tambak","given":"TBA. Purba"}],"issued":{"date-parts":[["2019"]]}},"locator":"24-25"}],"schema":"https://github.com/citation-style-language/schema/raw/master/csl-citation.json"} </w:instrText>
      </w:r>
      <w:r>
        <w:fldChar w:fldCharType="separate"/>
      </w:r>
      <w:r w:rsidRPr="00634374">
        <w:rPr>
          <w:rFonts w:ascii="Calibri" w:hAnsi="Calibri" w:cs="Calibri"/>
          <w:szCs w:val="24"/>
        </w:rPr>
        <w:t>Tambak, 24–25.</w:t>
      </w:r>
      <w:r>
        <w:fldChar w:fldCharType="end"/>
      </w:r>
    </w:p>
  </w:footnote>
  <w:footnote w:id="31">
    <w:p w14:paraId="10302DAE" w14:textId="7955AC4D"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{"citationID":"HLIQOOJW","properties":{"formattedCitation":"Hasugian, {\\i{}Masa Pemerintahan Kolonial Belanda di Pematangsiantar 1917-1942}, 57.","plainCitation":"Hasugian, Masa Pemerintahan Kolonial Belanda di Pematangsiantar 1917-1942, 57.","noteIndex":31},"citationItems":[{"id":649,"uris":["http://zotero.org/users/local/q9G6HF8J/items/IWGFR4TM"],"itemData":{"id":649,"type":"book","event-place":"Yogyakarta","publisher":"KBM Indonesia","publisher-place":"Yogyakarta","title":"Masa Pemerintahan Kolonial Belanda di Pematangsiantar 1917-1942","author":[{"family":"Hasugian","given":"Jalatua"}],"issued":{"date-parts":[["2020"]]}},"locator":"57"}],"schema":"https://github.com/citation-style-language/schema/raw/master/csl-citation.json"} </w:instrText>
      </w:r>
      <w:r>
        <w:fldChar w:fldCharType="separate"/>
      </w:r>
      <w:r w:rsidRPr="0029041D">
        <w:rPr>
          <w:rFonts w:ascii="Calibri" w:hAnsi="Calibri" w:cs="Calibri"/>
          <w:szCs w:val="24"/>
        </w:rPr>
        <w:t xml:space="preserve">Hasugian, </w:t>
      </w:r>
      <w:r w:rsidRPr="0029041D">
        <w:rPr>
          <w:rFonts w:ascii="Calibri" w:hAnsi="Calibri" w:cs="Calibri"/>
          <w:i/>
          <w:iCs/>
          <w:szCs w:val="24"/>
        </w:rPr>
        <w:t>Masa Pemerintahan Kolonial Belanda di Pematangsiantar 1917-1942</w:t>
      </w:r>
      <w:r w:rsidRPr="0029041D">
        <w:rPr>
          <w:rFonts w:ascii="Calibri" w:hAnsi="Calibri" w:cs="Calibri"/>
          <w:szCs w:val="24"/>
        </w:rPr>
        <w:t>, 57.</w:t>
      </w:r>
      <w:r>
        <w:fldChar w:fldCharType="end"/>
      </w:r>
    </w:p>
  </w:footnote>
  <w:footnote w:id="32">
    <w:p w14:paraId="2355266F" w14:textId="0068382B"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{"citationID":"u7cspu9E","properties":{"formattedCitation":"Agustuno dkk., {\\i{}Sejarah Etnis Simalungun}, 181.","plainCitation":"Agustuno dkk., Sejarah Etnis Simalungun, 181.","noteIndex":32},"citationItems":[{"id":650,"uris":["http://zotero.org/users/local/q9G6HF8J/items/KZ8FWM3R"],"itemData":{"id":650,"type":"book","event-place":"Pamatang Raya","publisher":"Terbit atas kerjasama Pemerintah Kabupaten Simalungun dan Fakultas Ilmu Budaya Universitas Sumatera Utara","publisher-place":"Pamatang Raya","title":"Sejarah Etnis Simalungun","author":[{"family":"Agustuno dkk.,","given":"Budi"}],"issued":{"date-parts":[["2020"]]}},"locator":"181"}],"schema":"https://github.com/citation-style-language/schema/raw/master/csl-citation.json"} </w:instrText>
      </w:r>
      <w:r>
        <w:fldChar w:fldCharType="separate"/>
      </w:r>
      <w:r w:rsidRPr="00E63477">
        <w:rPr>
          <w:rFonts w:ascii="Calibri" w:hAnsi="Calibri" w:cs="Calibri"/>
          <w:szCs w:val="24"/>
        </w:rPr>
        <w:t xml:space="preserve">Agustuno dkk., </w:t>
      </w:r>
      <w:r w:rsidRPr="00E63477">
        <w:rPr>
          <w:rFonts w:ascii="Calibri" w:hAnsi="Calibri" w:cs="Calibri"/>
          <w:i/>
          <w:iCs/>
          <w:szCs w:val="24"/>
        </w:rPr>
        <w:t>Sejarah Etnis Simalungun</w:t>
      </w:r>
      <w:r w:rsidRPr="00E63477">
        <w:rPr>
          <w:rFonts w:ascii="Calibri" w:hAnsi="Calibri" w:cs="Calibri"/>
          <w:szCs w:val="24"/>
        </w:rPr>
        <w:t>, 181.</w:t>
      </w:r>
      <w:r>
        <w:fldChar w:fldCharType="end"/>
      </w:r>
    </w:p>
  </w:footnote>
  <w:footnote w:id="33">
    <w:p w14:paraId="14B03479" w14:textId="59A71CA0"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{"citationID":"KjijhAMj","properties":{"formattedCitation":"Hasugian, {\\i{}Masa Pemerintahan Kolonial Belanda di Pematangsiantar 1917-1942}, 61.","plainCitation":"Hasugian, Masa Pemerintahan Kolonial Belanda di Pematangsiantar 1917-1942, 61.","noteIndex":33},"citationItems":[{"id":649,"uris":["http://zotero.org/users/local/q9G6HF8J/items/IWGFR4TM"],"itemData":{"id":649,"type":"book","event-place":"Yogyakarta","publisher":"KBM Indonesia","publisher-place":"Yogyakarta","title":"Masa Pemerintahan Kolonial Belanda di Pematangsiantar 1917-1942","author":[{"family":"Hasugian","given":"Jalatua"}],"issued":{"date-parts":[["2020"]]}},"locator":"61"}],"schema":"https://github.com/citation-style-language/schema/raw/master/csl-citation.json"} </w:instrText>
      </w:r>
      <w:r>
        <w:fldChar w:fldCharType="separate"/>
      </w:r>
      <w:r w:rsidRPr="00AD4301">
        <w:rPr>
          <w:rFonts w:ascii="Calibri" w:hAnsi="Calibri" w:cs="Calibri"/>
          <w:szCs w:val="24"/>
        </w:rPr>
        <w:t xml:space="preserve">Hasugian, </w:t>
      </w:r>
      <w:r w:rsidRPr="00AD4301">
        <w:rPr>
          <w:rFonts w:ascii="Calibri" w:hAnsi="Calibri" w:cs="Calibri"/>
          <w:i/>
          <w:iCs/>
          <w:szCs w:val="24"/>
        </w:rPr>
        <w:t>Masa Pemerintahan Kolonial Belanda di Pematangsiantar 1917-1942</w:t>
      </w:r>
      <w:r w:rsidRPr="00AD4301">
        <w:rPr>
          <w:rFonts w:ascii="Calibri" w:hAnsi="Calibri" w:cs="Calibri"/>
          <w:szCs w:val="24"/>
        </w:rPr>
        <w:t>, 61.</w:t>
      </w:r>
      <w:r>
        <w:fldChar w:fldCharType="end"/>
      </w:r>
    </w:p>
  </w:footnote>
  <w:footnote w:id="34">
    <w:p w14:paraId="46D9D45F" w14:textId="2D7B1CE4"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{"citationID":"7A3uYsJ0","properties":{"formattedCitation":"Agustuno dkk., {\\i{}Sejarah Etnis Simalungun}, 184.","plainCitation":"Agustuno dkk., Sejarah Etnis Simalungun, 184.","noteIndex":34},"citationItems":[{"id":650,"uris":["http://zotero.org/users/local/q9G6HF8J/items/KZ8FWM3R"],"itemData":{"id":650,"type":"book","event-place":"Pamatang Raya","publisher":"Terbit atas kerjasama Pemerintah Kabupaten Simalungun dan Fakultas Ilmu Budaya Universitas Sumatera Utara","publisher-place":"Pamatang Raya","title":"Sejarah Etnis Simalungun","author":[{"family":"Agustuno dkk.,","given":"Budi"}],"issued":{"date-parts":[["2020"]]}},"locator":"184"}],"schema":"https://github.com/citation-style-language/schema/raw/master/csl-citation.json"} </w:instrText>
      </w:r>
      <w:r>
        <w:fldChar w:fldCharType="separate"/>
      </w:r>
      <w:r w:rsidRPr="00AD4301">
        <w:rPr>
          <w:rFonts w:ascii="Calibri" w:hAnsi="Calibri" w:cs="Calibri"/>
          <w:szCs w:val="24"/>
        </w:rPr>
        <w:t xml:space="preserve">Agustuno dkk., </w:t>
      </w:r>
      <w:r w:rsidRPr="00AD4301">
        <w:rPr>
          <w:rFonts w:ascii="Calibri" w:hAnsi="Calibri" w:cs="Calibri"/>
          <w:i/>
          <w:iCs/>
          <w:szCs w:val="24"/>
        </w:rPr>
        <w:t>Sejarah Etnis Simalungun</w:t>
      </w:r>
      <w:r w:rsidRPr="00AD4301">
        <w:rPr>
          <w:rFonts w:ascii="Calibri" w:hAnsi="Calibri" w:cs="Calibri"/>
          <w:szCs w:val="24"/>
        </w:rPr>
        <w:t>, 184.</w:t>
      </w:r>
      <w:r>
        <w:fldChar w:fldCharType="end"/>
      </w:r>
    </w:p>
  </w:footnote>
  <w:footnote w:id="35">
    <w:p w14:paraId="2DB50A81" w14:textId="633A4CF3"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{"citationID":"zIN2m3y9","properties":{"formattedCitation":"Hasugian, {\\i{}Masa Pemerintahan Kolonial Belanda di Pematangsiantar 1917-1942}, 67\\uc0\\u8211{}69.","plainCitation":"Hasugian, Masa Pemerintahan Kolonial Belanda di Pematangsiantar 1917-1942, 67–69.","noteIndex":35},"citationItems":[{"id":649,"uris":["http://zotero.org/users/local/q9G6HF8J/items/IWGFR4TM"],"itemData":{"id":649,"type":"book","event-place":"Yogyakarta","publisher":"KBM Indonesia","publisher-place":"Yogyakarta","title":"Masa Pemerintahan Kolonial Belanda di Pematangsiantar 1917-1942","author":[{"family":"Hasugian","given":"Jalatua"}],"issued":{"date-parts":[["2020"]]}},"locator":"67-69"}],"schema":"https://github.com/citation-style-language/schema/raw/master/csl-citation.json"} </w:instrText>
      </w:r>
      <w:r>
        <w:fldChar w:fldCharType="separate"/>
      </w:r>
      <w:r w:rsidRPr="002C0700">
        <w:rPr>
          <w:rFonts w:ascii="Calibri" w:hAnsi="Calibri" w:cs="Calibri"/>
          <w:szCs w:val="24"/>
        </w:rPr>
        <w:t xml:space="preserve">Hasugian, </w:t>
      </w:r>
      <w:r w:rsidRPr="002C0700">
        <w:rPr>
          <w:rFonts w:ascii="Calibri" w:hAnsi="Calibri" w:cs="Calibri"/>
          <w:i/>
          <w:iCs/>
          <w:szCs w:val="24"/>
        </w:rPr>
        <w:t>Masa Pemerintahan Kolonial Belanda di Pematangsiantar 1917-1942</w:t>
      </w:r>
      <w:r w:rsidRPr="002C0700">
        <w:rPr>
          <w:rFonts w:ascii="Calibri" w:hAnsi="Calibri" w:cs="Calibri"/>
          <w:szCs w:val="24"/>
        </w:rPr>
        <w:t>, 67–69.</w:t>
      </w:r>
      <w:r>
        <w:fldChar w:fldCharType="end"/>
      </w:r>
    </w:p>
  </w:footnote>
  <w:footnote w:id="36">
    <w:p w14:paraId="1560CBAF"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{"citationID":"1aGM0EsD","properties":{"formattedCitation":"J. R. Hutauruk, {\\i{}Ula Jala Surathon! Barita Jujur Taon Pandita Batak, 1891-1959 Jilid IV} (Medan: LAPiK, 2017), 23\\uc0\\u8211{}24.","plainCitation":"J. R. Hutauruk, Ula Jala Surathon! Barita Jujur Taon Pandita Batak, 1891-1959 Jilid IV (Medan: LAPiK, 2017), 23–24.","noteIndex":36},"citationItems":[{"id":646,"uris":["http://zotero.org/users/local/q9G6HF8J/items/WLW7LZMY"],"itemData":{"id":646,"type":"book","event-place":"Medan","publisher":"LAPiK","publisher-place":"Medan","title":"Ula Jala Surathon! Barita Jujur Taon Pandita Batak, 1891-1959 Jilid IV","author":[{"family":"Hutauruk","given":"J. R."}],"issued":{"date-parts":[["2017"]]}},"locator":"23-24"}],"schema":"https://github.com/citation-style-language/schema/raw/master/csl-citation.json"} </w:instrText>
      </w:r>
      <w:r>
        <w:fldChar w:fldCharType="separate"/>
      </w:r>
      <w:r w:rsidRPr="001C0CBF">
        <w:rPr>
          <w:rFonts w:ascii="Calibri" w:hAnsi="Calibri" w:cs="Calibri"/>
          <w:szCs w:val="24"/>
        </w:rPr>
        <w:t xml:space="preserve">J. R. Hutauruk, </w:t>
      </w:r>
      <w:r w:rsidRPr="001C0CBF">
        <w:rPr>
          <w:rFonts w:ascii="Calibri" w:hAnsi="Calibri" w:cs="Calibri"/>
          <w:i/>
          <w:iCs/>
          <w:szCs w:val="24"/>
        </w:rPr>
        <w:t>Ula Jala Surathon! Barita Jujur Taon Pandita Batak, 1891-1959 Jilid IV</w:t>
      </w:r>
      <w:r w:rsidRPr="001C0CBF">
        <w:rPr>
          <w:rFonts w:ascii="Calibri" w:hAnsi="Calibri" w:cs="Calibri"/>
          <w:szCs w:val="24"/>
        </w:rPr>
        <w:t xml:space="preserve"> (Medan: LAPiK, 2017), 23–24.</w:t>
      </w:r>
      <w:r>
        <w:fldChar w:fldCharType="end"/>
      </w:r>
    </w:p>
  </w:footnote>
  <w:footnote w:id="37">
    <w:p w14:paraId="3D72C3BA"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{"citationID":"dwqjN3Wb","properties":{"formattedCitation":"Hutauruk, 27.","plainCitation":"Hutauruk, 27.","noteIndex":37},"citationItems":[{"id":646,"uris":["http://zotero.org/users/local/q9G6HF8J/items/WLW7LZMY"],"itemData":{"id":646,"type":"book","event-place":"Medan","publisher":"LAPiK","publisher-place":"Medan","title":"Ula Jala Surathon! Barita Jujur Taon Pandita Batak, 1891-1959 Jilid IV","author":[{"family":"Hutauruk","given":"J. R."}],"issued":{"date-parts":[["2017"]]}},"locator":"27"}],"schema":"https://github.com/citation-style-language/schema/raw/master/csl-citation.json"} </w:instrText>
      </w:r>
      <w:r>
        <w:fldChar w:fldCharType="separate"/>
      </w:r>
      <w:r w:rsidRPr="00C71FFE">
        <w:rPr>
          <w:rFonts w:ascii="Calibri" w:hAnsi="Calibri" w:cs="Calibri"/>
        </w:rPr>
        <w:t>Hutauruk, 27.</w:t>
      </w:r>
      <w:r>
        <w:fldChar w:fldCharType="end"/>
      </w:r>
    </w:p>
  </w:footnote>
  <w:footnote w:id="38">
    <w:p w14:paraId="76CB9786"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{"citationID":"4SP9rUeV","properties":{"formattedCitation":"Hutauruk, 34.","plainCitation":"Hutauruk, 34.","noteIndex":38},"citationItems":[{"id":646,"uris":["http://zotero.org/users/local/q9G6HF8J/items/WLW7LZMY"],"itemData":{"id":646,"type":"book","event-place":"Medan","publisher":"LAPiK","publisher-place":"Medan","title":"Ula Jala Surathon! Barita Jujur Taon Pandita Batak, 1891-1959 Jilid IV","author":[{"family":"Hutauruk","given":"J. R."}],"issued":{"date-parts":[["2017"]]}},"locator":"34"}],"schema":"https://github.com/citation-style-language/schema/raw/master/csl-citation.json"} </w:instrText>
      </w:r>
      <w:r>
        <w:fldChar w:fldCharType="separate"/>
      </w:r>
      <w:r w:rsidRPr="00C71FFE">
        <w:rPr>
          <w:rFonts w:ascii="Calibri" w:hAnsi="Calibri" w:cs="Calibri"/>
        </w:rPr>
        <w:t>Hutauruk, 34.</w:t>
      </w:r>
      <w:r>
        <w:fldChar w:fldCharType="end"/>
      </w:r>
    </w:p>
  </w:footnote>
  <w:footnote w:id="39">
    <w:p w14:paraId="7B80F187" w14:textId="0E4AAF70"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{"citationID":"kI9GMT1X","properties":{"formattedCitation":"Kurris, SJ, {\\i{}Pelangi di Bukit Barisan: Gereja Katolik Memasuki Tapanuli}, 30.","plainCitation":"Kurris, SJ, Pelangi di Bukit Barisan: Gereja Katolik Memasuki Tapanuli, 30.","noteIndex":39},"citationItems":[{"id":648,"uris":["http://zotero.org/users/local/q9G6HF8J/items/SFM46UVU"],"itemData":{"id":648,"type":"book","event-place":"Yogyakarta","publisher":"Kanisius","publisher-place":"Yogyakarta","title":"Pelangi di Bukit Barisan: Gereja Katolik Memasuki Tapanuli","author":[{"family":"Kurris, SJ","given":"R."}],"issued":{"date-parts":[["2006"]]}},"locator":"30"}],"schema":"https://github.com/citation-style-language/schema/raw/master/csl-citation.json"} </w:instrText>
      </w:r>
      <w:r>
        <w:fldChar w:fldCharType="separate"/>
      </w:r>
      <w:r w:rsidRPr="00987A9B">
        <w:rPr>
          <w:rFonts w:ascii="Calibri" w:hAnsi="Calibri" w:cs="Calibri"/>
          <w:szCs w:val="24"/>
        </w:rPr>
        <w:t xml:space="preserve">Kurris, SJ, </w:t>
      </w:r>
      <w:r w:rsidRPr="00987A9B">
        <w:rPr>
          <w:rFonts w:ascii="Calibri" w:hAnsi="Calibri" w:cs="Calibri"/>
          <w:i/>
          <w:iCs/>
          <w:szCs w:val="24"/>
        </w:rPr>
        <w:t>Pelangi di Bukit Barisan: Gereja Katolik Memasuki Tapanuli</w:t>
      </w:r>
      <w:r w:rsidRPr="00987A9B">
        <w:rPr>
          <w:rFonts w:ascii="Calibri" w:hAnsi="Calibri" w:cs="Calibri"/>
          <w:szCs w:val="24"/>
        </w:rPr>
        <w:t>, 30.</w:t>
      </w:r>
      <w:r>
        <w:fldChar w:fldCharType="end"/>
      </w:r>
    </w:p>
  </w:footnote>
  <w:footnote w:id="40">
    <w:p w14:paraId="1CBEC001"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{"citationID":"X3QrgwgW","properties":{"formattedCitation":"Hutauruk, {\\i{}Ula Jala Surathon! Barita Jujur Taon Pandita Batak, 1891-1959 Jilid IV}, 41.","plainCitation":"Hutauruk, Ula Jala Surathon! Barita Jujur Taon Pandita Batak, 1891-1959 Jilid IV, 41.","noteIndex":40},"citationItems":[{"id":646,"uris":["http://zotero.org/users/local/q9G6HF8J/items/WLW7LZMY"],"itemData":{"id":646,"type":"book","event-place":"Medan","publisher":"LAPiK","publisher-place":"Medan","title":"Ula Jala Surathon! Barita Jujur Taon Pandita Batak, 1891-1959 Jilid IV","author":[{"family":"Hutauruk","given":"J. R."}],"issued":{"date-parts":[["2017"]]}},"locator":"41"}],"schema":"https://github.com/citation-style-language/schema/raw/master/csl-citation.json"} </w:instrText>
      </w:r>
      <w:r>
        <w:fldChar w:fldCharType="separate"/>
      </w:r>
      <w:r w:rsidRPr="001C0CBF">
        <w:rPr>
          <w:rFonts w:ascii="Calibri" w:hAnsi="Calibri" w:cs="Calibri"/>
          <w:szCs w:val="24"/>
        </w:rPr>
        <w:t xml:space="preserve">Hutauruk, </w:t>
      </w:r>
      <w:r w:rsidRPr="001C0CBF">
        <w:rPr>
          <w:rFonts w:ascii="Calibri" w:hAnsi="Calibri" w:cs="Calibri"/>
          <w:i/>
          <w:iCs/>
          <w:szCs w:val="24"/>
        </w:rPr>
        <w:t>Ula Jala Surathon! Barita Jujur Taon Pandita Batak, 1891-1959 Jilid IV</w:t>
      </w:r>
      <w:r w:rsidRPr="001C0CBF">
        <w:rPr>
          <w:rFonts w:ascii="Calibri" w:hAnsi="Calibri" w:cs="Calibri"/>
          <w:szCs w:val="24"/>
        </w:rPr>
        <w:t>, 41.</w:t>
      </w:r>
      <w:r>
        <w:fldChar w:fldCharType="end"/>
      </w:r>
    </w:p>
  </w:footnote>
  <w:footnote w:id="41">
    <w:p w14:paraId="5CD8B8DC"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{"citationID":"fH5cQkbJ","properties":{"formattedCitation":"Hutauruk, 43.","plainCitation":"Hutauruk, 43.","noteIndex":41},"citationItems":[{"id":646,"uris":["http://zotero.org/users/local/q9G6HF8J/items/WLW7LZMY"],"itemData":{"id":646,"type":"book","event-place":"Medan","publisher":"LAPiK","publisher-place":"Medan","title":"Ula Jala Surathon! Barita Jujur Taon Pandita Batak, 1891-1959 Jilid IV","author":[{"family":"Hutauruk","given":"J. R."}],"issued":{"date-parts":[["2017"]]}},"locator":"43"}],"schema":"https://github.com/citation-style-language/schema/raw/master/csl-citation.json"} </w:instrText>
      </w:r>
      <w:r>
        <w:fldChar w:fldCharType="separate"/>
      </w:r>
      <w:r w:rsidRPr="008E1E41">
        <w:rPr>
          <w:rFonts w:ascii="Calibri" w:hAnsi="Calibri" w:cs="Calibri"/>
        </w:rPr>
        <w:t>Hutauruk, 43.</w:t>
      </w:r>
      <w:r>
        <w:fldChar w:fldCharType="end"/>
      </w:r>
    </w:p>
  </w:footnote>
  <w:footnote w:id="42">
    <w:p w14:paraId="0138A93E" w14:textId="7FE7C052"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{"citationID":"p53wAf5a","properties":{"formattedCitation":"Hutauruk, {\\i{}Kemandirian Gereja: Penelitian historis-sistematis tentang Gerakan Kemandirian Gereja di Sumatera Utara dalam kancah Pergolakan Kolonialisme dan Gerakan Kebangsaan di Indonesia, 1899-1942}, 135.","plainCitation":"Hutauruk, Kemandirian Gereja: Penelitian historis-sistematis tentang Gerakan Kemandirian Gereja di Sumatera Utara dalam kancah Pergolakan Kolonialisme dan Gerakan Kebangsaan di Indonesia, 1899-1942, 135.","noteIndex":42},"citationItems":[{"id":647,"uris":["http://zotero.org/users/local/q9G6HF8J/items/684D5U4D"],"itemData":{"id":647,"type":"book","event-place":"Jakarta","publisher":"BPK Gunung Mulia","publisher-place":"Jakarta","title":"Kemandirian Gereja: Penelitian historis-sistematis tentang Gerakan Kemandirian Gereja di Sumatera Utara dalam kancah Pergolakan Kolonialisme dan Gerakan Kebangsaan di Indonesia, 1899-1942","author":[{"family":"Hutauruk","given":"J. R."}],"issued":{"date-parts":[["1992"]]}},"locator":"135"}],"schema":"https://github.com/citation-style-language/schema/raw/master/csl-citation.json"} </w:instrText>
      </w:r>
      <w:r>
        <w:fldChar w:fldCharType="separate"/>
      </w:r>
      <w:r w:rsidRPr="0012581F">
        <w:rPr>
          <w:rFonts w:ascii="Calibri" w:hAnsi="Calibri" w:cs="Calibri"/>
          <w:szCs w:val="24"/>
        </w:rPr>
        <w:t xml:space="preserve">Hutauruk, </w:t>
      </w:r>
      <w:r w:rsidRPr="0012581F">
        <w:rPr>
          <w:rFonts w:ascii="Calibri" w:hAnsi="Calibri" w:cs="Calibri"/>
          <w:i/>
          <w:iCs/>
          <w:szCs w:val="24"/>
        </w:rPr>
        <w:t>Kemandirian Gereja: Penelitian historis-sistematis tentang Gerakan Kemandirian Gereja di Sumatera Utara dalam kancah Pergolakan Kolonialisme dan Gerakan Kebangsaan di Indonesia, 1899-1942</w:t>
      </w:r>
      <w:r w:rsidRPr="0012581F">
        <w:rPr>
          <w:rFonts w:ascii="Calibri" w:hAnsi="Calibri" w:cs="Calibri"/>
          <w:szCs w:val="24"/>
        </w:rPr>
        <w:t>, 135.</w:t>
      </w:r>
      <w:r>
        <w:fldChar w:fldCharType="end"/>
      </w:r>
    </w:p>
  </w:footnote>
  <w:footnote w:id="43">
    <w:p w14:paraId="75C1506A"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{"citationID":"CuBs5Klf","properties":{"formattedCitation":"Hutauruk, {\\i{}Ula Jala Surathon! Barita Jujur Taon Pandita Batak, 1891-1959 Jilid IV}, 47\\uc0\\u8211{}48.","plainCitation":"Hutauruk, Ula Jala Surathon! Barita Jujur Taon Pandita Batak, 1891-1959 Jilid IV, 47–48.","noteIndex":43},"citationItems":[{"id":646,"uris":["http://zotero.org/users/local/q9G6HF8J/items/WLW7LZMY"],"itemData":{"id":646,"type":"book","event-place":"Medan","publisher":"LAPiK","publisher-place":"Medan","title":"Ula Jala Surathon! Barita Jujur Taon Pandita Batak, 1891-1959 Jilid IV","author":[{"family":"Hutauruk","given":"J. R."}],"issued":{"date-parts":[["2017"]]}},"locator":"47-48"}],"schema":"https://github.com/citation-style-language/schema/raw/master/csl-citation.json"} </w:instrText>
      </w:r>
      <w:r>
        <w:fldChar w:fldCharType="separate"/>
      </w:r>
      <w:r w:rsidRPr="0012581F">
        <w:rPr>
          <w:rFonts w:ascii="Calibri" w:hAnsi="Calibri" w:cs="Calibri"/>
          <w:szCs w:val="24"/>
        </w:rPr>
        <w:t xml:space="preserve">Hutauruk, </w:t>
      </w:r>
      <w:r w:rsidRPr="0012581F">
        <w:rPr>
          <w:rFonts w:ascii="Calibri" w:hAnsi="Calibri" w:cs="Calibri"/>
          <w:i/>
          <w:iCs/>
          <w:szCs w:val="24"/>
        </w:rPr>
        <w:t>Ula Jala Surathon! Barita Jujur Taon Pandita Batak, 1891-1959 Jilid IV</w:t>
      </w:r>
      <w:r w:rsidRPr="0012581F">
        <w:rPr>
          <w:rFonts w:ascii="Calibri" w:hAnsi="Calibri" w:cs="Calibri"/>
          <w:szCs w:val="24"/>
        </w:rPr>
        <w:t>, 47–48.</w:t>
      </w:r>
      <w:r>
        <w:fldChar w:fldCharType="end"/>
      </w:r>
    </w:p>
  </w:footnote>
  <w:footnote w:id="44">
    <w:p w14:paraId="1436E8C0"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{"citationID":"Ppa2xapB","properties":{"formattedCitation":"Hutauruk, 49.","plainCitation":"Hutauruk, 49.","noteIndex":44},"citationItems":[{"id":646,"uris":["http://zotero.org/users/local/q9G6HF8J/items/WLW7LZMY"],"itemData":{"id":646,"type":"book","event-place":"Medan","publisher":"LAPiK","publisher-place":"Medan","title":"Ula Jala Surathon! Barita Jujur Taon Pandita Batak, 1891-1959 Jilid IV","author":[{"family":"Hutauruk","given":"J. R."}],"issued":{"date-parts":[["2017"]]}},"locator":"49"}],"schema":"https://github.com/citation-style-language/schema/raw/master/csl-citation.json"} </w:instrText>
      </w:r>
      <w:r>
        <w:fldChar w:fldCharType="separate"/>
      </w:r>
      <w:r w:rsidRPr="0012581F">
        <w:rPr>
          <w:rFonts w:ascii="Calibri" w:hAnsi="Calibri" w:cs="Calibri"/>
        </w:rPr>
        <w:t>Hutauruk, 49.</w:t>
      </w:r>
      <w:r>
        <w:fldChar w:fldCharType="end"/>
      </w:r>
    </w:p>
  </w:footnote>
  <w:footnote w:id="45">
    <w:p w14:paraId="198BBE88"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{"citationID":"1NSHHE9D","properties":{"formattedCitation":"Hutauruk, 50.","plainCitation":"Hutauruk, 50.","noteIndex":45},"citationItems":[{"id":646,"uris":["http://zotero.org/users/local/q9G6HF8J/items/WLW7LZMY"],"itemData":{"id":646,"type":"book","event-place":"Medan","publisher":"LAPiK","publisher-place":"Medan","title":"Ula Jala Surathon! Barita Jujur Taon Pandita Batak, 1891-1959 Jilid IV","author":[{"family":"Hutauruk","given":"J. R."}],"issued":{"date-parts":[["2017"]]}},"locator":"50"}],"schema":"https://github.com/citation-style-language/schema/raw/master/csl-citation.json"} </w:instrText>
      </w:r>
      <w:r>
        <w:fldChar w:fldCharType="separate"/>
      </w:r>
      <w:r w:rsidRPr="00F136E1">
        <w:rPr>
          <w:rFonts w:ascii="Calibri" w:hAnsi="Calibri" w:cs="Calibri"/>
        </w:rPr>
        <w:t>Hutauruk, 50.</w:t>
      </w:r>
      <w:r>
        <w:fldChar w:fldCharType="end"/>
      </w:r>
    </w:p>
  </w:footnote>
  <w:footnote w:id="46">
    <w:p w14:paraId="21192466" w14:textId="42DAA915"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{"citationID":"8ltq4I7D","properties":{"formattedCitation":"Agustuno dkk., {\\i{}Sejarah Etnis Simalungun}, 224\\uc0\\u8211{}27.","plainCitation":"Agustuno dkk., Sejarah Etnis Simalungun, 224–27.","noteIndex":46},"citationItems":[{"id":650,"uris":["http://zotero.org/users/local/q9G6HF8J/items/KZ8FWM3R"],"itemData":{"id":650,"type":"book","event-place":"Pamatang Raya","publisher":"Terbit atas kerjasama Pemerintah Kabupaten Simalungun dan Fakultas Ilmu Budaya Universitas Sumatera Utara","publisher-place":"Pamatang Raya","title":"Sejarah Etnis Simalungun","author":[{"family":"Agustuno dkk.,","given":"Budi"}],"issued":{"date-parts":[["2020"]]}},"locator":"224-227"}],"schema":"https://github.com/citation-style-language/schema/raw/master/csl-citation.json"} </w:instrText>
      </w:r>
      <w:r>
        <w:fldChar w:fldCharType="separate"/>
      </w:r>
      <w:r w:rsidRPr="003C3F3E">
        <w:rPr>
          <w:rFonts w:ascii="Calibri" w:hAnsi="Calibri" w:cs="Calibri"/>
          <w:szCs w:val="24"/>
        </w:rPr>
        <w:t xml:space="preserve">Agustuno dkk., </w:t>
      </w:r>
      <w:r w:rsidRPr="003C3F3E">
        <w:rPr>
          <w:rFonts w:ascii="Calibri" w:hAnsi="Calibri" w:cs="Calibri"/>
          <w:i/>
          <w:iCs/>
          <w:szCs w:val="24"/>
        </w:rPr>
        <w:t>Sejarah Etnis Simalungun</w:t>
      </w:r>
      <w:r w:rsidRPr="003C3F3E">
        <w:rPr>
          <w:rFonts w:ascii="Calibri" w:hAnsi="Calibri" w:cs="Calibri"/>
          <w:szCs w:val="24"/>
        </w:rPr>
        <w:t>, 224–27.</w:t>
      </w:r>
      <w:r>
        <w:fldChar w:fldCharType="end"/>
      </w:r>
    </w:p>
  </w:footnote>
  <w:footnote w:id="47">
    <w:p w14:paraId="5C963159" w14:textId="22255E60"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{"citationID":"c8JFrYkk","properties":{"formattedCitation":"Middya Boty, \\uc0\\u8220{}Agama dan Perubahan Sosial (Tinjauan Perpspektif Sosiologi Agama),\\uc0\\u8221{} {\\i{}Istinbath: Jurnal Raden Fatah} 14, no. 15 (2015): 47.","plainCitation":"Middya Boty, “Agama dan Perubahan Sosial (Tinjauan Perpspektif Sosiologi Agama),” Istinbath: Jurnal Raden Fatah 14, no. 15 (2015): 47.","dontUpdate":true,"noteIndex":47},"citationItems":[{"id":663,"uris":["http://zotero.org/users/local/q9G6HF8J/items/LNKDD2V5"],"itemData":{"id":663,"type":"article-journal","container-title":"Istinbath: Jurnal Raden Fatah","issue":"15","journalAbbreviation":"Istinbath","page":"35-30","title":"Agama dan Perubahan Sosial (Tinjauan Perpspektif Sosiologi Agama)","volume":"14","author":[{"family":"Boty","given":"Middya"}],"issued":{"date-parts":[["2015"]]}},"locator":"47"}],"schema":"https://github.com/citation-style-language/schema/raw/master/csl-citation.json"} </w:instrText>
      </w:r>
      <w:r>
        <w:fldChar w:fldCharType="separate"/>
      </w:r>
      <w:r w:rsidRPr="008C71CF">
        <w:rPr>
          <w:rFonts w:ascii="Calibri" w:hAnsi="Calibri" w:cs="Calibri"/>
          <w:szCs w:val="24"/>
        </w:rPr>
        <w:t xml:space="preserve">Middya Boty, “Agama dan Perubahan Sosial (Tinjauan Perspektif Sosiologi Agama),” </w:t>
      </w:r>
      <w:r w:rsidRPr="008C71CF">
        <w:rPr>
          <w:rFonts w:ascii="Calibri" w:hAnsi="Calibri" w:cs="Calibri"/>
          <w:i/>
          <w:iCs/>
          <w:szCs w:val="24"/>
        </w:rPr>
        <w:t>Istinbath: Jurnal Raden Fatah</w:t>
      </w:r>
      <w:r w:rsidRPr="008C71CF">
        <w:rPr>
          <w:rFonts w:ascii="Calibri" w:hAnsi="Calibri" w:cs="Calibri"/>
          <w:szCs w:val="24"/>
        </w:rPr>
        <w:t xml:space="preserve"> 14, no. 15 (2015): 47.</w:t>
      </w:r>
      <w:r>
        <w:fldChar w:fldCharType="end"/>
      </w:r>
    </w:p>
  </w:footnote>
  <w:footnote w:id="48">
    <w:p w14:paraId="08F00A70"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{"citationID":"g8HwKUHc","properties":{"formattedCitation":"Hutauruk, {\\i{}Ula Jala Surathon! Barita Jujur Taon Pandita Batak, 1891-1959 Jilid IV}, 25\\uc0\\u8211{}26.","plainCitation":"Hutauruk, Ula Jala Surathon! Barita Jujur Taon Pandita Batak, 1891-1959 Jilid IV, 25–26.","noteIndex":48},"citationItems":[{"id":646,"uris":["http://zotero.org/users/local/q9G6HF8J/items/WLW7LZMY"],"itemData":{"id":646,"type":"book","event-place":"Medan","publisher":"LAPiK","publisher-place":"Medan","title":"Ula Jala Surathon! Barita Jujur Taon Pandita Batak, 1891-1959 Jilid IV","author":[{"family":"Hutauruk","given":"J. R."}],"issued":{"date-parts":[["2017"]]}},"locator":"25-26"}],"schema":"https://github.com/citation-style-language/schema/raw/master/csl-citation.json"} </w:instrText>
      </w:r>
      <w:r>
        <w:fldChar w:fldCharType="separate"/>
      </w:r>
      <w:r w:rsidRPr="003C3F3E">
        <w:rPr>
          <w:rFonts w:ascii="Calibri" w:hAnsi="Calibri" w:cs="Calibri"/>
          <w:szCs w:val="24"/>
        </w:rPr>
        <w:t xml:space="preserve">Hutauruk, </w:t>
      </w:r>
      <w:r w:rsidRPr="003C3F3E">
        <w:rPr>
          <w:rFonts w:ascii="Calibri" w:hAnsi="Calibri" w:cs="Calibri"/>
          <w:i/>
          <w:iCs/>
          <w:szCs w:val="24"/>
        </w:rPr>
        <w:t>Ula Jala Surathon! Barita Jujur Taon Pandita Batak, 1891-1959 Jilid IV</w:t>
      </w:r>
      <w:r w:rsidRPr="003C3F3E">
        <w:rPr>
          <w:rFonts w:ascii="Calibri" w:hAnsi="Calibri" w:cs="Calibri"/>
          <w:szCs w:val="24"/>
        </w:rPr>
        <w:t>, 25–26.</w:t>
      </w:r>
      <w:r>
        <w:fldChar w:fldCharType="end"/>
      </w:r>
    </w:p>
  </w:footnote>
  <w:footnote w:id="49">
    <w:p w14:paraId="7BCD1BC3" w14:textId="4F3559C6"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{"citationID":"f0Qz138W","properties":{"formattedCitation":"Pematangsiantar, {\\i{}Sejarah Jubileum 100 Tahun HKBP Pematangsiantar Ressort Pematangsiantar Distrik V Sumatera Timur}, 42.","plainCitation":"Pematangsiantar, Sejarah Jubileum 100 Tahun HKBP Pematangsiantar Ressort Pematangsiantar Distrik V Sumatera Timur, 42.","noteIndex":49},"citationItems":[{"id":645,"uris":["http://zotero.org/users/local/q9G6HF8J/items/34UN23SE"],"itemData":{"id":645,"type":"book","event-place":"Pematangsiantar","publisher":"HKBP Pematangsiantar","publisher-place":"Pematangsiantar","title":"Sejarah Jubileum 100 Tahun HKBP Pematangsiantar Ressort Pematangsiantar Distrik V Sumatera Timur","author":[{"family":"Pematangsiantar","given":"HKBP"}],"issued":{"date-parts":[["2007"]]}},"locator":"42"}],"schema":"https://github.com/citation-style-language/schema/raw/master/csl-citation.json"} </w:instrText>
      </w:r>
      <w:r>
        <w:fldChar w:fldCharType="separate"/>
      </w:r>
      <w:r w:rsidRPr="00A57AD5">
        <w:rPr>
          <w:rFonts w:ascii="Calibri" w:hAnsi="Calibri" w:cs="Calibri"/>
          <w:szCs w:val="24"/>
        </w:rPr>
        <w:t xml:space="preserve">Pematangsiantar, </w:t>
      </w:r>
      <w:r w:rsidRPr="00A57AD5">
        <w:rPr>
          <w:rFonts w:ascii="Calibri" w:hAnsi="Calibri" w:cs="Calibri"/>
          <w:i/>
          <w:iCs/>
          <w:szCs w:val="24"/>
        </w:rPr>
        <w:t>Sejarah Jubileum 100 Tahun HKBP Pematangsiantar Ressort Pematangsiantar Distrik V Sumatera Timur</w:t>
      </w:r>
      <w:r w:rsidRPr="00A57AD5">
        <w:rPr>
          <w:rFonts w:ascii="Calibri" w:hAnsi="Calibri" w:cs="Calibri"/>
          <w:szCs w:val="24"/>
        </w:rPr>
        <w:t>, 42.</w:t>
      </w:r>
      <w:r>
        <w:fldChar w:fldCharType="end"/>
      </w:r>
    </w:p>
  </w:footnote>
  <w:footnote w:id="50">
    <w:p w14:paraId="06AF0712"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{"citationID":"Uo3xrr1R","properties":{"formattedCitation":"Hutauruk, {\\i{}Ula Jala Surathon! Barita Jujur Taon Pandita Batak, 1891-1959 Jilid IV}, 31\\uc0\\u8211{}32.","plainCitation":"Hutauruk, Ula Jala Surathon! Barita Jujur Taon Pandita Batak, 1891-1959 Jilid IV, 31–32.","noteIndex":50},"citationItems":[{"id":646,"uris":["http://zotero.org/users/local/q9G6HF8J/items/WLW7LZMY"],"itemData":{"id":646,"type":"book","event-place":"Medan","publisher":"LAPiK","publisher-place":"Medan","title":"Ula Jala Surathon! Barita Jujur Taon Pandita Batak, 1891-1959 Jilid IV","author":[{"family":"Hutauruk","given":"J. R."}],"issued":{"date-parts":[["2017"]]}},"locator":"31-32"}],"schema":"https://github.com/citation-style-language/schema/raw/master/csl-citation.json"} </w:instrText>
      </w:r>
      <w:r>
        <w:fldChar w:fldCharType="separate"/>
      </w:r>
      <w:r w:rsidRPr="00405761">
        <w:rPr>
          <w:rFonts w:ascii="Calibri" w:hAnsi="Calibri" w:cs="Calibri"/>
          <w:szCs w:val="24"/>
        </w:rPr>
        <w:t xml:space="preserve">Hutauruk, </w:t>
      </w:r>
      <w:r w:rsidRPr="00405761">
        <w:rPr>
          <w:rFonts w:ascii="Calibri" w:hAnsi="Calibri" w:cs="Calibri"/>
          <w:i/>
          <w:iCs/>
          <w:szCs w:val="24"/>
        </w:rPr>
        <w:t>Ula Jala Surathon! Barita Jujur Taon Pandita Batak, 1891-1959 Jilid IV</w:t>
      </w:r>
      <w:r w:rsidRPr="00405761">
        <w:rPr>
          <w:rFonts w:ascii="Calibri" w:hAnsi="Calibri" w:cs="Calibri"/>
          <w:szCs w:val="24"/>
        </w:rPr>
        <w:t>, 31–32.</w:t>
      </w:r>
      <w:r>
        <w:fldChar w:fldCharType="end"/>
      </w:r>
    </w:p>
  </w:footnote>
  <w:footnote w:id="51">
    <w:p w14:paraId="03AF0181"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{"citationID":"FhXAtKbx","properties":{"formattedCitation":"Hutauruk, 39.","plainCitation":"Hutauruk, 39.","noteIndex":51},"citationItems":[{"id":646,"uris":["http://zotero.org/users/local/q9G6HF8J/items/WLW7LZMY"],"itemData":{"id":646,"type":"book","event-place":"Medan","publisher":"LAPiK","publisher-place":"Medan","title":"Ula Jala Surathon! Barita Jujur Taon Pandita Batak, 1891-1959 Jilid IV","author":[{"family":"Hutauruk","given":"J. R."}],"issued":{"date-parts":[["2017"]]}},"locator":"39"}],"schema":"https://github.com/citation-style-language/schema/raw/master/csl-citation.json"} </w:instrText>
      </w:r>
      <w:r>
        <w:fldChar w:fldCharType="separate"/>
      </w:r>
      <w:r w:rsidRPr="00660C6D">
        <w:rPr>
          <w:rFonts w:ascii="Calibri" w:hAnsi="Calibri" w:cs="Calibri"/>
        </w:rPr>
        <w:t>Hutauruk, 39.</w:t>
      </w:r>
      <w:r>
        <w:fldChar w:fldCharType="end"/>
      </w:r>
    </w:p>
  </w:footnote>
  <w:footnote w:id="52">
    <w:p w14:paraId="6BD95BAC"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{"citationID":"bsXotb4e","properties":{"formattedCitation":"Hutauruk, 49.","plainCitation":"Hutauruk, 49.","noteIndex":52},"citationItems":[{"id":646,"uris":["http://zotero.org/users/local/q9G6HF8J/items/WLW7LZMY"],"itemData":{"id":646,"type":"book","event-place":"Medan","publisher":"LAPiK","publisher-place":"Medan","title":"Ula Jala Surathon! Barita Jujur Taon Pandita Batak, 1891-1959 Jilid IV","author":[{"family":"Hutauruk","given":"J. R."}],"issued":{"date-parts":[["2017"]]}},"locator":"49"}],"schema":"https://github.com/citation-style-language/schema/raw/master/csl-citation.json"} </w:instrText>
      </w:r>
      <w:r>
        <w:fldChar w:fldCharType="separate"/>
      </w:r>
      <w:r w:rsidRPr="00405761">
        <w:rPr>
          <w:rFonts w:ascii="Calibri" w:hAnsi="Calibri" w:cs="Calibri"/>
        </w:rPr>
        <w:t>Hutauruk, 49.</w:t>
      </w:r>
      <w:r>
        <w:fldChar w:fldCharType="end"/>
      </w:r>
    </w:p>
  </w:footnote>
  <w:footnote w:id="53">
    <w:p w14:paraId="0C9EBCF7"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{"citationID":"D0M1q6Rk","properties":{"formattedCitation":"Hutauruk, 51\\uc0\\u8211{}52.","plainCitation":"Hutauruk, 51–52.","noteIndex":53},"citationItems":[{"id":646,"uris":["http://zotero.org/users/local/q9G6HF8J/items/WLW7LZMY"],"itemData":{"id":646,"type":"book","event-place":"Medan","publisher":"LAPiK","publisher-place":"Medan","title":"Ula Jala Surathon! Barita Jujur Taon Pandita Batak, 1891-1959 Jilid IV","author":[{"family":"Hutauruk","given":"J. R."}],"issued":{"date-parts":[["2017"]]}},"locator":"51-52"}],"schema":"https://github.com/citation-style-language/schema/raw/master/csl-citation.json"} </w:instrText>
      </w:r>
      <w:r>
        <w:fldChar w:fldCharType="separate"/>
      </w:r>
      <w:r w:rsidRPr="00405761">
        <w:rPr>
          <w:rFonts w:ascii="Calibri" w:hAnsi="Calibri" w:cs="Calibri"/>
          <w:szCs w:val="24"/>
        </w:rPr>
        <w:t>Hutauruk, 51–52.</w:t>
      </w:r>
      <w:r>
        <w:fldChar w:fldCharType="end"/>
      </w:r>
    </w:p>
  </w:footnote>
  <w:footnote w:id="54">
    <w:p w14:paraId="40C3FD5D" w14:textId="231A5B8B"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{"citationID":"wKYuePZb","properties":{"formattedCitation":"Hutauruk, {\\i{}Lahir, Berakar dan Bertumbuh di dalam Kristus Sejarah 150 Tahun Huria Kristen Batak Protestan (HKBP) 7 Oktober 1861 - 7 Oktober 2011}, 317.","plainCitation":"Hutauruk, Lahir, Berakar dan Bertumbuh di dalam Kristus Sejarah 150 Tahun Huria Kristen Batak Protestan (HKBP) 7 Oktober 1861 - 7 Oktober 2011, 317.","noteIndex":54},"citationItems":[{"id":651,"uris":["http://zotero.org/users/local/q9G6HF8J/items/CIH32EUS"],"itemData":{"id":651,"type":"book","event-place":"Pearaja Tarutung","publisher":"Kantor Pusat HKBP","publisher-place":"Pearaja Tarutung","title":"Lahir, Berakar dan Bertumbuh di dalam Kristus Sejarah 150 Tahun Huria Kristen Batak Protestan (HKBP) 7 Oktober 1861 - 7 Oktober 2011","author":[{"family":"Hutauruk","given":"J. R."}],"issued":{"date-parts":[["2011"]]}},"locator":"317"}],"schema":"https://github.com/citation-style-language/schema/raw/master/csl-citation.json"} </w:instrText>
      </w:r>
      <w:r>
        <w:fldChar w:fldCharType="separate"/>
      </w:r>
      <w:r w:rsidRPr="00CA0A17">
        <w:rPr>
          <w:rFonts w:ascii="Calibri" w:hAnsi="Calibri" w:cs="Calibri"/>
          <w:szCs w:val="24"/>
        </w:rPr>
        <w:t xml:space="preserve">Hutauruk, </w:t>
      </w:r>
      <w:r w:rsidRPr="00CA0A17">
        <w:rPr>
          <w:rFonts w:ascii="Calibri" w:hAnsi="Calibri" w:cs="Calibri"/>
          <w:i/>
          <w:iCs/>
          <w:szCs w:val="24"/>
        </w:rPr>
        <w:t>Lahir, Berakar dan Bertumbuh di dalam Kristus Sejarah 150 Tahun Huria Kristen Batak Protestan (HKBP) 7 Oktober 1861 - 7 Oktober 2011</w:t>
      </w:r>
      <w:r w:rsidRPr="00CA0A17">
        <w:rPr>
          <w:rFonts w:ascii="Calibri" w:hAnsi="Calibri" w:cs="Calibri"/>
          <w:szCs w:val="24"/>
        </w:rPr>
        <w:t>, 317.</w:t>
      </w:r>
      <w:r>
        <w:fldChar w:fldCharType="end"/>
      </w:r>
    </w:p>
  </w:footnote>
  <w:footnote w:id="55">
    <w:p w14:paraId="39DBA404"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{"citationID":"VfC9ZanE","properties":{"formattedCitation":"Hutauruk, {\\i{}Ula Jala Surathon! Barita Jujur Taon Pandita Batak, 1891-1959 Jilid IV}, 23.","plainCitation":"Hutauruk, Ula Jala Surathon! Barita Jujur Taon Pandita Batak, 1891-1959 Jilid IV, 23.","noteIndex":55},"citationItems":[{"id":646,"uris":["http://zotero.org/users/local/q9G6HF8J/items/WLW7LZMY"],"itemData":{"id":646,"type":"book","event-place":"Medan","publisher":"LAPiK","publisher-place":"Medan","title":"Ula Jala Surathon! Barita Jujur Taon Pandita Batak, 1891-1959 Jilid IV","author":[{"family":"Hutauruk","given":"J. R."}],"issued":{"date-parts":[["2017"]]}},"locator":"23"}],"schema":"https://github.com/citation-style-language/schema/raw/master/csl-citation.json"} </w:instrText>
      </w:r>
      <w:r>
        <w:fldChar w:fldCharType="separate"/>
      </w:r>
      <w:r w:rsidRPr="00CA0A17">
        <w:rPr>
          <w:rFonts w:ascii="Calibri" w:hAnsi="Calibri" w:cs="Calibri"/>
          <w:szCs w:val="24"/>
        </w:rPr>
        <w:t xml:space="preserve">Hutauruk, </w:t>
      </w:r>
      <w:r w:rsidRPr="00CA0A17">
        <w:rPr>
          <w:rFonts w:ascii="Calibri" w:hAnsi="Calibri" w:cs="Calibri"/>
          <w:i/>
          <w:iCs/>
          <w:szCs w:val="24"/>
        </w:rPr>
        <w:t>Ula Jala Surathon! Barita Jujur Taon Pandita Batak, 1891-1959 Jilid IV</w:t>
      </w:r>
      <w:r w:rsidRPr="00CA0A17">
        <w:rPr>
          <w:rFonts w:ascii="Calibri" w:hAnsi="Calibri" w:cs="Calibri"/>
          <w:szCs w:val="24"/>
        </w:rPr>
        <w:t>, 23.</w:t>
      </w:r>
      <w:r>
        <w:fldChar w:fldCharType="end"/>
      </w:r>
    </w:p>
  </w:footnote>
  <w:footnote w:id="56">
    <w:p w14:paraId="3A2FEF04" w14:textId="3BA61D22"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{"citationID":"hj9zc8Tv","properties":{"formattedCitation":"Kurris, SJ, {\\i{}Pelangi di Bukit Barisan: Gereja Katolik Memasuki Tapanuli}, 29.","plainCitation":"Kurris, SJ, Pelangi di Bukit Barisan: Gereja Katolik Memasuki Tapanuli, 29.","noteIndex":56},"citationItems":[{"id":648,"uris":["http://zotero.org/users/local/q9G6HF8J/items/SFM46UVU"],"itemData":{"id":648,"type":"book","event-place":"Yogyakarta","publisher":"Kanisius","publisher-place":"Yogyakarta","title":"Pelangi di Bukit Barisan: Gereja Katolik Memasuki Tapanuli","author":[{"family":"Kurris, SJ","given":"R."}],"issued":{"date-parts":[["2006"]]}},"locator":"29"}],"schema":"https://github.com/citation-style-language/schema/raw/master/csl-citation.json"} </w:instrText>
      </w:r>
      <w:r>
        <w:fldChar w:fldCharType="separate"/>
      </w:r>
      <w:r w:rsidRPr="00FB1A61">
        <w:rPr>
          <w:rFonts w:ascii="Calibri" w:hAnsi="Calibri" w:cs="Calibri"/>
          <w:szCs w:val="24"/>
        </w:rPr>
        <w:t xml:space="preserve">Kurris, SJ, </w:t>
      </w:r>
      <w:r w:rsidRPr="00FB1A61">
        <w:rPr>
          <w:rFonts w:ascii="Calibri" w:hAnsi="Calibri" w:cs="Calibri"/>
          <w:i/>
          <w:iCs/>
          <w:szCs w:val="24"/>
        </w:rPr>
        <w:t>Pelangi di Bukit Barisan: Gereja Katolik Memasuki Tapanuli</w:t>
      </w:r>
      <w:r w:rsidRPr="00FB1A61">
        <w:rPr>
          <w:rFonts w:ascii="Calibri" w:hAnsi="Calibri" w:cs="Calibri"/>
          <w:szCs w:val="24"/>
        </w:rPr>
        <w:t>, 29.</w:t>
      </w:r>
      <w:r>
        <w:fldChar w:fldCharType="end"/>
      </w:r>
    </w:p>
  </w:footnote>
  <w:footnote w:id="57">
    <w:p w14:paraId="5BF143D1"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{"citationID":"PQDZoTrv","properties":{"formattedCitation":"Hutauruk, {\\i{}Ula Jala Surathon! Barita Jujur Taon Pandita Batak, 1891-1959 Jilid IV}, 28.","plainCitation":"Hutauruk, Ula Jala Surathon! Barita Jujur Taon Pandita Batak, 1891-1959 Jilid IV, 28.","noteIndex":57},"citationItems":[{"id":646,"uris":["http://zotero.org/users/local/q9G6HF8J/items/WLW7LZMY"],"itemData":{"id":646,"type":"book","event-place":"Medan","publisher":"LAPiK","publisher-place":"Medan","title":"Ula Jala Surathon! Barita Jujur Taon Pandita Batak, 1891-1959 Jilid IV","author":[{"family":"Hutauruk","given":"J. R."}],"issued":{"date-parts":[["2017"]]}},"locator":"28"}],"schema":"https://github.com/citation-style-language/schema/raw/master/csl-citation.json"} </w:instrText>
      </w:r>
      <w:r>
        <w:fldChar w:fldCharType="separate"/>
      </w:r>
      <w:r w:rsidRPr="00A75181">
        <w:rPr>
          <w:rFonts w:ascii="Calibri" w:hAnsi="Calibri" w:cs="Calibri"/>
          <w:szCs w:val="24"/>
        </w:rPr>
        <w:t xml:space="preserve">Hutauruk, </w:t>
      </w:r>
      <w:r w:rsidRPr="00A75181">
        <w:rPr>
          <w:rFonts w:ascii="Calibri" w:hAnsi="Calibri" w:cs="Calibri"/>
          <w:i/>
          <w:iCs/>
          <w:szCs w:val="24"/>
        </w:rPr>
        <w:t>Ula Jala Surathon! Barita Jujur Taon Pandita Batak, 1891-1959 Jilid IV</w:t>
      </w:r>
      <w:r w:rsidRPr="00A75181">
        <w:rPr>
          <w:rFonts w:ascii="Calibri" w:hAnsi="Calibri" w:cs="Calibri"/>
          <w:szCs w:val="24"/>
        </w:rPr>
        <w:t>, 28.</w:t>
      </w:r>
      <w:r>
        <w:fldChar w:fldCharType="end"/>
      </w:r>
    </w:p>
  </w:footnote>
  <w:footnote w:id="58">
    <w:p w14:paraId="51C3A12F" w14:textId="72D2BF28"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{"citationID":"L8q7MXXY","properties":{"formattedCitation":"Hutauruk, {\\i{}Kemandirian Gereja: Penelitian historis-sistematis tentang Gerakan Kemandirian Gereja di Sumatera Utara dalam kancah Pergolakan Kolonialisme dan Gerakan Kebangsaan di Indonesia, 1899-1942}, 134.","plainCitation":"Hutauruk, Kemandirian Gereja: Penelitian historis-sistematis tentang Gerakan Kemandirian Gereja di Sumatera Utara dalam kancah Pergolakan Kolonialisme dan Gerakan Kebangsaan di Indonesia, 1899-1942, 134.","noteIndex":58},"citationItems":[{"id":647,"uris":["http://zotero.org/users/local/q9G6HF8J/items/684D5U4D"],"itemData":{"id":647,"type":"book","event-place":"Jakarta","publisher":"BPK Gunung Mulia","publisher-place":"Jakarta","title":"Kemandirian Gereja: Penelitian historis-sistematis tentang Gerakan Kemandirian Gereja di Sumatera Utara dalam kancah Pergolakan Kolonialisme dan Gerakan Kebangsaan di Indonesia, 1899-1942","author":[{"family":"Hutauruk","given":"J. R."}],"issued":{"date-parts":[["1992"]]}},"locator":"134"}],"schema":"https://github.com/citation-style-language/schema/raw/master/csl-citation.json"} </w:instrText>
      </w:r>
      <w:r>
        <w:fldChar w:fldCharType="separate"/>
      </w:r>
      <w:r w:rsidRPr="00416E97">
        <w:rPr>
          <w:rFonts w:ascii="Calibri" w:hAnsi="Calibri" w:cs="Calibri"/>
          <w:szCs w:val="24"/>
        </w:rPr>
        <w:t xml:space="preserve">Hutauruk, </w:t>
      </w:r>
      <w:r w:rsidRPr="00416E97">
        <w:rPr>
          <w:rFonts w:ascii="Calibri" w:hAnsi="Calibri" w:cs="Calibri"/>
          <w:i/>
          <w:iCs/>
          <w:szCs w:val="24"/>
        </w:rPr>
        <w:t>Kemandirian Gereja: Penelitian historis-sistematis tentang Gerakan Kemandirian Gereja di Sumatera Utara dalam kancah Pergolakan Kolonialisme dan Gerakan Kebangsaan di Indonesia, 1899-1942</w:t>
      </w:r>
      <w:r w:rsidRPr="00416E97">
        <w:rPr>
          <w:rFonts w:ascii="Calibri" w:hAnsi="Calibri" w:cs="Calibri"/>
          <w:szCs w:val="24"/>
        </w:rPr>
        <w:t>, 134.</w:t>
      </w:r>
      <w:r>
        <w:fldChar w:fldCharType="end"/>
      </w:r>
    </w:p>
  </w:footnote>
  <w:footnote w:id="59">
    <w:p w14:paraId="590B765E"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{"citationID":"vFjaDfUF","properties":{"formattedCitation":"Hutauruk, {\\i{}Ula Jala Surathon! Barita Jujur Taon Pandita Batak, 1891-1959 Jilid IV}, 35.","plainCitation":"Hutauruk, Ula Jala Surathon! Barita Jujur Taon Pandita Batak, 1891-1959 Jilid IV, 35.","noteIndex":59},"citationItems":[{"id":646,"uris":["http://zotero.org/users/local/q9G6HF8J/items/WLW7LZMY"],"itemData":{"id":646,"type":"book","event-place":"Medan","publisher":"LAPiK","publisher-place":"Medan","title":"Ula Jala Surathon! Barita Jujur Taon Pandita Batak, 1891-1959 Jilid IV","author":[{"family":"Hutauruk","given":"J. R."}],"issued":{"date-parts":[["2017"]]}},"locator":"35"}],"schema":"https://github.com/citation-style-language/schema/raw/master/csl-citation.json"} </w:instrText>
      </w:r>
      <w:r>
        <w:fldChar w:fldCharType="separate"/>
      </w:r>
      <w:r w:rsidRPr="002617D9">
        <w:rPr>
          <w:rFonts w:ascii="Calibri" w:hAnsi="Calibri" w:cs="Calibri"/>
          <w:szCs w:val="24"/>
        </w:rPr>
        <w:t xml:space="preserve">Hutauruk, </w:t>
      </w:r>
      <w:r w:rsidRPr="002617D9">
        <w:rPr>
          <w:rFonts w:ascii="Calibri" w:hAnsi="Calibri" w:cs="Calibri"/>
          <w:i/>
          <w:iCs/>
          <w:szCs w:val="24"/>
        </w:rPr>
        <w:t>Ula Jala Surathon! Barita Jujur Taon Pandita Batak, 1891-1959 Jilid IV</w:t>
      </w:r>
      <w:r w:rsidRPr="002617D9">
        <w:rPr>
          <w:rFonts w:ascii="Calibri" w:hAnsi="Calibri" w:cs="Calibri"/>
          <w:szCs w:val="24"/>
        </w:rPr>
        <w:t>, 35.</w:t>
      </w:r>
      <w:r>
        <w:fldChar w:fldCharType="end"/>
      </w:r>
    </w:p>
  </w:footnote>
  <w:footnote w:id="60">
    <w:p w14:paraId="27C8DC60" w14:textId="173835EB"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{"citationID":"5TaHkooE","properties":{"formattedCitation":"Hutauruk, {\\i{}Kemandirian Gereja: Penelitian historis-sistematis tentang Gerakan Kemandirian Gereja di Sumatera Utara dalam kancah Pergolakan Kolonialisme dan Gerakan Kebangsaan di Indonesia, 1899-1942}, 134.","plainCitation":"Hutauruk, Kemandirian Gereja: Penelitian historis-sistematis tentang Gerakan Kemandirian Gereja di Sumatera Utara dalam kancah Pergolakan Kolonialisme dan Gerakan Kebangsaan di Indonesia, 1899-1942, 134.","noteIndex":60},"citationItems":[{"id":647,"uris":["http://zotero.org/users/local/q9G6HF8J/items/684D5U4D"],"itemData":{"id":647,"type":"book","event-place":"Jakarta","publisher":"BPK Gunung Mulia","publisher-place":"Jakarta","title":"Kemandirian Gereja: Penelitian historis-sistematis tentang Gerakan Kemandirian Gereja di Sumatera Utara dalam kancah Pergolakan Kolonialisme dan Gerakan Kebangsaan di Indonesia, 1899-1942","author":[{"family":"Hutauruk","given":"J. R."}],"issued":{"date-parts":[["1992"]]}},"locator":"134"}],"schema":"https://github.com/citation-style-language/schema/raw/master/csl-citation.json"} </w:instrText>
      </w:r>
      <w:r>
        <w:fldChar w:fldCharType="separate"/>
      </w:r>
      <w:r w:rsidRPr="00A71D69">
        <w:rPr>
          <w:rFonts w:ascii="Calibri" w:hAnsi="Calibri" w:cs="Calibri"/>
          <w:szCs w:val="24"/>
        </w:rPr>
        <w:t xml:space="preserve">Hutauruk, </w:t>
      </w:r>
      <w:r w:rsidRPr="00A71D69">
        <w:rPr>
          <w:rFonts w:ascii="Calibri" w:hAnsi="Calibri" w:cs="Calibri"/>
          <w:i/>
          <w:iCs/>
          <w:szCs w:val="24"/>
        </w:rPr>
        <w:t>Kemandirian Gereja: Penelitian historis-sistematis tentang Gerakan Kemandirian Gereja di Sumatera Utara dalam kancah Pergolakan Kolonialisme dan Gerakan Kebangsaan di Indonesia, 1899-1942</w:t>
      </w:r>
      <w:r w:rsidRPr="00A71D69">
        <w:rPr>
          <w:rFonts w:ascii="Calibri" w:hAnsi="Calibri" w:cs="Calibri"/>
          <w:szCs w:val="24"/>
        </w:rPr>
        <w:t>, 134.</w:t>
      </w:r>
      <w:r>
        <w:fldChar w:fldCharType="end"/>
      </w:r>
    </w:p>
  </w:footnote>
  <w:footnote w:id="61">
    <w:p w14:paraId="5FBB1BC0"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{"citationID":"ef1x09jK","properties":{"formattedCitation":"Hutauruk, {\\i{}Ula Jala Surathon! Barita Jujur Taon Pandita Batak, 1891-1959 Jilid IV}, 40.","plainCitation":"Hutauruk, Ula Jala Surathon! Barita Jujur Taon Pandita Batak, 1891-1959 Jilid IV, 40.","noteIndex":61},"citationItems":[{"id":646,"uris":["http://zotero.org/users/local/q9G6HF8J/items/WLW7LZMY"],"itemData":{"id":646,"type":"book","event-place":"Medan","publisher":"LAPiK","publisher-place":"Medan","title":"Ula Jala Surathon! Barita Jujur Taon Pandita Batak, 1891-1959 Jilid IV","author":[{"family":"Hutauruk","given":"J. R."}],"issued":{"date-parts":[["2017"]]}},"locator":"40"}],"schema":"https://github.com/citation-style-language/schema/raw/master/csl-citation.json"} </w:instrText>
      </w:r>
      <w:r>
        <w:fldChar w:fldCharType="separate"/>
      </w:r>
      <w:r w:rsidRPr="00A71D69">
        <w:rPr>
          <w:rFonts w:ascii="Calibri" w:hAnsi="Calibri" w:cs="Calibri"/>
          <w:szCs w:val="24"/>
        </w:rPr>
        <w:t xml:space="preserve">Hutauruk, </w:t>
      </w:r>
      <w:r w:rsidRPr="00A71D69">
        <w:rPr>
          <w:rFonts w:ascii="Calibri" w:hAnsi="Calibri" w:cs="Calibri"/>
          <w:i/>
          <w:iCs/>
          <w:szCs w:val="24"/>
        </w:rPr>
        <w:t>Ula Jala Surathon! Barita Jujur Taon Pandita Batak, 1891-1959 Jilid IV</w:t>
      </w:r>
      <w:r w:rsidRPr="00A71D69">
        <w:rPr>
          <w:rFonts w:ascii="Calibri" w:hAnsi="Calibri" w:cs="Calibri"/>
          <w:szCs w:val="24"/>
        </w:rPr>
        <w:t>, 40.</w:t>
      </w:r>
      <w:r>
        <w:fldChar w:fldCharType="end"/>
      </w:r>
    </w:p>
  </w:footnote>
  <w:footnote w:id="62">
    <w:p w14:paraId="28247C87"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{"citationID":"FDjyXICi","properties":{"formattedCitation":"Hutauruk, 47.","plainCitation":"Hutauruk, 47.","noteIndex":62},"citationItems":[{"id":646,"uris":["http://zotero.org/users/local/q9G6HF8J/items/WLW7LZMY"],"itemData":{"id":646,"type":"book","event-place":"Medan","publisher":"LAPiK","publisher-place":"Medan","title":"Ula Jala Surathon! Barita Jujur Taon Pandita Batak, 1891-1959 Jilid IV","author":[{"family":"Hutauruk","given":"J. R."}],"issued":{"date-parts":[["2017"]]}},"locator":"47"}],"schema":"https://github.com/citation-style-language/schema/raw/master/csl-citation.json"} </w:instrText>
      </w:r>
      <w:r>
        <w:fldChar w:fldCharType="separate"/>
      </w:r>
      <w:r w:rsidRPr="00A71D69">
        <w:rPr>
          <w:rFonts w:ascii="Calibri" w:hAnsi="Calibri" w:cs="Calibri"/>
        </w:rPr>
        <w:t>Hutauruk, 47.</w:t>
      </w:r>
      <w:r>
        <w:fldChar w:fldCharType="end"/>
      </w:r>
    </w:p>
  </w:footnote>
  <w:footnote w:id="63">
    <w:p w14:paraId="1ACA107A"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{"citationID":"8fTvcQcV","properties":{"formattedCitation":"Hutauruk, 49\\uc0\\u8211{}50.","plainCitation":"Hutauruk, 49–50.","noteIndex":63},"citationItems":[{"id":646,"uris":["http://zotero.org/users/local/q9G6HF8J/items/WLW7LZMY"],"itemData":{"id":646,"type":"book","event-place":"Medan","publisher":"LAPiK","publisher-place":"Medan","title":"Ula Jala Surathon! Barita Jujur Taon Pandita Batak, 1891-1959 Jilid IV","author":[{"family":"Hutauruk","given":"J. R."}],"issued":{"date-parts":[["2017"]]}},"locator":"49-50"}],"schema":"https://github.com/citation-style-language/schema/raw/master/csl-citation.json"} </w:instrText>
      </w:r>
      <w:r>
        <w:fldChar w:fldCharType="separate"/>
      </w:r>
      <w:r w:rsidRPr="00031219">
        <w:rPr>
          <w:rFonts w:ascii="Calibri" w:hAnsi="Calibri" w:cs="Calibri"/>
          <w:szCs w:val="24"/>
        </w:rPr>
        <w:t>Hutauruk, 49–50.</w:t>
      </w:r>
      <w:r>
        <w:fldChar w:fldCharType="end"/>
      </w:r>
    </w:p>
  </w:footnote>
  <w:footnote w:id="64">
    <w:p w14:paraId="54E6CC18"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{"citationID":"XYOXiJt6","properties":{"formattedCitation":"Hutauruk, 51.","plainCitation":"Hutauruk, 51.","noteIndex":64},"citationItems":[{"id":646,"uris":["http://zotero.org/users/local/q9G6HF8J/items/WLW7LZMY"],"itemData":{"id":646,"type":"book","event-place":"Medan","publisher":"LAPiK","publisher-place":"Medan","title":"Ula Jala Surathon! Barita Jujur Taon Pandita Batak, 1891-1959 Jilid IV","author":[{"family":"Hutauruk","given":"J. R."}],"issued":{"date-parts":[["2017"]]}},"locator":"51"}],"schema":"https://github.com/citation-style-language/schema/raw/master/csl-citation.json"} </w:instrText>
      </w:r>
      <w:r>
        <w:fldChar w:fldCharType="separate"/>
      </w:r>
      <w:r w:rsidRPr="005055DE">
        <w:rPr>
          <w:rFonts w:ascii="Calibri" w:hAnsi="Calibri" w:cs="Calibri"/>
        </w:rPr>
        <w:t>Hutauruk, 51.</w:t>
      </w:r>
      <w:r>
        <w:fldChar w:fldCharType="end"/>
      </w:r>
    </w:p>
  </w:footnote>
  <w:footnote w:id="65">
    <w:p w14:paraId="3530A244" w14:textId="11204A66" w:rsidR="003D67DC" w:rsidRDefault="003D67DC" w:rsidP="003D67DC">
      <w:pPr>
        <w:pStyle w:val="FootnoteText"/>
      </w:pPr>
      <w:r w:rsidRPr="00B819F4">
        <w:rPr>
          <w:rStyle w:val="FootnoteReference"/>
        </w:rPr>
        <w:footnoteRef/>
      </w:r>
      <w:r>
        <w:t xml:space="preserve"> </w:t>
      </w:r>
      <w:r>
        <w:fldChar w:fldCharType="begin"/>
      </w:r>
      <w:r w:rsidR="003F54F4">
        <w:instrText xml:space="preserve"> ADDIN ZOTERO_ITEM CSL_CITATION {"citationID":"Jr9G6VKJ","properties":{"formattedCitation":"Pematangsiantar, {\\i{}Sejarah Jubileum 100 Tahun HKBP Pematangsiantar Ressort Pematangsiantar Distrik V Sumatera Timur}, 42.","plainCitation":"Pematangsiantar, Sejarah Jubileum 100 Tahun HKBP Pematangsiantar Ressort Pematangsiantar Distrik V Sumatera Timur, 42.","noteIndex":65},"citationItems":[{"id":645,"uris":["http://zotero.org/users/local/q9G6HF8J/items/34UN23SE"],"itemData":{"id":645,"type":"book","event-place":"Pematangsiantar","publisher":"HKBP Pematangsiantar","publisher-place":"Pematangsiantar","title":"Sejarah Jubileum 100 Tahun HKBP Pematangsiantar Ressort Pematangsiantar Distrik V Sumatera Timur","author":[{"family":"Pematangsiantar","given":"HKBP"}],"issued":{"date-parts":[["2007"]]}},"locator":"42"}],"schema":"https://github.com/citation-style-language/schema/raw/master/csl-citation.json"} </w:instrText>
      </w:r>
      <w:r>
        <w:fldChar w:fldCharType="separate"/>
      </w:r>
      <w:r w:rsidRPr="00BC65E2">
        <w:rPr>
          <w:rFonts w:ascii="Calibri" w:hAnsi="Calibri" w:cs="Calibri"/>
          <w:szCs w:val="24"/>
        </w:rPr>
        <w:t xml:space="preserve">Pematangsiantar, </w:t>
      </w:r>
      <w:r w:rsidRPr="00BC65E2">
        <w:rPr>
          <w:rFonts w:ascii="Calibri" w:hAnsi="Calibri" w:cs="Calibri"/>
          <w:i/>
          <w:iCs/>
          <w:szCs w:val="24"/>
        </w:rPr>
        <w:t>Sejarah Jubileum 100 Tahun HKBP Pematangsiantar Ressort Pematangsiantar Distrik V Sumatera Timur</w:t>
      </w:r>
      <w:r w:rsidRPr="00BC65E2">
        <w:rPr>
          <w:rFonts w:ascii="Calibri" w:hAnsi="Calibri" w:cs="Calibri"/>
          <w:szCs w:val="24"/>
        </w:rPr>
        <w:t>, 42.</w:t>
      </w:r>
      <w:r>
        <w:fldChar w:fldCharType="end"/>
      </w:r>
    </w:p>
  </w:footnote>
  <w:footnote w:id="66">
    <w:p w14:paraId="25CDD39C"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{"citationID":"GWilIJiu","properties":{"formattedCitation":"Hutauruk, {\\i{}Ula Jala Surathon! Barita Jujur Taon Pandita Batak, 1891-1959 Jilid IV}, 22.","plainCitation":"Hutauruk, Ula Jala Surathon! Barita Jujur Taon Pandita Batak, 1891-1959 Jilid IV, 22.","noteIndex":66},"citationItems":[{"id":646,"uris":["http://zotero.org/users/local/q9G6HF8J/items/WLW7LZMY"],"itemData":{"id":646,"type":"book","event-place":"Medan","publisher":"LAPiK","publisher-place":"Medan","title":"Ula Jala Surathon! Barita Jujur Taon Pandita Batak, 1891-1959 Jilid IV","author":[{"family":"Hutauruk","given":"J. R."}],"issued":{"date-parts":[["2017"]]}},"locator":"22"}],"schema":"https://github.com/citation-style-language/schema/raw/master/csl-citation.json"} </w:instrText>
      </w:r>
      <w:r>
        <w:fldChar w:fldCharType="separate"/>
      </w:r>
      <w:r w:rsidRPr="00BC65E2">
        <w:rPr>
          <w:rFonts w:ascii="Calibri" w:hAnsi="Calibri" w:cs="Calibri"/>
          <w:szCs w:val="24"/>
        </w:rPr>
        <w:t xml:space="preserve">Hutauruk, </w:t>
      </w:r>
      <w:r w:rsidRPr="00BC65E2">
        <w:rPr>
          <w:rFonts w:ascii="Calibri" w:hAnsi="Calibri" w:cs="Calibri"/>
          <w:i/>
          <w:iCs/>
          <w:szCs w:val="24"/>
        </w:rPr>
        <w:t>Ula Jala Surathon! Barita Jujur Taon Pandita Batak, 1891-1959 Jilid IV</w:t>
      </w:r>
      <w:r w:rsidRPr="00BC65E2">
        <w:rPr>
          <w:rFonts w:ascii="Calibri" w:hAnsi="Calibri" w:cs="Calibri"/>
          <w:szCs w:val="24"/>
        </w:rPr>
        <w:t>, 22.</w:t>
      </w:r>
      <w:r>
        <w:fldChar w:fldCharType="end"/>
      </w:r>
    </w:p>
  </w:footnote>
  <w:footnote w:id="67">
    <w:p w14:paraId="643BD765"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{"citationID":"5BcgXdky","properties":{"formattedCitation":"Hutauruk, 27.","plainCitation":"Hutauruk, 27.","noteIndex":67},"citationItems":[{"id":646,"uris":["http://zotero.org/users/local/q9G6HF8J/items/WLW7LZMY"],"itemData":{"id":646,"type":"book","event-place":"Medan","publisher":"LAPiK","publisher-place":"Medan","title":"Ula Jala Surathon! Barita Jujur Taon Pandita Batak, 1891-1959 Jilid IV","author":[{"family":"Hutauruk","given":"J. R."}],"issued":{"date-parts":[["2017"]]}},"locator":"27"}],"schema":"https://github.com/citation-style-language/schema/raw/master/csl-citation.json"} </w:instrText>
      </w:r>
      <w:r>
        <w:fldChar w:fldCharType="separate"/>
      </w:r>
      <w:r w:rsidRPr="0097353C">
        <w:rPr>
          <w:rFonts w:ascii="Calibri" w:hAnsi="Calibri" w:cs="Calibri"/>
        </w:rPr>
        <w:t>Hutauruk, 27.</w:t>
      </w:r>
      <w:r>
        <w:fldChar w:fldCharType="end"/>
      </w:r>
    </w:p>
  </w:footnote>
  <w:footnote w:id="68">
    <w:p w14:paraId="66C321B8"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{"citationID":"yI2H6IvF","properties":{"formattedCitation":"Hutauruk, 33.","plainCitation":"Hutauruk, 33.","noteIndex":68},"citationItems":[{"id":646,"uris":["http://zotero.org/users/local/q9G6HF8J/items/WLW7LZMY"],"itemData":{"id":646,"type":"book","event-place":"Medan","publisher":"LAPiK","publisher-place":"Medan","title":"Ula Jala Surathon! Barita Jujur Taon Pandita Batak, 1891-1959 Jilid IV","author":[{"family":"Hutauruk","given":"J. R."}],"issued":{"date-parts":[["2017"]]}},"locator":"33"}],"schema":"https://github.com/citation-style-language/schema/raw/master/csl-citation.json"} </w:instrText>
      </w:r>
      <w:r>
        <w:fldChar w:fldCharType="separate"/>
      </w:r>
      <w:r w:rsidRPr="00B73436">
        <w:rPr>
          <w:rFonts w:ascii="Calibri" w:hAnsi="Calibri" w:cs="Calibri"/>
        </w:rPr>
        <w:t>Hutauruk, 33.</w:t>
      </w:r>
      <w:r>
        <w:fldChar w:fldCharType="end"/>
      </w:r>
    </w:p>
  </w:footnote>
  <w:footnote w:id="69">
    <w:p w14:paraId="66F17C7D"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{"citationID":"23v1MLv9","properties":{"formattedCitation":"Hutauruk, 40.","plainCitation":"Hutauruk, 40.","noteIndex":69},"citationItems":[{"id":646,"uris":["http://zotero.org/users/local/q9G6HF8J/items/WLW7LZMY"],"itemData":{"id":646,"type":"book","event-place":"Medan","publisher":"LAPiK","publisher-place":"Medan","title":"Ula Jala Surathon! Barita Jujur Taon Pandita Batak, 1891-1959 Jilid IV","author":[{"family":"Hutauruk","given":"J. R."}],"issued":{"date-parts":[["2017"]]}},"locator":"40"}],"schema":"https://github.com/citation-style-language/schema/raw/master/csl-citation.json"} </w:instrText>
      </w:r>
      <w:r>
        <w:fldChar w:fldCharType="separate"/>
      </w:r>
      <w:r w:rsidRPr="00B73436">
        <w:rPr>
          <w:rFonts w:ascii="Calibri" w:hAnsi="Calibri" w:cs="Calibri"/>
        </w:rPr>
        <w:t>Hutauruk, 40.</w:t>
      </w:r>
      <w:r>
        <w:fldChar w:fldCharType="end"/>
      </w:r>
    </w:p>
  </w:footnote>
  <w:footnote w:id="70">
    <w:p w14:paraId="5941AFC9"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{"citationID":"0eo5H7AF","properties":{"formattedCitation":"Hutauruk, 22.","plainCitation":"Hutauruk, 22.","noteIndex":70},"citationItems":[{"id":646,"uris":["http://zotero.org/users/local/q9G6HF8J/items/WLW7LZMY"],"itemData":{"id":646,"type":"book","event-place":"Medan","publisher":"LAPiK","publisher-place":"Medan","title":"Ula Jala Surathon! Barita Jujur Taon Pandita Batak, 1891-1959 Jilid IV","author":[{"family":"Hutauruk","given":"J. R."}],"issued":{"date-parts":[["2017"]]}},"locator":"22"}],"schema":"https://github.com/citation-style-language/schema/raw/master/csl-citation.json"} </w:instrText>
      </w:r>
      <w:r>
        <w:fldChar w:fldCharType="separate"/>
      </w:r>
      <w:r w:rsidRPr="00506071">
        <w:rPr>
          <w:rFonts w:ascii="Calibri" w:hAnsi="Calibri" w:cs="Calibri"/>
        </w:rPr>
        <w:t>Hutauruk, 22.</w:t>
      </w:r>
      <w:r>
        <w:fldChar w:fldCharType="end"/>
      </w:r>
    </w:p>
  </w:footnote>
  <w:footnote w:id="71">
    <w:p w14:paraId="48018CD5" w14:textId="77777777" w:rsidR="003D67DC" w:rsidRDefault="003D67DC" w:rsidP="003D67DC">
      <w:pPr>
        <w:pStyle w:val="FootnoteText"/>
      </w:pPr>
      <w:r w:rsidRPr="00B819F4">
        <w:rPr>
          <w:rStyle w:val="FootnoteReference"/>
        </w:rPr>
        <w:footnoteRef/>
      </w:r>
      <w:r>
        <w:t xml:space="preserve"> </w:t>
      </w:r>
      <w:r>
        <w:fldChar w:fldCharType="begin"/>
      </w:r>
      <w:r>
        <w:instrText xml:space="preserve"> ADDIN ZOTERO_ITEM CSL_CITATION {"citationID":"cmaeF6R0","properties":{"formattedCitation":"Hutauruk, 29.","plainCitation":"Hutauruk, 29.","noteIndex":71},"citationItems":[{"id":646,"uris":["http://zotero.org/users/local/q9G6HF8J/items/WLW7LZMY"],"itemData":{"id":646,"type":"book","event-place":"Medan","publisher":"LAPiK","publisher-place":"Medan","title":"Ula Jala Surathon! Barita Jujur Taon Pandita Batak, 1891-1959 Jilid IV","author":[{"family":"Hutauruk","given":"J. R."}],"issued":{"date-parts":[["2017"]]}},"locator":"29"}],"schema":"https://github.com/citation-style-language/schema/raw/master/csl-citation.json"} </w:instrText>
      </w:r>
      <w:r>
        <w:fldChar w:fldCharType="separate"/>
      </w:r>
      <w:r w:rsidRPr="00506071">
        <w:rPr>
          <w:rFonts w:ascii="Calibri" w:hAnsi="Calibri" w:cs="Calibri"/>
        </w:rPr>
        <w:t>Hutauruk, 29.</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87FAD" w14:textId="578E4452" w:rsidR="00C30472" w:rsidRDefault="0009309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93090"/>
    <w:rsid w:val="00273E5A"/>
    <w:rsid w:val="00353E95"/>
    <w:rsid w:val="00387C3C"/>
    <w:rsid w:val="003A4350"/>
    <w:rsid w:val="003D67DC"/>
    <w:rsid w:val="003F54F4"/>
    <w:rsid w:val="009A36ED"/>
    <w:rsid w:val="009F4195"/>
    <w:rsid w:val="00AE35FD"/>
    <w:rsid w:val="00B66877"/>
    <w:rsid w:val="00C30472"/>
    <w:rsid w:val="00CC6252"/>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customStyle="1" w:styleId="JW17abstract">
    <w:name w:val="JW_1.7_abstract"/>
    <w:basedOn w:val="Normal"/>
    <w:next w:val="Normal"/>
    <w:qFormat/>
    <w:rsid w:val="003D67DC"/>
    <w:pPr>
      <w:adjustRightInd w:val="0"/>
      <w:snapToGrid w:val="0"/>
      <w:spacing w:before="240" w:line="260" w:lineRule="atLeast"/>
      <w:ind w:left="113"/>
      <w:jc w:val="both"/>
    </w:pPr>
    <w:rPr>
      <w:rFonts w:ascii="Palatino Linotype" w:eastAsia="Times New Roman" w:hAnsi="Palatino Linotype"/>
      <w:color w:val="000000"/>
      <w:sz w:val="20"/>
      <w:szCs w:val="22"/>
      <w:lang w:eastAsia="de-DE" w:bidi="en-US"/>
    </w:rPr>
  </w:style>
  <w:style w:type="paragraph" w:styleId="FootnoteText">
    <w:name w:val="footnote text"/>
    <w:basedOn w:val="Normal"/>
    <w:link w:val="FootnoteTextChar"/>
    <w:uiPriority w:val="99"/>
    <w:semiHidden/>
    <w:unhideWhenUsed/>
    <w:rsid w:val="003D67DC"/>
    <w:rPr>
      <w:rFonts w:asciiTheme="minorHAnsi" w:eastAsiaTheme="minorHAnsi" w:hAnsiTheme="minorHAnsi" w:cstheme="minorBidi"/>
      <w:noProof/>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3D67DC"/>
    <w:rPr>
      <w:rFonts w:asciiTheme="minorHAnsi" w:eastAsiaTheme="minorHAnsi" w:hAnsiTheme="minorHAnsi" w:cstheme="minorBidi"/>
      <w:noProof/>
      <w:sz w:val="20"/>
      <w:szCs w:val="20"/>
      <w:lang w:eastAsia="en-US"/>
      <w14:ligatures w14:val="standardContextual"/>
    </w:rPr>
  </w:style>
  <w:style w:type="character" w:styleId="FootnoteReference">
    <w:name w:val="footnote reference"/>
    <w:basedOn w:val="DefaultParagraphFont"/>
    <w:uiPriority w:val="99"/>
    <w:semiHidden/>
    <w:unhideWhenUsed/>
    <w:rsid w:val="003D67DC"/>
    <w:rPr>
      <w:vertAlign w:val="superscript"/>
    </w:rPr>
  </w:style>
  <w:style w:type="paragraph" w:customStyle="1" w:styleId="JW31text">
    <w:name w:val="JW_3.1_text"/>
    <w:qFormat/>
    <w:rsid w:val="003D67DC"/>
    <w:pPr>
      <w:adjustRightInd w:val="0"/>
      <w:snapToGrid w:val="0"/>
      <w:spacing w:line="260" w:lineRule="atLeast"/>
      <w:ind w:firstLine="425"/>
      <w:jc w:val="both"/>
    </w:pPr>
    <w:rPr>
      <w:rFonts w:ascii="Palatino Linotype" w:hAnsi="Palatino Linotype"/>
      <w:snapToGrid w:val="0"/>
      <w:color w:val="000000"/>
      <w:sz w:val="20"/>
      <w:szCs w:val="22"/>
      <w:lang w:eastAsia="de-DE" w:bidi="en-US"/>
    </w:rPr>
  </w:style>
  <w:style w:type="paragraph" w:styleId="Bibliography">
    <w:name w:val="Bibliography"/>
    <w:basedOn w:val="Normal"/>
    <w:next w:val="Normal"/>
    <w:uiPriority w:val="37"/>
    <w:unhideWhenUsed/>
    <w:rsid w:val="003F54F4"/>
    <w:pPr>
      <w:spacing w:after="24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18</Pages>
  <Words>5624</Words>
  <Characters>32058</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Bona Ventro</cp:lastModifiedBy>
  <cp:revision>25</cp:revision>
  <dcterms:created xsi:type="dcterms:W3CDTF">2023-02-22T06:25:00Z</dcterms:created>
  <dcterms:modified xsi:type="dcterms:W3CDTF">2025-12-29T11:57:00Z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zotero-version="7.0.30"&gt;&lt;session id="PhXMyUUu"/&gt;&lt;style id="http://www.zotero.org/styles/chicago-notes-bibliography-17th-edition" locale="id-ID" hasBibliography="1" bibliographyStyleHasBeenSet="1"/&gt;&lt;prefs&gt;&lt;pref name="fieldType" value</vt:lpwstr>
  </property>
  <property fmtid="{D5CDD505-2E9C-101B-9397-08002B2CF9AE}" pid="24" name="ZOTERO_PREF_2">
    <vt:lpwstr>="Field"/&gt;&lt;pref name="noteType" value="1"/&gt;&lt;/prefs&gt;&lt;/data&gt;</vt:lpwstr>
  </property>
</Properties>
</file>