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BB2E9" w14:textId="4D3E14A7" w:rsidR="00C30472" w:rsidRPr="007531DB" w:rsidRDefault="00AE35FD">
      <w:pPr>
        <w:pBdr>
          <w:top w:val="nil"/>
          <w:left w:val="nil"/>
          <w:bottom w:val="nil"/>
          <w:right w:val="nil"/>
          <w:between w:val="nil"/>
        </w:pBdr>
        <w:tabs>
          <w:tab w:val="left" w:pos="8789"/>
        </w:tabs>
        <w:spacing w:line="276" w:lineRule="auto"/>
        <w:jc w:val="center"/>
        <w:rPr>
          <w:rFonts w:eastAsia="Times New Roman"/>
          <w:color w:val="000000"/>
          <w:sz w:val="22"/>
          <w:szCs w:val="22"/>
          <w:lang w:val="id-ID"/>
        </w:rPr>
      </w:pPr>
      <w:r w:rsidRPr="007531DB">
        <w:rPr>
          <w:noProof/>
          <w:lang w:val="id-ID"/>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7531DB" w14:paraId="709FEF72" w14:textId="77777777" w:rsidTr="00B66877">
        <w:tc>
          <w:tcPr>
            <w:tcW w:w="8789" w:type="dxa"/>
            <w:gridSpan w:val="2"/>
            <w:tcBorders>
              <w:top w:val="single" w:sz="4" w:space="0" w:color="000000"/>
              <w:bottom w:val="single" w:sz="4" w:space="0" w:color="000000"/>
            </w:tcBorders>
          </w:tcPr>
          <w:p w14:paraId="045B5D8E" w14:textId="0A99E6F6" w:rsidR="00C30472" w:rsidRPr="007531DB" w:rsidRDefault="00000000">
            <w:pPr>
              <w:pBdr>
                <w:top w:val="nil"/>
                <w:left w:val="nil"/>
                <w:bottom w:val="nil"/>
                <w:right w:val="nil"/>
                <w:between w:val="nil"/>
              </w:pBdr>
              <w:spacing w:line="276" w:lineRule="auto"/>
              <w:ind w:left="34"/>
              <w:jc w:val="center"/>
              <w:rPr>
                <w:rFonts w:eastAsia="Times New Roman"/>
                <w:b/>
                <w:i/>
                <w:color w:val="000000"/>
                <w:sz w:val="36"/>
                <w:szCs w:val="36"/>
                <w:lang w:val="id-ID"/>
              </w:rPr>
            </w:pPr>
            <w:r w:rsidRPr="007531DB">
              <w:rPr>
                <w:rFonts w:eastAsia="Times New Roman"/>
                <w:b/>
                <w:i/>
                <w:color w:val="000000"/>
                <w:sz w:val="36"/>
                <w:szCs w:val="36"/>
                <w:lang w:val="id-ID"/>
              </w:rPr>
              <w:t xml:space="preserve">Jurnal </w:t>
            </w:r>
            <w:proofErr w:type="spellStart"/>
            <w:r w:rsidRPr="007531DB">
              <w:rPr>
                <w:rFonts w:eastAsia="Times New Roman"/>
                <w:b/>
                <w:i/>
                <w:color w:val="000000"/>
                <w:sz w:val="36"/>
                <w:szCs w:val="36"/>
                <w:lang w:val="id-ID"/>
              </w:rPr>
              <w:t>Arrabona</w:t>
            </w:r>
            <w:proofErr w:type="spellEnd"/>
            <w:r w:rsidRPr="007531DB">
              <w:rPr>
                <w:rFonts w:eastAsia="Times New Roman"/>
                <w:b/>
                <w:i/>
                <w:color w:val="000000"/>
                <w:sz w:val="36"/>
                <w:szCs w:val="36"/>
                <w:lang w:val="id-ID"/>
              </w:rPr>
              <w:t>: Jurnal Teologi dan Misi</w:t>
            </w:r>
            <w:r w:rsidRPr="007531DB">
              <w:rPr>
                <w:rFonts w:eastAsia="Times New Roman"/>
                <w:b/>
                <w:i/>
                <w:color w:val="000000"/>
                <w:sz w:val="28"/>
                <w:szCs w:val="28"/>
                <w:lang w:val="id-ID"/>
              </w:rPr>
              <w:tab/>
            </w:r>
          </w:p>
          <w:p w14:paraId="4020B9F2" w14:textId="2B42DDA6" w:rsidR="00C30472" w:rsidRPr="007531DB" w:rsidRDefault="00F903B5">
            <w:pPr>
              <w:pBdr>
                <w:top w:val="nil"/>
                <w:left w:val="nil"/>
                <w:bottom w:val="nil"/>
                <w:right w:val="nil"/>
                <w:between w:val="nil"/>
              </w:pBdr>
              <w:spacing w:line="276" w:lineRule="auto"/>
              <w:ind w:left="4678"/>
              <w:rPr>
                <w:rFonts w:eastAsia="Times New Roman"/>
                <w:color w:val="000000"/>
                <w:sz w:val="2"/>
                <w:szCs w:val="2"/>
                <w:highlight w:val="black"/>
                <w:lang w:val="id-ID"/>
              </w:rPr>
            </w:pPr>
            <w:r w:rsidRPr="007531DB">
              <w:rPr>
                <w:noProof/>
                <w:lang w:val="id-ID"/>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sidRPr="007531DB">
              <w:rPr>
                <w:rFonts w:eastAsia="Times New Roman"/>
                <w:color w:val="000000"/>
                <w:lang w:val="id-ID"/>
              </w:rPr>
              <w:t>ISSN 2622-5433 (</w:t>
            </w:r>
            <w:proofErr w:type="spellStart"/>
            <w:r w:rsidRPr="007531DB">
              <w:rPr>
                <w:rFonts w:eastAsia="Times New Roman"/>
                <w:color w:val="000000"/>
                <w:lang w:val="id-ID"/>
              </w:rPr>
              <w:t>Print</w:t>
            </w:r>
            <w:proofErr w:type="spellEnd"/>
            <w:r w:rsidRPr="007531DB">
              <w:rPr>
                <w:rFonts w:eastAsia="Times New Roman"/>
                <w:color w:val="000000"/>
                <w:lang w:val="id-ID"/>
              </w:rPr>
              <w:t>)</w:t>
            </w:r>
            <w:r w:rsidRPr="007531DB">
              <w:rPr>
                <w:rFonts w:eastAsia="Times New Roman"/>
                <w:color w:val="000000"/>
                <w:sz w:val="2"/>
                <w:szCs w:val="2"/>
                <w:highlight w:val="black"/>
                <w:lang w:val="id-ID"/>
              </w:rPr>
              <w:t xml:space="preserve"> </w:t>
            </w:r>
          </w:p>
          <w:p w14:paraId="428A5CF2" w14:textId="77777777" w:rsidR="00C30472" w:rsidRPr="007531DB" w:rsidRDefault="00000000">
            <w:pPr>
              <w:pBdr>
                <w:top w:val="nil"/>
                <w:left w:val="nil"/>
                <w:bottom w:val="nil"/>
                <w:right w:val="nil"/>
                <w:between w:val="nil"/>
              </w:pBdr>
              <w:spacing w:line="276" w:lineRule="auto"/>
              <w:ind w:left="4678"/>
              <w:rPr>
                <w:rFonts w:eastAsia="Times New Roman"/>
                <w:color w:val="000000"/>
                <w:sz w:val="2"/>
                <w:szCs w:val="2"/>
                <w:highlight w:val="black"/>
                <w:lang w:val="id-ID"/>
              </w:rPr>
            </w:pPr>
            <w:r w:rsidRPr="007531DB">
              <w:rPr>
                <w:rFonts w:eastAsia="Times New Roman"/>
                <w:color w:val="000000"/>
                <w:lang w:val="id-ID"/>
              </w:rPr>
              <w:t>ISSN 2962-391X (Online)</w:t>
            </w:r>
            <w:r w:rsidRPr="007531DB">
              <w:rPr>
                <w:rFonts w:eastAsia="Times New Roman"/>
                <w:color w:val="000000"/>
                <w:sz w:val="2"/>
                <w:szCs w:val="2"/>
                <w:highlight w:val="black"/>
                <w:lang w:val="id-ID"/>
              </w:rPr>
              <w:t xml:space="preserve"> </w:t>
            </w:r>
          </w:p>
          <w:p w14:paraId="511C7632" w14:textId="77777777" w:rsidR="00C30472" w:rsidRPr="007531DB" w:rsidRDefault="00000000">
            <w:pPr>
              <w:pBdr>
                <w:top w:val="nil"/>
                <w:left w:val="nil"/>
                <w:bottom w:val="nil"/>
                <w:right w:val="nil"/>
                <w:between w:val="nil"/>
              </w:pBdr>
              <w:spacing w:line="276" w:lineRule="auto"/>
              <w:ind w:left="4678"/>
              <w:rPr>
                <w:rFonts w:ascii="Lustria" w:eastAsia="Lustria" w:hAnsi="Lustria" w:cs="Lustria"/>
                <w:color w:val="000000"/>
                <w:sz w:val="20"/>
                <w:szCs w:val="20"/>
                <w:lang w:val="id-ID"/>
              </w:rPr>
            </w:pPr>
            <w:hyperlink r:id="rId9">
              <w:r w:rsidR="00C30472" w:rsidRPr="007531DB">
                <w:rPr>
                  <w:rFonts w:ascii="Lustria" w:eastAsia="Lustria" w:hAnsi="Lustria" w:cs="Lustria"/>
                  <w:color w:val="0000FF"/>
                  <w:sz w:val="20"/>
                  <w:szCs w:val="20"/>
                  <w:u w:val="single"/>
                  <w:lang w:val="id-ID"/>
                </w:rPr>
                <w:t>https://jurnal.sttarrabona.ac.id/JurnalSTTA/</w:t>
              </w:r>
            </w:hyperlink>
          </w:p>
          <w:p w14:paraId="4BEF448A" w14:textId="7D17F5F6" w:rsidR="00C30472" w:rsidRPr="007531DB" w:rsidRDefault="00000000">
            <w:pPr>
              <w:pBdr>
                <w:top w:val="nil"/>
                <w:left w:val="nil"/>
                <w:bottom w:val="nil"/>
                <w:right w:val="nil"/>
                <w:between w:val="nil"/>
              </w:pBdr>
              <w:spacing w:line="276" w:lineRule="auto"/>
              <w:ind w:left="4678"/>
              <w:rPr>
                <w:rFonts w:eastAsia="Times New Roman"/>
                <w:color w:val="000000"/>
                <w:lang w:val="id-ID"/>
              </w:rPr>
            </w:pPr>
            <w:r w:rsidRPr="007531DB">
              <w:rPr>
                <w:rFonts w:eastAsia="Times New Roman"/>
                <w:color w:val="000000"/>
                <w:lang w:val="id-ID"/>
              </w:rPr>
              <w:t>Vol.</w:t>
            </w:r>
            <w:r w:rsidR="00AE35FD" w:rsidRPr="007531DB">
              <w:rPr>
                <w:lang w:val="id-ID"/>
              </w:rPr>
              <w:t>8</w:t>
            </w:r>
            <w:r w:rsidRPr="007531DB">
              <w:rPr>
                <w:rFonts w:eastAsia="Times New Roman"/>
                <w:color w:val="000000"/>
                <w:lang w:val="id-ID"/>
              </w:rPr>
              <w:t>, No.</w:t>
            </w:r>
            <w:r w:rsidR="00273E5A" w:rsidRPr="007531DB">
              <w:rPr>
                <w:rFonts w:eastAsia="Times New Roman"/>
                <w:color w:val="000000"/>
                <w:lang w:val="id-ID"/>
              </w:rPr>
              <w:t>2</w:t>
            </w:r>
            <w:r w:rsidR="00F903B5" w:rsidRPr="007531DB">
              <w:rPr>
                <w:rFonts w:eastAsia="Times New Roman"/>
                <w:color w:val="000000"/>
                <w:lang w:val="id-ID"/>
              </w:rPr>
              <w:t>,</w:t>
            </w:r>
            <w:r w:rsidRPr="007531DB">
              <w:rPr>
                <w:rFonts w:eastAsia="Times New Roman"/>
                <w:color w:val="000000"/>
                <w:lang w:val="id-ID"/>
              </w:rPr>
              <w:t xml:space="preserve"> </w:t>
            </w:r>
            <w:r w:rsidR="00273E5A" w:rsidRPr="007531DB">
              <w:rPr>
                <w:rFonts w:eastAsia="Times New Roman"/>
                <w:color w:val="000000"/>
                <w:lang w:val="id-ID"/>
              </w:rPr>
              <w:t>Februari</w:t>
            </w:r>
            <w:r w:rsidRPr="007531DB">
              <w:rPr>
                <w:rFonts w:eastAsia="Times New Roman"/>
                <w:color w:val="000000"/>
                <w:lang w:val="id-ID"/>
              </w:rPr>
              <w:t xml:space="preserve"> 202</w:t>
            </w:r>
            <w:r w:rsidR="00273E5A" w:rsidRPr="007531DB">
              <w:rPr>
                <w:lang w:val="id-ID"/>
              </w:rPr>
              <w:t>6</w:t>
            </w:r>
          </w:p>
        </w:tc>
        <w:tc>
          <w:tcPr>
            <w:tcW w:w="20" w:type="dxa"/>
            <w:tcBorders>
              <w:top w:val="single" w:sz="4" w:space="0" w:color="000000"/>
              <w:bottom w:val="single" w:sz="4" w:space="0" w:color="000000"/>
            </w:tcBorders>
          </w:tcPr>
          <w:p w14:paraId="35253CF2" w14:textId="77777777" w:rsidR="00C30472" w:rsidRPr="007531DB" w:rsidRDefault="00C30472">
            <w:pPr>
              <w:pBdr>
                <w:top w:val="nil"/>
                <w:left w:val="nil"/>
                <w:bottom w:val="nil"/>
                <w:right w:val="nil"/>
                <w:between w:val="nil"/>
              </w:pBdr>
              <w:spacing w:line="276" w:lineRule="auto"/>
              <w:jc w:val="center"/>
              <w:rPr>
                <w:rFonts w:ascii="Lustria" w:eastAsia="Lustria" w:hAnsi="Lustria" w:cs="Lustria"/>
                <w:color w:val="000000"/>
                <w:sz w:val="18"/>
                <w:szCs w:val="18"/>
                <w:lang w:val="id-ID"/>
              </w:rPr>
            </w:pPr>
          </w:p>
        </w:tc>
      </w:tr>
      <w:tr w:rsidR="00C30472" w:rsidRPr="007531DB"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7531DB" w:rsidRDefault="00F903B5" w:rsidP="00F903B5">
            <w:pPr>
              <w:pBdr>
                <w:top w:val="nil"/>
                <w:left w:val="nil"/>
                <w:bottom w:val="nil"/>
                <w:right w:val="nil"/>
                <w:between w:val="nil"/>
              </w:pBdr>
              <w:spacing w:line="276" w:lineRule="auto"/>
              <w:rPr>
                <w:rFonts w:ascii="Lustria" w:eastAsia="Lustria" w:hAnsi="Lustria" w:cs="Lustria"/>
                <w:b/>
                <w:color w:val="000000"/>
                <w:lang w:val="id-ID"/>
              </w:rPr>
            </w:pPr>
          </w:p>
          <w:p w14:paraId="521C27E9" w14:textId="1EB360DF" w:rsidR="009858BD" w:rsidRPr="007531DB" w:rsidRDefault="00A42303">
            <w:pPr>
              <w:keepNext/>
              <w:pBdr>
                <w:top w:val="nil"/>
                <w:left w:val="nil"/>
                <w:bottom w:val="nil"/>
                <w:right w:val="nil"/>
                <w:between w:val="nil"/>
              </w:pBdr>
              <w:tabs>
                <w:tab w:val="center" w:pos="5189"/>
                <w:tab w:val="left" w:pos="9525"/>
              </w:tabs>
              <w:jc w:val="center"/>
              <w:rPr>
                <w:b/>
                <w:i/>
                <w:color w:val="000000"/>
                <w:sz w:val="28"/>
                <w:szCs w:val="28"/>
                <w:lang w:val="id-ID"/>
              </w:rPr>
            </w:pPr>
            <w:r w:rsidRPr="00A42303">
              <w:rPr>
                <w:b/>
                <w:bCs/>
                <w:sz w:val="30"/>
                <w:szCs w:val="30"/>
                <w:lang w:val="id-ID"/>
              </w:rPr>
              <w:t>Kekudusan dan Panggilan Pelayanan: Refleksi Teologis atas Pergumulan ‘Kelayakan’ dalam Konteks Gereja yang Terbata</w:t>
            </w:r>
            <w:r>
              <w:rPr>
                <w:b/>
                <w:bCs/>
                <w:sz w:val="30"/>
                <w:szCs w:val="30"/>
                <w:lang w:val="id-ID"/>
              </w:rPr>
              <w:t>s</w:t>
            </w:r>
          </w:p>
          <w:p w14:paraId="7056ED19" w14:textId="77777777" w:rsidR="009858BD" w:rsidRPr="007531DB" w:rsidRDefault="009858BD">
            <w:pPr>
              <w:keepNext/>
              <w:pBdr>
                <w:top w:val="nil"/>
                <w:left w:val="nil"/>
                <w:bottom w:val="nil"/>
                <w:right w:val="nil"/>
                <w:between w:val="nil"/>
              </w:pBdr>
              <w:tabs>
                <w:tab w:val="center" w:pos="5189"/>
                <w:tab w:val="left" w:pos="9525"/>
              </w:tabs>
              <w:jc w:val="center"/>
              <w:rPr>
                <w:b/>
                <w:i/>
                <w:color w:val="000000"/>
                <w:sz w:val="28"/>
                <w:szCs w:val="28"/>
                <w:lang w:val="id-ID"/>
              </w:rPr>
            </w:pPr>
          </w:p>
          <w:p w14:paraId="26CF9613" w14:textId="7E472E60" w:rsidR="00AE35FD" w:rsidRPr="007531DB" w:rsidRDefault="00040666">
            <w:pPr>
              <w:keepNext/>
              <w:pBdr>
                <w:top w:val="nil"/>
                <w:left w:val="nil"/>
                <w:bottom w:val="nil"/>
                <w:right w:val="nil"/>
                <w:between w:val="nil"/>
              </w:pBdr>
              <w:tabs>
                <w:tab w:val="center" w:pos="5189"/>
                <w:tab w:val="left" w:pos="9525"/>
              </w:tabs>
              <w:jc w:val="center"/>
              <w:rPr>
                <w:b/>
                <w:i/>
                <w:color w:val="000000"/>
                <w:sz w:val="28"/>
                <w:szCs w:val="28"/>
                <w:lang w:val="id-ID"/>
              </w:rPr>
            </w:pPr>
            <w:proofErr w:type="spellStart"/>
            <w:r w:rsidRPr="007531DB">
              <w:rPr>
                <w:b/>
                <w:i/>
                <w:color w:val="000000"/>
                <w:sz w:val="28"/>
                <w:szCs w:val="28"/>
                <w:vertAlign w:val="superscript"/>
                <w:lang w:val="id-ID"/>
              </w:rPr>
              <w:t>Elvy</w:t>
            </w:r>
            <w:proofErr w:type="spellEnd"/>
            <w:r w:rsidRPr="007531DB">
              <w:rPr>
                <w:b/>
                <w:i/>
                <w:color w:val="000000"/>
                <w:sz w:val="28"/>
                <w:szCs w:val="28"/>
                <w:vertAlign w:val="superscript"/>
                <w:lang w:val="id-ID"/>
              </w:rPr>
              <w:t xml:space="preserve"> Barbara </w:t>
            </w:r>
            <w:proofErr w:type="spellStart"/>
            <w:r w:rsidRPr="007531DB">
              <w:rPr>
                <w:b/>
                <w:i/>
                <w:color w:val="000000"/>
                <w:sz w:val="28"/>
                <w:szCs w:val="28"/>
                <w:vertAlign w:val="superscript"/>
                <w:lang w:val="id-ID"/>
              </w:rPr>
              <w:t>Roosdiana</w:t>
            </w:r>
            <w:proofErr w:type="spellEnd"/>
            <w:r w:rsidRPr="007531DB">
              <w:rPr>
                <w:b/>
                <w:i/>
                <w:color w:val="000000"/>
                <w:sz w:val="28"/>
                <w:szCs w:val="28"/>
                <w:vertAlign w:val="superscript"/>
                <w:lang w:val="id-ID"/>
              </w:rPr>
              <w:t xml:space="preserve"> 1</w:t>
            </w:r>
            <w:r w:rsidRPr="007531DB">
              <w:rPr>
                <w:i/>
                <w:color w:val="000000"/>
                <w:lang w:val="id-ID"/>
              </w:rPr>
              <w:t>*</w:t>
            </w:r>
            <w:r w:rsidRPr="007531DB">
              <w:rPr>
                <w:color w:val="000000"/>
                <w:vertAlign w:val="superscript"/>
                <w:lang w:val="id-ID"/>
              </w:rPr>
              <w:t>)</w:t>
            </w:r>
            <w:r w:rsidRPr="007531DB">
              <w:rPr>
                <w:b/>
                <w:i/>
                <w:color w:val="000000"/>
                <w:sz w:val="28"/>
                <w:szCs w:val="28"/>
                <w:lang w:val="id-ID"/>
              </w:rPr>
              <w:t xml:space="preserve"> </w:t>
            </w:r>
          </w:p>
          <w:p w14:paraId="63AE5820" w14:textId="174F24FA" w:rsidR="00AE35FD" w:rsidRPr="007531DB" w:rsidRDefault="00040666">
            <w:pPr>
              <w:keepNext/>
              <w:pBdr>
                <w:top w:val="nil"/>
                <w:left w:val="nil"/>
                <w:bottom w:val="nil"/>
                <w:right w:val="nil"/>
                <w:between w:val="nil"/>
              </w:pBdr>
              <w:tabs>
                <w:tab w:val="center" w:pos="5189"/>
                <w:tab w:val="left" w:pos="9525"/>
              </w:tabs>
              <w:jc w:val="center"/>
              <w:rPr>
                <w:b/>
                <w:i/>
                <w:color w:val="000000"/>
                <w:sz w:val="28"/>
                <w:szCs w:val="28"/>
                <w:lang w:val="id-ID"/>
              </w:rPr>
            </w:pPr>
            <w:r w:rsidRPr="007531DB">
              <w:rPr>
                <w:b/>
                <w:i/>
                <w:color w:val="000000"/>
                <w:sz w:val="28"/>
                <w:szCs w:val="28"/>
                <w:vertAlign w:val="superscript"/>
                <w:lang w:val="id-ID"/>
              </w:rPr>
              <w:t>Elijah Alexius Salim 2</w:t>
            </w:r>
            <w:r w:rsidRPr="007531DB">
              <w:rPr>
                <w:b/>
                <w:i/>
                <w:color w:val="000000"/>
                <w:sz w:val="28"/>
                <w:szCs w:val="28"/>
                <w:lang w:val="id-ID"/>
              </w:rPr>
              <w:t xml:space="preserve"> </w:t>
            </w:r>
          </w:p>
          <w:p w14:paraId="6EDB9016" w14:textId="74E395DD" w:rsidR="00C30472" w:rsidRPr="007531DB" w:rsidRDefault="00000000">
            <w:pPr>
              <w:jc w:val="center"/>
              <w:rPr>
                <w:lang w:val="id-ID"/>
              </w:rPr>
            </w:pPr>
            <w:r w:rsidRPr="00AA55CF">
              <w:rPr>
                <w:color w:val="000000"/>
                <w:vertAlign w:val="superscript"/>
                <w:lang w:val="id-ID"/>
              </w:rPr>
              <w:t>1</w:t>
            </w:r>
            <w:r w:rsidR="00AA55CF">
              <w:rPr>
                <w:color w:val="000000"/>
                <w:vertAlign w:val="superscript"/>
                <w:lang w:val="id-ID"/>
              </w:rPr>
              <w:t xml:space="preserve">, </w:t>
            </w:r>
            <w:r w:rsidR="00AA55CF" w:rsidRPr="00AA55CF">
              <w:rPr>
                <w:iCs/>
                <w:color w:val="000000"/>
                <w:vertAlign w:val="superscript"/>
                <w:lang w:val="id-ID"/>
              </w:rPr>
              <w:t>2</w:t>
            </w:r>
            <w:r w:rsidRPr="007531DB">
              <w:rPr>
                <w:i/>
                <w:color w:val="000000"/>
                <w:lang w:val="id-ID"/>
              </w:rPr>
              <w:t xml:space="preserve">Sekolah Tinggi Teologi </w:t>
            </w:r>
            <w:r w:rsidR="00040666" w:rsidRPr="007531DB">
              <w:rPr>
                <w:i/>
                <w:color w:val="000000"/>
                <w:lang w:val="id-ID"/>
              </w:rPr>
              <w:t>Bethel Indonesia</w:t>
            </w:r>
          </w:p>
          <w:p w14:paraId="783395F9" w14:textId="528B1CBF" w:rsidR="00C30472" w:rsidRPr="007531DB" w:rsidRDefault="00000000">
            <w:pPr>
              <w:jc w:val="center"/>
              <w:rPr>
                <w:i/>
                <w:color w:val="000000"/>
                <w:lang w:val="id-ID"/>
              </w:rPr>
            </w:pPr>
            <w:r w:rsidRPr="007531DB">
              <w:rPr>
                <w:i/>
                <w:color w:val="000000"/>
                <w:lang w:val="id-ID"/>
              </w:rPr>
              <w:t>*</w:t>
            </w:r>
            <w:r w:rsidRPr="007531DB">
              <w:rPr>
                <w:color w:val="000000"/>
                <w:vertAlign w:val="superscript"/>
                <w:lang w:val="id-ID"/>
              </w:rPr>
              <w:t>)</w:t>
            </w:r>
            <w:r w:rsidRPr="007531DB">
              <w:rPr>
                <w:i/>
                <w:color w:val="000000"/>
                <w:lang w:val="id-ID"/>
              </w:rPr>
              <w:t>Email</w:t>
            </w:r>
            <w:r w:rsidR="00AE35FD" w:rsidRPr="007531DB">
              <w:rPr>
                <w:i/>
                <w:color w:val="000000"/>
                <w:lang w:val="id-ID"/>
              </w:rPr>
              <w:t xml:space="preserve"> </w:t>
            </w:r>
            <w:proofErr w:type="spellStart"/>
            <w:r w:rsidRPr="007531DB">
              <w:rPr>
                <w:i/>
                <w:color w:val="000000"/>
                <w:lang w:val="id-ID"/>
              </w:rPr>
              <w:t>Correspondence</w:t>
            </w:r>
            <w:proofErr w:type="spellEnd"/>
            <w:r w:rsidRPr="007531DB">
              <w:rPr>
                <w:i/>
                <w:color w:val="000000"/>
                <w:lang w:val="id-ID"/>
              </w:rPr>
              <w:t xml:space="preserve">: </w:t>
            </w:r>
            <w:hyperlink r:id="rId10" w:history="1">
              <w:r w:rsidR="006156DC" w:rsidRPr="007531DB">
                <w:rPr>
                  <w:rStyle w:val="Hyperlink"/>
                  <w:i/>
                  <w:lang w:val="id-ID"/>
                </w:rPr>
                <w:t>elvybtoming@gmail.com</w:t>
              </w:r>
            </w:hyperlink>
          </w:p>
          <w:p w14:paraId="3C13B61C" w14:textId="5D3D042B" w:rsidR="006156DC" w:rsidRPr="007531DB" w:rsidRDefault="006156DC">
            <w:pPr>
              <w:jc w:val="center"/>
              <w:rPr>
                <w:lang w:val="id-ID"/>
              </w:rPr>
            </w:pPr>
            <w:r w:rsidRPr="007531DB">
              <w:rPr>
                <w:lang w:val="id-ID"/>
              </w:rPr>
              <w:t xml:space="preserve">                                                  </w:t>
            </w:r>
            <w:hyperlink r:id="rId11" w:history="1">
              <w:r w:rsidRPr="007531DB">
                <w:rPr>
                  <w:rStyle w:val="Hyperlink"/>
                  <w:lang w:val="id-ID"/>
                </w:rPr>
                <w:t>salim0426113753@gmail.com</w:t>
              </w:r>
            </w:hyperlink>
          </w:p>
          <w:p w14:paraId="6E4A43C8" w14:textId="77777777" w:rsidR="006156DC" w:rsidRPr="007531DB" w:rsidRDefault="006156DC">
            <w:pPr>
              <w:jc w:val="center"/>
              <w:rPr>
                <w:lang w:val="id-ID"/>
              </w:rPr>
            </w:pPr>
          </w:p>
          <w:p w14:paraId="6E0D6691" w14:textId="77777777" w:rsidR="00C30472" w:rsidRPr="007531DB" w:rsidRDefault="00C30472">
            <w:pPr>
              <w:pBdr>
                <w:top w:val="nil"/>
                <w:left w:val="nil"/>
                <w:bottom w:val="nil"/>
                <w:right w:val="nil"/>
                <w:between w:val="nil"/>
              </w:pBdr>
              <w:spacing w:line="276" w:lineRule="auto"/>
              <w:jc w:val="both"/>
              <w:rPr>
                <w:rFonts w:ascii="Lustria" w:eastAsia="Lustria" w:hAnsi="Lustria" w:cs="Lustria"/>
                <w:color w:val="000000"/>
                <w:sz w:val="18"/>
                <w:szCs w:val="18"/>
                <w:lang w:val="id-ID"/>
              </w:rPr>
            </w:pPr>
          </w:p>
        </w:tc>
      </w:tr>
      <w:tr w:rsidR="00C30472" w:rsidRPr="007531DB"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7531DB" w:rsidRDefault="00C30472">
            <w:pPr>
              <w:pBdr>
                <w:top w:val="nil"/>
                <w:left w:val="nil"/>
                <w:bottom w:val="nil"/>
                <w:right w:val="nil"/>
                <w:between w:val="nil"/>
              </w:pBdr>
              <w:rPr>
                <w:rFonts w:ascii="Lustria" w:eastAsia="Lustria" w:hAnsi="Lustria" w:cs="Lustria"/>
                <w:b/>
                <w:color w:val="000000"/>
                <w:sz w:val="36"/>
                <w:szCs w:val="36"/>
                <w:vertAlign w:val="subscript"/>
                <w:lang w:val="id-ID"/>
              </w:rPr>
            </w:pPr>
          </w:p>
          <w:p w14:paraId="1DB267A8" w14:textId="77777777" w:rsidR="00C30472" w:rsidRPr="007531DB" w:rsidRDefault="00C30472">
            <w:pPr>
              <w:pBdr>
                <w:top w:val="nil"/>
                <w:left w:val="nil"/>
                <w:bottom w:val="nil"/>
                <w:right w:val="nil"/>
                <w:between w:val="nil"/>
              </w:pBdr>
              <w:rPr>
                <w:rFonts w:ascii="Lustria" w:eastAsia="Lustria" w:hAnsi="Lustria" w:cs="Lustria"/>
                <w:b/>
                <w:color w:val="000000"/>
                <w:sz w:val="36"/>
                <w:szCs w:val="36"/>
                <w:vertAlign w:val="subscript"/>
                <w:lang w:val="id-ID"/>
              </w:rPr>
            </w:pPr>
          </w:p>
          <w:p w14:paraId="603F5027" w14:textId="77777777" w:rsidR="00C30472" w:rsidRPr="007531DB" w:rsidRDefault="00C30472">
            <w:pPr>
              <w:pBdr>
                <w:top w:val="nil"/>
                <w:left w:val="nil"/>
                <w:bottom w:val="nil"/>
                <w:right w:val="nil"/>
                <w:between w:val="nil"/>
              </w:pBdr>
              <w:rPr>
                <w:rFonts w:ascii="Lustria" w:eastAsia="Lustria" w:hAnsi="Lustria" w:cs="Lustria"/>
                <w:b/>
                <w:color w:val="000000"/>
                <w:sz w:val="36"/>
                <w:szCs w:val="36"/>
                <w:vertAlign w:val="subscript"/>
                <w:lang w:val="id-ID"/>
              </w:rPr>
            </w:pPr>
          </w:p>
          <w:p w14:paraId="77F2C3E1" w14:textId="77777777" w:rsidR="00C30472" w:rsidRPr="007531DB" w:rsidRDefault="00C30472">
            <w:pPr>
              <w:pBdr>
                <w:top w:val="nil"/>
                <w:left w:val="nil"/>
                <w:bottom w:val="nil"/>
                <w:right w:val="nil"/>
                <w:between w:val="nil"/>
              </w:pBdr>
              <w:rPr>
                <w:rFonts w:ascii="Lustria" w:eastAsia="Lustria" w:hAnsi="Lustria" w:cs="Lustria"/>
                <w:b/>
                <w:color w:val="000000"/>
                <w:sz w:val="36"/>
                <w:szCs w:val="36"/>
                <w:vertAlign w:val="subscript"/>
                <w:lang w:val="id-ID"/>
              </w:rPr>
            </w:pPr>
          </w:p>
          <w:p w14:paraId="3751752B" w14:textId="77777777" w:rsidR="00C30472" w:rsidRPr="007531DB" w:rsidRDefault="00C30472">
            <w:pPr>
              <w:pBdr>
                <w:top w:val="nil"/>
                <w:left w:val="nil"/>
                <w:bottom w:val="nil"/>
                <w:right w:val="nil"/>
                <w:between w:val="nil"/>
              </w:pBdr>
              <w:rPr>
                <w:rFonts w:ascii="Lustria" w:eastAsia="Lustria" w:hAnsi="Lustria" w:cs="Lustria"/>
                <w:b/>
                <w:color w:val="000000"/>
                <w:sz w:val="36"/>
                <w:szCs w:val="36"/>
                <w:vertAlign w:val="subscript"/>
                <w:lang w:val="id-ID"/>
              </w:rPr>
            </w:pPr>
          </w:p>
          <w:p w14:paraId="4B08B1C9" w14:textId="77777777" w:rsidR="00C30472" w:rsidRPr="007531DB" w:rsidRDefault="00C30472">
            <w:pPr>
              <w:pBdr>
                <w:top w:val="nil"/>
                <w:left w:val="nil"/>
                <w:bottom w:val="nil"/>
                <w:right w:val="nil"/>
                <w:between w:val="nil"/>
              </w:pBdr>
              <w:rPr>
                <w:rFonts w:ascii="Lustria" w:eastAsia="Lustria" w:hAnsi="Lustria" w:cs="Lustria"/>
                <w:b/>
                <w:color w:val="000000"/>
                <w:sz w:val="36"/>
                <w:szCs w:val="36"/>
                <w:vertAlign w:val="subscript"/>
                <w:lang w:val="id-ID"/>
              </w:rPr>
            </w:pPr>
          </w:p>
          <w:p w14:paraId="27994A95" w14:textId="77777777" w:rsidR="00C30472" w:rsidRPr="007531DB" w:rsidRDefault="00000000">
            <w:pPr>
              <w:pBdr>
                <w:top w:val="nil"/>
                <w:left w:val="nil"/>
                <w:bottom w:val="nil"/>
                <w:right w:val="nil"/>
                <w:between w:val="nil"/>
              </w:pBdr>
              <w:rPr>
                <w:rFonts w:ascii="Lustria" w:eastAsia="Lustria" w:hAnsi="Lustria" w:cs="Lustria"/>
                <w:color w:val="000000"/>
                <w:sz w:val="36"/>
                <w:szCs w:val="36"/>
                <w:vertAlign w:val="subscript"/>
                <w:lang w:val="id-ID"/>
              </w:rPr>
            </w:pPr>
            <w:r w:rsidRPr="007531DB">
              <w:rPr>
                <w:rFonts w:ascii="Lustria" w:eastAsia="Lustria" w:hAnsi="Lustria" w:cs="Lustria"/>
                <w:b/>
                <w:color w:val="000000"/>
                <w:sz w:val="36"/>
                <w:szCs w:val="36"/>
                <w:vertAlign w:val="subscript"/>
                <w:lang w:val="id-ID"/>
              </w:rPr>
              <w:t>INFO ARTIKEL</w:t>
            </w:r>
          </w:p>
          <w:p w14:paraId="3ECEF272" w14:textId="03122D4B" w:rsidR="00C30472" w:rsidRPr="007531DB" w:rsidRDefault="00000000">
            <w:pPr>
              <w:pBdr>
                <w:top w:val="nil"/>
                <w:left w:val="nil"/>
                <w:bottom w:val="nil"/>
                <w:right w:val="nil"/>
                <w:between w:val="nil"/>
              </w:pBdr>
              <w:spacing w:line="276" w:lineRule="auto"/>
              <w:rPr>
                <w:rFonts w:ascii="Lustria" w:eastAsia="Lustria" w:hAnsi="Lustria" w:cs="Lustria"/>
                <w:color w:val="000000"/>
                <w:sz w:val="20"/>
                <w:szCs w:val="20"/>
                <w:lang w:val="id-ID"/>
              </w:rPr>
            </w:pPr>
            <w:r w:rsidRPr="007531DB">
              <w:rPr>
                <w:rFonts w:ascii="Lustria" w:eastAsia="Lustria" w:hAnsi="Lustria" w:cs="Lustria"/>
                <w:color w:val="000000"/>
                <w:sz w:val="20"/>
                <w:szCs w:val="20"/>
                <w:lang w:val="id-ID"/>
              </w:rPr>
              <w:t>____________________</w:t>
            </w:r>
          </w:p>
          <w:p w14:paraId="2437E1B9" w14:textId="77777777" w:rsidR="00C30472" w:rsidRPr="007531DB" w:rsidRDefault="00000000" w:rsidP="00273E5A">
            <w:pPr>
              <w:pBdr>
                <w:top w:val="nil"/>
                <w:left w:val="nil"/>
                <w:bottom w:val="nil"/>
                <w:right w:val="nil"/>
                <w:between w:val="nil"/>
              </w:pBdr>
              <w:rPr>
                <w:rFonts w:eastAsia="Times New Roman"/>
                <w:color w:val="000000"/>
                <w:sz w:val="36"/>
                <w:szCs w:val="36"/>
                <w:vertAlign w:val="subscript"/>
                <w:lang w:val="id-ID"/>
              </w:rPr>
            </w:pPr>
            <w:r w:rsidRPr="007531DB">
              <w:rPr>
                <w:rFonts w:eastAsia="Times New Roman"/>
                <w:i/>
                <w:color w:val="000000"/>
                <w:sz w:val="36"/>
                <w:szCs w:val="36"/>
                <w:vertAlign w:val="subscript"/>
                <w:lang w:val="id-ID"/>
              </w:rPr>
              <w:t>Sejarah Artikel:</w:t>
            </w:r>
          </w:p>
          <w:p w14:paraId="0EDB35AD" w14:textId="440B6432" w:rsidR="00C30472" w:rsidRPr="007531DB" w:rsidRDefault="00000000" w:rsidP="00273E5A">
            <w:pPr>
              <w:pBdr>
                <w:top w:val="nil"/>
                <w:left w:val="nil"/>
                <w:bottom w:val="nil"/>
                <w:right w:val="nil"/>
                <w:between w:val="nil"/>
              </w:pBdr>
              <w:rPr>
                <w:rFonts w:eastAsia="Times New Roman"/>
                <w:color w:val="000000"/>
                <w:sz w:val="36"/>
                <w:szCs w:val="36"/>
                <w:vertAlign w:val="subscript"/>
                <w:lang w:val="id-ID"/>
              </w:rPr>
            </w:pPr>
            <w:r w:rsidRPr="007531DB">
              <w:rPr>
                <w:rFonts w:eastAsia="Times New Roman"/>
                <w:color w:val="000000"/>
                <w:sz w:val="36"/>
                <w:szCs w:val="36"/>
                <w:vertAlign w:val="subscript"/>
                <w:lang w:val="id-ID"/>
              </w:rPr>
              <w:t xml:space="preserve">Diterima: </w:t>
            </w:r>
            <w:r w:rsidR="00273E5A" w:rsidRPr="007531DB">
              <w:rPr>
                <w:rFonts w:eastAsia="Times New Roman"/>
                <w:color w:val="000000"/>
                <w:sz w:val="36"/>
                <w:szCs w:val="36"/>
                <w:vertAlign w:val="subscript"/>
                <w:lang w:val="id-ID"/>
              </w:rPr>
              <w:t>00/11/</w:t>
            </w:r>
            <w:r w:rsidRPr="007531DB">
              <w:rPr>
                <w:rFonts w:eastAsia="Times New Roman"/>
                <w:color w:val="000000"/>
                <w:sz w:val="36"/>
                <w:szCs w:val="36"/>
                <w:vertAlign w:val="subscript"/>
                <w:lang w:val="id-ID"/>
              </w:rPr>
              <w:t>202</w:t>
            </w:r>
            <w:r w:rsidR="00273E5A" w:rsidRPr="007531DB">
              <w:rPr>
                <w:rFonts w:eastAsia="Times New Roman"/>
                <w:color w:val="000000"/>
                <w:sz w:val="36"/>
                <w:szCs w:val="36"/>
                <w:vertAlign w:val="subscript"/>
                <w:lang w:val="id-ID"/>
              </w:rPr>
              <w:t>6</w:t>
            </w:r>
          </w:p>
          <w:p w14:paraId="0AA6DB8F" w14:textId="65D3D03A" w:rsidR="00C30472" w:rsidRPr="007531DB" w:rsidRDefault="00000000" w:rsidP="00273E5A">
            <w:pPr>
              <w:pBdr>
                <w:top w:val="nil"/>
                <w:left w:val="nil"/>
                <w:bottom w:val="nil"/>
                <w:right w:val="nil"/>
                <w:between w:val="nil"/>
              </w:pBdr>
              <w:rPr>
                <w:rFonts w:eastAsia="Times New Roman"/>
                <w:color w:val="000000"/>
                <w:sz w:val="36"/>
                <w:szCs w:val="36"/>
                <w:vertAlign w:val="subscript"/>
                <w:lang w:val="id-ID"/>
              </w:rPr>
            </w:pPr>
            <w:r w:rsidRPr="007531DB">
              <w:rPr>
                <w:rFonts w:eastAsia="Times New Roman"/>
                <w:color w:val="000000"/>
                <w:sz w:val="36"/>
                <w:szCs w:val="36"/>
                <w:vertAlign w:val="subscript"/>
                <w:lang w:val="id-ID"/>
              </w:rPr>
              <w:t xml:space="preserve">Direvisi: </w:t>
            </w:r>
            <w:r w:rsidR="00273E5A" w:rsidRPr="007531DB">
              <w:rPr>
                <w:rFonts w:eastAsia="Times New Roman"/>
                <w:color w:val="000000"/>
                <w:sz w:val="36"/>
                <w:szCs w:val="36"/>
                <w:vertAlign w:val="subscript"/>
                <w:lang w:val="id-ID"/>
              </w:rPr>
              <w:t>11/01/</w:t>
            </w:r>
            <w:r w:rsidRPr="007531DB">
              <w:rPr>
                <w:rFonts w:eastAsia="Times New Roman"/>
                <w:color w:val="000000"/>
                <w:sz w:val="36"/>
                <w:szCs w:val="36"/>
                <w:vertAlign w:val="subscript"/>
                <w:lang w:val="id-ID"/>
              </w:rPr>
              <w:t>202</w:t>
            </w:r>
            <w:r w:rsidR="00273E5A" w:rsidRPr="007531DB">
              <w:rPr>
                <w:rFonts w:eastAsia="Times New Roman"/>
                <w:color w:val="000000"/>
                <w:sz w:val="36"/>
                <w:szCs w:val="36"/>
                <w:vertAlign w:val="subscript"/>
                <w:lang w:val="id-ID"/>
              </w:rPr>
              <w:t>6</w:t>
            </w:r>
          </w:p>
          <w:p w14:paraId="3E41A8C8" w14:textId="2AB3136B" w:rsidR="00C30472" w:rsidRPr="007531DB" w:rsidRDefault="00000000" w:rsidP="00273E5A">
            <w:pPr>
              <w:pBdr>
                <w:top w:val="nil"/>
                <w:left w:val="nil"/>
                <w:bottom w:val="nil"/>
                <w:right w:val="nil"/>
                <w:between w:val="nil"/>
              </w:pBdr>
              <w:rPr>
                <w:rFonts w:eastAsia="Times New Roman"/>
                <w:color w:val="000000"/>
                <w:sz w:val="33"/>
                <w:szCs w:val="33"/>
                <w:vertAlign w:val="subscript"/>
                <w:lang w:val="id-ID"/>
              </w:rPr>
            </w:pPr>
            <w:r w:rsidRPr="007531DB">
              <w:rPr>
                <w:rFonts w:eastAsia="Times New Roman"/>
                <w:color w:val="000000"/>
                <w:sz w:val="33"/>
                <w:szCs w:val="33"/>
                <w:vertAlign w:val="subscript"/>
                <w:lang w:val="id-ID"/>
              </w:rPr>
              <w:t xml:space="preserve">Disetujui: </w:t>
            </w:r>
            <w:r w:rsidR="00273E5A" w:rsidRPr="007531DB">
              <w:rPr>
                <w:rFonts w:eastAsia="Times New Roman"/>
                <w:color w:val="000000"/>
                <w:sz w:val="33"/>
                <w:szCs w:val="33"/>
                <w:vertAlign w:val="subscript"/>
                <w:lang w:val="id-ID"/>
              </w:rPr>
              <w:t>01/02/</w:t>
            </w:r>
            <w:r w:rsidRPr="007531DB">
              <w:rPr>
                <w:rFonts w:eastAsia="Times New Roman"/>
                <w:color w:val="000000"/>
                <w:sz w:val="33"/>
                <w:szCs w:val="33"/>
                <w:vertAlign w:val="subscript"/>
                <w:lang w:val="id-ID"/>
              </w:rPr>
              <w:t>202</w:t>
            </w:r>
            <w:r w:rsidR="00273E5A" w:rsidRPr="007531DB">
              <w:rPr>
                <w:rFonts w:eastAsia="Times New Roman"/>
                <w:color w:val="000000"/>
                <w:sz w:val="33"/>
                <w:szCs w:val="33"/>
                <w:vertAlign w:val="subscript"/>
                <w:lang w:val="id-ID"/>
              </w:rPr>
              <w:t>6</w:t>
            </w:r>
          </w:p>
          <w:p w14:paraId="77F4E475" w14:textId="423F8DA9" w:rsidR="00C30472" w:rsidRPr="007531DB" w:rsidRDefault="00000000" w:rsidP="00273E5A">
            <w:pPr>
              <w:pBdr>
                <w:top w:val="nil"/>
                <w:left w:val="nil"/>
                <w:bottom w:val="nil"/>
                <w:right w:val="nil"/>
                <w:between w:val="nil"/>
              </w:pBdr>
              <w:rPr>
                <w:rFonts w:eastAsia="Times New Roman"/>
                <w:color w:val="000000"/>
                <w:sz w:val="33"/>
                <w:szCs w:val="33"/>
                <w:vertAlign w:val="subscript"/>
                <w:lang w:val="id-ID"/>
              </w:rPr>
            </w:pPr>
            <w:r w:rsidRPr="007531DB">
              <w:rPr>
                <w:rFonts w:eastAsia="Times New Roman"/>
                <w:color w:val="000000"/>
                <w:sz w:val="33"/>
                <w:szCs w:val="33"/>
                <w:vertAlign w:val="subscript"/>
                <w:lang w:val="id-ID"/>
              </w:rPr>
              <w:t xml:space="preserve">Dipublikasi: </w:t>
            </w:r>
            <w:r w:rsidR="00273E5A" w:rsidRPr="007531DB">
              <w:rPr>
                <w:rFonts w:eastAsia="Times New Roman"/>
                <w:color w:val="000000"/>
                <w:sz w:val="33"/>
                <w:szCs w:val="33"/>
                <w:vertAlign w:val="subscript"/>
                <w:lang w:val="id-ID"/>
              </w:rPr>
              <w:t>28/01/</w:t>
            </w:r>
            <w:r w:rsidRPr="007531DB">
              <w:rPr>
                <w:rFonts w:eastAsia="Times New Roman"/>
                <w:color w:val="000000"/>
                <w:sz w:val="33"/>
                <w:szCs w:val="33"/>
                <w:vertAlign w:val="subscript"/>
                <w:lang w:val="id-ID"/>
              </w:rPr>
              <w:t>202</w:t>
            </w:r>
            <w:r w:rsidR="00273E5A" w:rsidRPr="007531DB">
              <w:rPr>
                <w:rFonts w:eastAsia="Times New Roman"/>
                <w:color w:val="000000"/>
                <w:sz w:val="33"/>
                <w:szCs w:val="33"/>
                <w:vertAlign w:val="subscript"/>
                <w:lang w:val="id-ID"/>
              </w:rPr>
              <w:t>5</w:t>
            </w:r>
          </w:p>
          <w:p w14:paraId="08ED5A9D" w14:textId="6B60454C" w:rsidR="00C30472" w:rsidRPr="007531DB" w:rsidRDefault="00000000">
            <w:pPr>
              <w:pBdr>
                <w:top w:val="nil"/>
                <w:left w:val="nil"/>
                <w:bottom w:val="nil"/>
                <w:right w:val="nil"/>
                <w:between w:val="nil"/>
              </w:pBdr>
              <w:spacing w:line="276" w:lineRule="auto"/>
              <w:rPr>
                <w:rFonts w:ascii="Lustria" w:eastAsia="Lustria" w:hAnsi="Lustria" w:cs="Lustria"/>
                <w:color w:val="000000"/>
                <w:sz w:val="16"/>
                <w:szCs w:val="16"/>
                <w:lang w:val="id-ID"/>
              </w:rPr>
            </w:pPr>
            <w:r w:rsidRPr="007531DB">
              <w:rPr>
                <w:rFonts w:ascii="Lustria" w:eastAsia="Lustria" w:hAnsi="Lustria" w:cs="Lustria"/>
                <w:color w:val="000000"/>
                <w:sz w:val="16"/>
                <w:szCs w:val="16"/>
                <w:lang w:val="id-ID"/>
              </w:rPr>
              <w:t>_________________________</w:t>
            </w:r>
          </w:p>
          <w:p w14:paraId="14B9E120" w14:textId="77777777" w:rsidR="00C30472" w:rsidRPr="007531DB" w:rsidRDefault="00C30472">
            <w:pPr>
              <w:pBdr>
                <w:top w:val="nil"/>
                <w:left w:val="nil"/>
                <w:bottom w:val="nil"/>
                <w:right w:val="nil"/>
                <w:between w:val="nil"/>
              </w:pBdr>
              <w:spacing w:line="276" w:lineRule="auto"/>
              <w:rPr>
                <w:rFonts w:ascii="Lustria" w:eastAsia="Lustria" w:hAnsi="Lustria" w:cs="Lustria"/>
                <w:i/>
                <w:color w:val="000000"/>
                <w:sz w:val="16"/>
                <w:szCs w:val="16"/>
                <w:lang w:val="id-ID"/>
              </w:rPr>
            </w:pPr>
          </w:p>
        </w:tc>
        <w:tc>
          <w:tcPr>
            <w:tcW w:w="6629" w:type="dxa"/>
            <w:tcBorders>
              <w:top w:val="single" w:sz="4" w:space="0" w:color="000000"/>
              <w:bottom w:val="single" w:sz="4" w:space="0" w:color="000000"/>
            </w:tcBorders>
          </w:tcPr>
          <w:p w14:paraId="39FE42EB" w14:textId="77777777" w:rsidR="00C30472" w:rsidRPr="007531DB" w:rsidRDefault="00000000">
            <w:pPr>
              <w:pBdr>
                <w:top w:val="nil"/>
                <w:left w:val="nil"/>
                <w:bottom w:val="nil"/>
                <w:right w:val="nil"/>
                <w:between w:val="nil"/>
              </w:pBdr>
              <w:spacing w:line="276" w:lineRule="auto"/>
              <w:rPr>
                <w:rFonts w:ascii="Lustria" w:eastAsia="Lustria" w:hAnsi="Lustria" w:cs="Lustria"/>
                <w:color w:val="000000"/>
                <w:lang w:val="id-ID"/>
              </w:rPr>
            </w:pPr>
            <w:r w:rsidRPr="007531DB">
              <w:rPr>
                <w:rFonts w:ascii="Lustria" w:eastAsia="Lustria" w:hAnsi="Lustria" w:cs="Lustria"/>
                <w:b/>
                <w:color w:val="000000"/>
                <w:sz w:val="36"/>
                <w:szCs w:val="36"/>
                <w:vertAlign w:val="subscript"/>
                <w:lang w:val="id-ID"/>
              </w:rPr>
              <w:t>ABSTRAK</w:t>
            </w:r>
          </w:p>
          <w:p w14:paraId="3A146C76" w14:textId="2FCCBD4F" w:rsidR="003A4350" w:rsidRPr="007531DB" w:rsidRDefault="00F42D31">
            <w:pPr>
              <w:pBdr>
                <w:top w:val="nil"/>
                <w:left w:val="nil"/>
                <w:bottom w:val="nil"/>
                <w:right w:val="nil"/>
                <w:between w:val="nil"/>
              </w:pBdr>
              <w:jc w:val="both"/>
              <w:rPr>
                <w:rFonts w:eastAsia="Times New Roman"/>
                <w:color w:val="000000"/>
                <w:sz w:val="22"/>
                <w:szCs w:val="22"/>
                <w:lang w:val="id-ID"/>
              </w:rPr>
            </w:pPr>
            <w:r w:rsidRPr="00F42D31">
              <w:rPr>
                <w:rFonts w:eastAsia="Times New Roman"/>
                <w:color w:val="000000"/>
                <w:sz w:val="22"/>
                <w:szCs w:val="22"/>
                <w:lang w:val="id-ID"/>
              </w:rPr>
              <w:t xml:space="preserve">Kajian ini berangkat dari kekudusan yang dianggap sebagai yang kaku, di mana relasi antara kekudusan dan panggilan pelayanan dalam terang pergumulan tentang </w:t>
            </w:r>
            <w:r>
              <w:rPr>
                <w:rFonts w:eastAsia="Times New Roman"/>
                <w:color w:val="000000"/>
                <w:sz w:val="22"/>
                <w:szCs w:val="22"/>
                <w:lang w:val="id-ID"/>
              </w:rPr>
              <w:t>‘</w:t>
            </w:r>
            <w:r w:rsidRPr="00F42D31">
              <w:rPr>
                <w:rFonts w:eastAsia="Times New Roman"/>
                <w:color w:val="000000"/>
                <w:sz w:val="22"/>
                <w:szCs w:val="22"/>
                <w:lang w:val="id-ID"/>
              </w:rPr>
              <w:t>kelayakan</w:t>
            </w:r>
            <w:r>
              <w:rPr>
                <w:rFonts w:eastAsia="Times New Roman"/>
                <w:color w:val="000000"/>
                <w:sz w:val="22"/>
                <w:szCs w:val="22"/>
                <w:lang w:val="id-ID"/>
              </w:rPr>
              <w:t>’</w:t>
            </w:r>
            <w:r w:rsidRPr="00F42D31">
              <w:rPr>
                <w:rFonts w:eastAsia="Times New Roman"/>
                <w:color w:val="000000"/>
                <w:sz w:val="22"/>
                <w:szCs w:val="22"/>
                <w:lang w:val="id-ID"/>
              </w:rPr>
              <w:t xml:space="preserve"> yang sering muncul di tengah konteks gereja yang terbatas</w:t>
            </w:r>
            <w:r>
              <w:rPr>
                <w:rFonts w:eastAsia="Times New Roman"/>
                <w:color w:val="000000"/>
                <w:sz w:val="22"/>
                <w:szCs w:val="22"/>
                <w:lang w:val="id-ID"/>
              </w:rPr>
              <w:t xml:space="preserve">. </w:t>
            </w:r>
            <w:r w:rsidR="007B4135">
              <w:rPr>
                <w:rFonts w:eastAsia="Times New Roman"/>
                <w:color w:val="000000"/>
                <w:sz w:val="22"/>
                <w:szCs w:val="22"/>
                <w:lang w:val="id-ID"/>
              </w:rPr>
              <w:t>Penelitian ini dilaksanakan dengan metode kualitatif dengan pendekatan studi pustaka.</w:t>
            </w:r>
            <w:r w:rsidR="002245F9">
              <w:rPr>
                <w:rFonts w:eastAsia="Times New Roman"/>
                <w:color w:val="000000"/>
                <w:sz w:val="22"/>
                <w:szCs w:val="22"/>
                <w:lang w:val="id-ID"/>
              </w:rPr>
              <w:t xml:space="preserve"> </w:t>
            </w:r>
            <w:r w:rsidR="004D50CA">
              <w:rPr>
                <w:rFonts w:eastAsia="Times New Roman"/>
                <w:color w:val="000000"/>
                <w:sz w:val="22"/>
                <w:szCs w:val="22"/>
                <w:lang w:val="id-ID"/>
              </w:rPr>
              <w:t xml:space="preserve">Data-data disajikan  dalam bentuk naratif teks yang membantu </w:t>
            </w:r>
            <w:r w:rsidR="000C73EB">
              <w:rPr>
                <w:rFonts w:eastAsia="Times New Roman"/>
                <w:color w:val="000000"/>
                <w:sz w:val="22"/>
                <w:szCs w:val="22"/>
                <w:lang w:val="id-ID"/>
              </w:rPr>
              <w:t xml:space="preserve">secara detail. </w:t>
            </w:r>
            <w:r w:rsidR="00F340A4">
              <w:rPr>
                <w:rFonts w:eastAsia="Times New Roman"/>
                <w:color w:val="000000"/>
                <w:sz w:val="22"/>
                <w:szCs w:val="22"/>
                <w:lang w:val="id-ID"/>
              </w:rPr>
              <w:t>Ditemukan dalam penelitian bahwa kekudusan dalam pelayanan adalah hal yang mutlak. Seorang pelayan harus menjaga dirinya dan memelihara kekudusan tersebut.</w:t>
            </w:r>
            <w:r w:rsidR="006A2B36">
              <w:rPr>
                <w:rFonts w:eastAsia="Times New Roman"/>
                <w:color w:val="000000"/>
                <w:sz w:val="22"/>
                <w:szCs w:val="22"/>
                <w:lang w:val="id-ID"/>
              </w:rPr>
              <w:t xml:space="preserve"> Selain itu, kekudusan bukan menjadi tujuan final, melainkan perjalanan iman seorang. </w:t>
            </w:r>
          </w:p>
          <w:p w14:paraId="1D3E9357" w14:textId="77777777" w:rsidR="00C30472" w:rsidRPr="007531DB" w:rsidRDefault="00000000">
            <w:pPr>
              <w:pBdr>
                <w:top w:val="nil"/>
                <w:left w:val="nil"/>
                <w:bottom w:val="nil"/>
                <w:right w:val="nil"/>
                <w:between w:val="nil"/>
              </w:pBdr>
              <w:spacing w:line="276" w:lineRule="auto"/>
              <w:jc w:val="both"/>
              <w:rPr>
                <w:rFonts w:eastAsia="Times New Roman"/>
                <w:color w:val="000000"/>
                <w:sz w:val="22"/>
                <w:szCs w:val="22"/>
                <w:lang w:val="id-ID"/>
              </w:rPr>
            </w:pPr>
            <w:r w:rsidRPr="007531DB">
              <w:rPr>
                <w:rFonts w:eastAsia="Times New Roman"/>
                <w:color w:val="000000"/>
                <w:sz w:val="22"/>
                <w:szCs w:val="22"/>
                <w:lang w:val="id-ID"/>
              </w:rPr>
              <w:t>___________________________________________________________</w:t>
            </w:r>
          </w:p>
          <w:p w14:paraId="04A73A90" w14:textId="77777777" w:rsidR="00C30472" w:rsidRPr="007531DB" w:rsidRDefault="00000000">
            <w:pPr>
              <w:pBdr>
                <w:top w:val="nil"/>
                <w:left w:val="nil"/>
                <w:bottom w:val="nil"/>
                <w:right w:val="nil"/>
                <w:between w:val="nil"/>
              </w:pBdr>
              <w:rPr>
                <w:rFonts w:eastAsia="Times New Roman"/>
                <w:b/>
                <w:i/>
                <w:color w:val="000000"/>
                <w:sz w:val="22"/>
                <w:szCs w:val="22"/>
                <w:lang w:val="id-ID"/>
              </w:rPr>
            </w:pPr>
            <w:r w:rsidRPr="007531DB">
              <w:rPr>
                <w:rFonts w:eastAsia="Times New Roman"/>
                <w:b/>
                <w:i/>
                <w:color w:val="000000"/>
                <w:sz w:val="22"/>
                <w:szCs w:val="22"/>
                <w:lang w:val="id-ID"/>
              </w:rPr>
              <w:t>Kata Kunci:</w:t>
            </w:r>
          </w:p>
          <w:p w14:paraId="71E2798F" w14:textId="6512BEC6" w:rsidR="00C30472" w:rsidRPr="007531DB" w:rsidRDefault="00DE3421">
            <w:pPr>
              <w:pBdr>
                <w:top w:val="nil"/>
                <w:left w:val="nil"/>
                <w:bottom w:val="nil"/>
                <w:right w:val="nil"/>
                <w:between w:val="nil"/>
              </w:pBdr>
              <w:spacing w:line="276" w:lineRule="auto"/>
              <w:rPr>
                <w:rFonts w:eastAsia="Times New Roman"/>
                <w:color w:val="000000"/>
                <w:sz w:val="22"/>
                <w:szCs w:val="22"/>
                <w:lang w:val="id-ID"/>
              </w:rPr>
            </w:pPr>
            <w:r w:rsidRPr="00DE3421">
              <w:rPr>
                <w:rFonts w:eastAsia="Times New Roman"/>
                <w:color w:val="000000"/>
                <w:sz w:val="22"/>
                <w:szCs w:val="22"/>
                <w:lang w:val="id-ID"/>
              </w:rPr>
              <w:t xml:space="preserve">Kekudusan; Gereja; Panggilan; Pelayan </w:t>
            </w:r>
            <w:r w:rsidRPr="007531DB">
              <w:rPr>
                <w:rFonts w:eastAsia="Times New Roman"/>
                <w:color w:val="000000"/>
                <w:sz w:val="22"/>
                <w:szCs w:val="22"/>
                <w:lang w:val="id-ID"/>
              </w:rPr>
              <w:t>___________________________________________________________</w:t>
            </w:r>
          </w:p>
          <w:p w14:paraId="185E54D8" w14:textId="77777777" w:rsidR="00C30472" w:rsidRPr="007531DB" w:rsidRDefault="00C30472">
            <w:pPr>
              <w:pBdr>
                <w:top w:val="nil"/>
                <w:left w:val="nil"/>
                <w:bottom w:val="nil"/>
                <w:right w:val="nil"/>
                <w:between w:val="nil"/>
              </w:pBdr>
              <w:spacing w:line="276" w:lineRule="auto"/>
              <w:jc w:val="both"/>
              <w:rPr>
                <w:rFonts w:eastAsia="Times New Roman"/>
                <w:color w:val="000000"/>
                <w:sz w:val="22"/>
                <w:szCs w:val="22"/>
                <w:lang w:val="id-ID"/>
              </w:rPr>
            </w:pPr>
          </w:p>
          <w:p w14:paraId="75E9998A" w14:textId="77777777" w:rsidR="00C30472" w:rsidRPr="007531DB" w:rsidRDefault="00000000">
            <w:pPr>
              <w:pBdr>
                <w:top w:val="nil"/>
                <w:left w:val="nil"/>
                <w:bottom w:val="nil"/>
                <w:right w:val="nil"/>
                <w:between w:val="nil"/>
              </w:pBdr>
              <w:spacing w:line="276" w:lineRule="auto"/>
              <w:jc w:val="both"/>
              <w:rPr>
                <w:rFonts w:eastAsia="Times New Roman"/>
                <w:b/>
                <w:i/>
                <w:color w:val="000000"/>
                <w:sz w:val="36"/>
                <w:szCs w:val="36"/>
                <w:vertAlign w:val="subscript"/>
                <w:lang w:val="id-ID"/>
              </w:rPr>
            </w:pPr>
            <w:r w:rsidRPr="007531DB">
              <w:rPr>
                <w:rFonts w:eastAsia="Times New Roman"/>
                <w:b/>
                <w:i/>
                <w:color w:val="000000"/>
                <w:sz w:val="36"/>
                <w:szCs w:val="36"/>
                <w:vertAlign w:val="subscript"/>
                <w:lang w:val="id-ID"/>
              </w:rPr>
              <w:t>ABSTRACT</w:t>
            </w:r>
          </w:p>
          <w:p w14:paraId="1DB43061" w14:textId="77777777" w:rsidR="00C30472" w:rsidRPr="007531DB" w:rsidRDefault="00000000">
            <w:pPr>
              <w:pBdr>
                <w:top w:val="nil"/>
                <w:left w:val="nil"/>
                <w:bottom w:val="nil"/>
                <w:right w:val="nil"/>
                <w:between w:val="nil"/>
              </w:pBdr>
              <w:spacing w:line="276" w:lineRule="auto"/>
              <w:jc w:val="both"/>
              <w:rPr>
                <w:rFonts w:eastAsia="Times New Roman"/>
                <w:b/>
                <w:i/>
                <w:color w:val="000000"/>
                <w:sz w:val="36"/>
                <w:szCs w:val="36"/>
                <w:vertAlign w:val="subscript"/>
                <w:lang w:val="id-ID"/>
              </w:rPr>
            </w:pPr>
            <w:r w:rsidRPr="007531DB">
              <w:rPr>
                <w:rFonts w:eastAsia="Times New Roman"/>
                <w:color w:val="000000"/>
                <w:sz w:val="22"/>
                <w:szCs w:val="22"/>
                <w:lang w:val="id-ID"/>
              </w:rPr>
              <w:t>___________________________________________________________</w:t>
            </w:r>
          </w:p>
          <w:p w14:paraId="44D1E0EB" w14:textId="7FFA33D7" w:rsidR="003A4350" w:rsidRPr="007531DB" w:rsidRDefault="000C73EB" w:rsidP="000C73EB">
            <w:pPr>
              <w:pBdr>
                <w:top w:val="nil"/>
                <w:left w:val="nil"/>
                <w:bottom w:val="nil"/>
                <w:right w:val="nil"/>
                <w:between w:val="nil"/>
              </w:pBdr>
              <w:jc w:val="both"/>
              <w:rPr>
                <w:rFonts w:eastAsia="Times New Roman"/>
                <w:i/>
                <w:color w:val="000000"/>
                <w:sz w:val="22"/>
                <w:szCs w:val="22"/>
                <w:lang w:val="id-ID"/>
              </w:rPr>
            </w:pPr>
            <w:proofErr w:type="spellStart"/>
            <w:r w:rsidRPr="000C73EB">
              <w:rPr>
                <w:rFonts w:eastAsia="Times New Roman"/>
                <w:i/>
                <w:color w:val="000000"/>
                <w:sz w:val="22"/>
                <w:szCs w:val="22"/>
                <w:lang w:val="id-ID"/>
              </w:rPr>
              <w:t>This</w:t>
            </w:r>
            <w:proofErr w:type="spellEnd"/>
            <w:r w:rsidRPr="000C73EB">
              <w:rPr>
                <w:rFonts w:eastAsia="Times New Roman"/>
                <w:i/>
                <w:color w:val="000000"/>
                <w:sz w:val="22"/>
                <w:szCs w:val="22"/>
                <w:lang w:val="id-ID"/>
              </w:rPr>
              <w:t xml:space="preserve"> study </w:t>
            </w:r>
            <w:proofErr w:type="spellStart"/>
            <w:r w:rsidRPr="000C73EB">
              <w:rPr>
                <w:rFonts w:eastAsia="Times New Roman"/>
                <w:i/>
                <w:color w:val="000000"/>
                <w:sz w:val="22"/>
                <w:szCs w:val="22"/>
                <w:lang w:val="id-ID"/>
              </w:rPr>
              <w:t>begins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with</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perceived</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rigidity</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of</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holiness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examining</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relationship</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between</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holiness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and</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calling</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to</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ministry</w:t>
            </w:r>
            <w:proofErr w:type="spellEnd"/>
            <w:r w:rsidRPr="000C73EB">
              <w:rPr>
                <w:rFonts w:eastAsia="Times New Roman"/>
                <w:i/>
                <w:color w:val="000000"/>
                <w:sz w:val="22"/>
                <w:szCs w:val="22"/>
                <w:lang w:val="id-ID"/>
              </w:rPr>
              <w:t xml:space="preserve"> in </w:t>
            </w:r>
            <w:proofErr w:type="spellStart"/>
            <w:r w:rsidRPr="000C73EB">
              <w:rPr>
                <w:rFonts w:eastAsia="Times New Roman"/>
                <w:i/>
                <w:color w:val="000000"/>
                <w:sz w:val="22"/>
                <w:szCs w:val="22"/>
                <w:lang w:val="id-ID"/>
              </w:rPr>
              <w:t>light</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of</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struggle</w:t>
            </w:r>
            <w:proofErr w:type="spellEnd"/>
            <w:r w:rsidRPr="000C73EB">
              <w:rPr>
                <w:rFonts w:eastAsia="Times New Roman"/>
                <w:i/>
                <w:color w:val="000000"/>
                <w:sz w:val="22"/>
                <w:szCs w:val="22"/>
                <w:lang w:val="id-ID"/>
              </w:rPr>
              <w:t xml:space="preserve"> over "</w:t>
            </w:r>
            <w:proofErr w:type="spellStart"/>
            <w:r w:rsidRPr="000C73EB">
              <w:rPr>
                <w:rFonts w:eastAsia="Times New Roman"/>
                <w:i/>
                <w:color w:val="000000"/>
                <w:sz w:val="22"/>
                <w:szCs w:val="22"/>
                <w:lang w:val="id-ID"/>
              </w:rPr>
              <w:t>worthiness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that</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often</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arises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within</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limited</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context</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of</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church</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This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research</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was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conducted</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using</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qualitative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methods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with</w:t>
            </w:r>
            <w:proofErr w:type="spellEnd"/>
            <w:r w:rsidRPr="000C73EB">
              <w:rPr>
                <w:rFonts w:eastAsia="Times New Roman"/>
                <w:i/>
                <w:color w:val="000000"/>
                <w:sz w:val="22"/>
                <w:szCs w:val="22"/>
                <w:lang w:val="id-ID"/>
              </w:rPr>
              <w:t xml:space="preserve"> a </w:t>
            </w:r>
            <w:proofErr w:type="spellStart"/>
            <w:r w:rsidRPr="000C73EB">
              <w:rPr>
                <w:rFonts w:eastAsia="Times New Roman"/>
                <w:i/>
                <w:color w:val="000000"/>
                <w:sz w:val="22"/>
                <w:szCs w:val="22"/>
                <w:lang w:val="id-ID"/>
              </w:rPr>
              <w:t>literature</w:t>
            </w:r>
            <w:proofErr w:type="spellEnd"/>
            <w:r w:rsidRPr="000C73EB">
              <w:rPr>
                <w:rFonts w:eastAsia="Times New Roman"/>
                <w:i/>
                <w:color w:val="000000"/>
                <w:sz w:val="22"/>
                <w:szCs w:val="22"/>
                <w:lang w:val="id-ID"/>
              </w:rPr>
              <w:t xml:space="preserve"> study </w:t>
            </w:r>
            <w:proofErr w:type="spellStart"/>
            <w:r w:rsidRPr="000C73EB">
              <w:rPr>
                <w:rFonts w:eastAsia="Times New Roman"/>
                <w:i/>
                <w:color w:val="000000"/>
                <w:sz w:val="22"/>
                <w:szCs w:val="22"/>
                <w:lang w:val="id-ID"/>
              </w:rPr>
              <w:t>approach</w:t>
            </w:r>
            <w:proofErr w:type="spellEnd"/>
            <w:r w:rsidRPr="000C73EB">
              <w:rPr>
                <w:rFonts w:eastAsia="Times New Roman"/>
                <w:i/>
                <w:color w:val="000000"/>
                <w:sz w:val="22"/>
                <w:szCs w:val="22"/>
                <w:lang w:val="id-ID"/>
              </w:rPr>
              <w:t xml:space="preserve">. The data </w:t>
            </w:r>
            <w:proofErr w:type="spellStart"/>
            <w:r w:rsidRPr="000C73EB">
              <w:rPr>
                <w:rFonts w:eastAsia="Times New Roman"/>
                <w:i/>
                <w:color w:val="000000"/>
                <w:sz w:val="22"/>
                <w:szCs w:val="22"/>
                <w:lang w:val="id-ID"/>
              </w:rPr>
              <w:t>is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presented</w:t>
            </w:r>
            <w:proofErr w:type="spellEnd"/>
            <w:r w:rsidRPr="000C73EB">
              <w:rPr>
                <w:rFonts w:eastAsia="Times New Roman"/>
                <w:i/>
                <w:color w:val="000000"/>
                <w:sz w:val="22"/>
                <w:szCs w:val="22"/>
                <w:lang w:val="id-ID"/>
              </w:rPr>
              <w:t xml:space="preserve"> in </w:t>
            </w:r>
            <w:proofErr w:type="spellStart"/>
            <w:r w:rsidRPr="000C73EB">
              <w:rPr>
                <w:rFonts w:eastAsia="Times New Roman"/>
                <w:i/>
                <w:color w:val="000000"/>
                <w:sz w:val="22"/>
                <w:szCs w:val="22"/>
                <w:lang w:val="id-ID"/>
              </w:rPr>
              <w:t>narrative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text</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form</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providing</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detailed</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insights</w:t>
            </w:r>
            <w:proofErr w:type="spellEnd"/>
            <w:r w:rsidRPr="000C73EB">
              <w:rPr>
                <w:rFonts w:eastAsia="Times New Roman"/>
                <w:i/>
                <w:color w:val="000000"/>
                <w:sz w:val="22"/>
                <w:szCs w:val="22"/>
                <w:lang w:val="id-ID"/>
              </w:rPr>
              <w:t xml:space="preserve">. The </w:t>
            </w:r>
            <w:proofErr w:type="spellStart"/>
            <w:r w:rsidRPr="000C73EB">
              <w:rPr>
                <w:rFonts w:eastAsia="Times New Roman"/>
                <w:i/>
                <w:color w:val="000000"/>
                <w:sz w:val="22"/>
                <w:szCs w:val="22"/>
                <w:lang w:val="id-ID"/>
              </w:rPr>
              <w:t>research</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found</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that</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holiness</w:t>
            </w:r>
            <w:proofErr w:type="spellEnd"/>
            <w:r w:rsidRPr="000C73EB">
              <w:rPr>
                <w:rFonts w:eastAsia="Times New Roman"/>
                <w:i/>
                <w:color w:val="000000"/>
                <w:sz w:val="22"/>
                <w:szCs w:val="22"/>
                <w:lang w:val="id-ID"/>
              </w:rPr>
              <w:t xml:space="preserve"> in </w:t>
            </w:r>
            <w:proofErr w:type="spellStart"/>
            <w:r w:rsidRPr="000C73EB">
              <w:rPr>
                <w:rFonts w:eastAsia="Times New Roman"/>
                <w:i/>
                <w:color w:val="000000"/>
                <w:sz w:val="22"/>
                <w:szCs w:val="22"/>
                <w:lang w:val="id-ID"/>
              </w:rPr>
              <w:t>ministry</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is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essential</w:t>
            </w:r>
            <w:proofErr w:type="spellEnd"/>
            <w:r w:rsidRPr="000C73EB">
              <w:rPr>
                <w:rFonts w:eastAsia="Times New Roman"/>
                <w:i/>
                <w:color w:val="000000"/>
                <w:sz w:val="22"/>
                <w:szCs w:val="22"/>
                <w:lang w:val="id-ID"/>
              </w:rPr>
              <w:t xml:space="preserve">. A </w:t>
            </w:r>
            <w:proofErr w:type="spellStart"/>
            <w:r w:rsidRPr="000C73EB">
              <w:rPr>
                <w:rFonts w:eastAsia="Times New Roman"/>
                <w:i/>
                <w:color w:val="000000"/>
                <w:sz w:val="22"/>
                <w:szCs w:val="22"/>
                <w:lang w:val="id-ID"/>
              </w:rPr>
              <w:t>minister</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must</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guard</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and</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maintain</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this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holiness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Furthermore</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holiness</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is</w:t>
            </w:r>
            <w:proofErr w:type="spellEnd"/>
            <w:r w:rsidRPr="000C73EB">
              <w:rPr>
                <w:rFonts w:eastAsia="Times New Roman"/>
                <w:i/>
                <w:color w:val="000000"/>
                <w:sz w:val="22"/>
                <w:szCs w:val="22"/>
                <w:lang w:val="id-ID"/>
              </w:rPr>
              <w:t xml:space="preserve"> not a final </w:t>
            </w:r>
            <w:proofErr w:type="spellStart"/>
            <w:r w:rsidRPr="000C73EB">
              <w:rPr>
                <w:rFonts w:eastAsia="Times New Roman"/>
                <w:i/>
                <w:color w:val="000000"/>
                <w:sz w:val="22"/>
                <w:szCs w:val="22"/>
                <w:lang w:val="id-ID"/>
              </w:rPr>
              <w:t>goal</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but</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rather</w:t>
            </w:r>
            <w:proofErr w:type="spellEnd"/>
            <w:r w:rsidRPr="000C73EB">
              <w:rPr>
                <w:rFonts w:eastAsia="Times New Roman"/>
                <w:i/>
                <w:color w:val="000000"/>
                <w:sz w:val="22"/>
                <w:szCs w:val="22"/>
                <w:lang w:val="id-ID"/>
              </w:rPr>
              <w:t xml:space="preserve"> a </w:t>
            </w:r>
            <w:proofErr w:type="spellStart"/>
            <w:r w:rsidRPr="000C73EB">
              <w:rPr>
                <w:rFonts w:eastAsia="Times New Roman"/>
                <w:i/>
                <w:color w:val="000000"/>
                <w:sz w:val="22"/>
                <w:szCs w:val="22"/>
                <w:lang w:val="id-ID"/>
              </w:rPr>
              <w:t>journey</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of</w:t>
            </w:r>
            <w:proofErr w:type="spellEnd"/>
            <w:r w:rsidRPr="000C73EB">
              <w:rPr>
                <w:rFonts w:eastAsia="Times New Roman"/>
                <w:i/>
                <w:color w:val="000000"/>
                <w:sz w:val="22"/>
                <w:szCs w:val="22"/>
                <w:lang w:val="id-ID"/>
              </w:rPr>
              <w:t xml:space="preserve"> </w:t>
            </w:r>
            <w:proofErr w:type="spellStart"/>
            <w:r w:rsidRPr="000C73EB">
              <w:rPr>
                <w:rFonts w:eastAsia="Times New Roman"/>
                <w:i/>
                <w:color w:val="000000"/>
                <w:sz w:val="22"/>
                <w:szCs w:val="22"/>
                <w:lang w:val="id-ID"/>
              </w:rPr>
              <w:t>faith</w:t>
            </w:r>
            <w:proofErr w:type="spellEnd"/>
            <w:r w:rsidRPr="000C73EB">
              <w:rPr>
                <w:rFonts w:eastAsia="Times New Roman"/>
                <w:i/>
                <w:color w:val="000000"/>
                <w:sz w:val="22"/>
                <w:szCs w:val="22"/>
                <w:lang w:val="id-ID"/>
              </w:rPr>
              <w:t>.</w:t>
            </w:r>
          </w:p>
          <w:p w14:paraId="61514CC2" w14:textId="2E8F26D7" w:rsidR="00C30472" w:rsidRPr="007531DB" w:rsidRDefault="00000000">
            <w:pPr>
              <w:pBdr>
                <w:top w:val="nil"/>
                <w:left w:val="nil"/>
                <w:bottom w:val="nil"/>
                <w:right w:val="nil"/>
                <w:between w:val="nil"/>
              </w:pBdr>
              <w:rPr>
                <w:rFonts w:eastAsia="Times New Roman"/>
                <w:i/>
                <w:color w:val="000000"/>
                <w:sz w:val="22"/>
                <w:szCs w:val="22"/>
                <w:lang w:val="id-ID"/>
              </w:rPr>
            </w:pPr>
            <w:r w:rsidRPr="007531DB">
              <w:rPr>
                <w:rFonts w:eastAsia="Times New Roman"/>
                <w:i/>
                <w:color w:val="000000"/>
                <w:sz w:val="22"/>
                <w:szCs w:val="22"/>
                <w:lang w:val="id-ID"/>
              </w:rPr>
              <w:t>___________________________________________________</w:t>
            </w:r>
          </w:p>
          <w:p w14:paraId="06FAA9F6" w14:textId="77777777" w:rsidR="00C30472" w:rsidRPr="007531DB" w:rsidRDefault="00000000">
            <w:pPr>
              <w:pBdr>
                <w:top w:val="nil"/>
                <w:left w:val="nil"/>
                <w:bottom w:val="nil"/>
                <w:right w:val="nil"/>
                <w:between w:val="nil"/>
              </w:pBdr>
              <w:rPr>
                <w:rFonts w:eastAsia="Times New Roman"/>
                <w:b/>
                <w:i/>
                <w:color w:val="000000"/>
                <w:sz w:val="22"/>
                <w:szCs w:val="22"/>
                <w:lang w:val="id-ID"/>
              </w:rPr>
            </w:pPr>
            <w:proofErr w:type="spellStart"/>
            <w:r w:rsidRPr="007531DB">
              <w:rPr>
                <w:rFonts w:eastAsia="Times New Roman"/>
                <w:b/>
                <w:i/>
                <w:color w:val="000000"/>
                <w:sz w:val="22"/>
                <w:szCs w:val="22"/>
                <w:lang w:val="id-ID"/>
              </w:rPr>
              <w:t>Keywords</w:t>
            </w:r>
            <w:proofErr w:type="spellEnd"/>
            <w:r w:rsidRPr="007531DB">
              <w:rPr>
                <w:rFonts w:eastAsia="Times New Roman"/>
                <w:b/>
                <w:i/>
                <w:color w:val="000000"/>
                <w:sz w:val="22"/>
                <w:szCs w:val="22"/>
                <w:lang w:val="id-ID"/>
              </w:rPr>
              <w:t>:</w:t>
            </w:r>
          </w:p>
          <w:p w14:paraId="59570307" w14:textId="69BB6D77" w:rsidR="00C30472" w:rsidRPr="007531DB" w:rsidRDefault="00DE3421">
            <w:pPr>
              <w:pBdr>
                <w:top w:val="nil"/>
                <w:left w:val="nil"/>
                <w:bottom w:val="nil"/>
                <w:right w:val="nil"/>
                <w:between w:val="nil"/>
              </w:pBdr>
              <w:rPr>
                <w:rFonts w:eastAsia="Times New Roman"/>
                <w:i/>
                <w:color w:val="000000"/>
                <w:sz w:val="22"/>
                <w:szCs w:val="22"/>
                <w:lang w:val="id-ID"/>
              </w:rPr>
            </w:pPr>
            <w:proofErr w:type="spellStart"/>
            <w:r w:rsidRPr="00DE3421">
              <w:rPr>
                <w:rFonts w:eastAsia="Times New Roman"/>
                <w:color w:val="000000"/>
                <w:sz w:val="22"/>
                <w:szCs w:val="22"/>
                <w:lang w:val="id-ID"/>
              </w:rPr>
              <w:t>Holiness</w:t>
            </w:r>
            <w:proofErr w:type="spellEnd"/>
            <w:r w:rsidRPr="00DE3421">
              <w:rPr>
                <w:rFonts w:eastAsia="Times New Roman"/>
                <w:color w:val="000000"/>
                <w:sz w:val="22"/>
                <w:szCs w:val="22"/>
                <w:lang w:val="id-ID"/>
              </w:rPr>
              <w:t xml:space="preserve">; </w:t>
            </w:r>
            <w:proofErr w:type="spellStart"/>
            <w:r w:rsidRPr="00DE3421">
              <w:rPr>
                <w:rFonts w:eastAsia="Times New Roman"/>
                <w:color w:val="000000"/>
                <w:sz w:val="22"/>
                <w:szCs w:val="22"/>
                <w:lang w:val="id-ID"/>
              </w:rPr>
              <w:t>Church</w:t>
            </w:r>
            <w:proofErr w:type="spellEnd"/>
            <w:r w:rsidRPr="00DE3421">
              <w:rPr>
                <w:rFonts w:eastAsia="Times New Roman"/>
                <w:color w:val="000000"/>
                <w:sz w:val="22"/>
                <w:szCs w:val="22"/>
                <w:lang w:val="id-ID"/>
              </w:rPr>
              <w:t xml:space="preserve">; </w:t>
            </w:r>
            <w:proofErr w:type="spellStart"/>
            <w:r w:rsidRPr="00DE3421">
              <w:rPr>
                <w:rFonts w:eastAsia="Times New Roman"/>
                <w:color w:val="000000"/>
                <w:sz w:val="22"/>
                <w:szCs w:val="22"/>
                <w:lang w:val="id-ID"/>
              </w:rPr>
              <w:t>Calling</w:t>
            </w:r>
            <w:proofErr w:type="spellEnd"/>
            <w:r w:rsidRPr="00DE3421">
              <w:rPr>
                <w:rFonts w:eastAsia="Times New Roman"/>
                <w:color w:val="000000"/>
                <w:sz w:val="22"/>
                <w:szCs w:val="22"/>
                <w:lang w:val="id-ID"/>
              </w:rPr>
              <w:t xml:space="preserve">; </w:t>
            </w:r>
            <w:proofErr w:type="spellStart"/>
            <w:r w:rsidRPr="00DE3421">
              <w:rPr>
                <w:rFonts w:eastAsia="Times New Roman"/>
                <w:color w:val="000000"/>
                <w:sz w:val="22"/>
                <w:szCs w:val="22"/>
                <w:lang w:val="id-ID"/>
              </w:rPr>
              <w:t>Servant</w:t>
            </w:r>
            <w:proofErr w:type="spellEnd"/>
          </w:p>
          <w:p w14:paraId="7A1C1A60" w14:textId="77777777" w:rsidR="00C30472" w:rsidRPr="007531DB" w:rsidRDefault="00000000">
            <w:pPr>
              <w:pBdr>
                <w:top w:val="nil"/>
                <w:left w:val="nil"/>
                <w:bottom w:val="nil"/>
                <w:right w:val="nil"/>
                <w:between w:val="nil"/>
              </w:pBdr>
              <w:spacing w:line="276" w:lineRule="auto"/>
              <w:rPr>
                <w:rFonts w:ascii="Lustria" w:eastAsia="Lustria" w:hAnsi="Lustria" w:cs="Lustria"/>
                <w:color w:val="000000"/>
                <w:sz w:val="16"/>
                <w:szCs w:val="16"/>
                <w:lang w:val="id-ID"/>
              </w:rPr>
            </w:pPr>
            <w:r w:rsidRPr="007531DB">
              <w:rPr>
                <w:rFonts w:eastAsia="Times New Roman"/>
                <w:color w:val="000000"/>
                <w:sz w:val="22"/>
                <w:szCs w:val="22"/>
                <w:lang w:val="id-ID"/>
              </w:rPr>
              <w:t>___________________________________________________________</w:t>
            </w:r>
          </w:p>
          <w:p w14:paraId="232CD83A" w14:textId="77777777" w:rsidR="00C30472" w:rsidRPr="007531DB" w:rsidRDefault="00C30472">
            <w:pPr>
              <w:pBdr>
                <w:top w:val="nil"/>
                <w:left w:val="nil"/>
                <w:bottom w:val="nil"/>
                <w:right w:val="nil"/>
                <w:between w:val="nil"/>
              </w:pBdr>
              <w:jc w:val="both"/>
              <w:rPr>
                <w:rFonts w:ascii="EB Garamond" w:eastAsia="EB Garamond" w:hAnsi="EB Garamond" w:cs="EB Garamond"/>
                <w:color w:val="000000"/>
                <w:sz w:val="20"/>
                <w:szCs w:val="20"/>
                <w:lang w:val="id-ID"/>
              </w:rPr>
            </w:pPr>
          </w:p>
        </w:tc>
      </w:tr>
    </w:tbl>
    <w:p w14:paraId="02D3DCDC" w14:textId="77777777" w:rsidR="00C30472" w:rsidRPr="007531DB" w:rsidRDefault="00C30472">
      <w:pPr>
        <w:pBdr>
          <w:top w:val="nil"/>
          <w:left w:val="nil"/>
          <w:bottom w:val="nil"/>
          <w:right w:val="nil"/>
          <w:between w:val="nil"/>
        </w:pBdr>
        <w:spacing w:line="288" w:lineRule="auto"/>
        <w:rPr>
          <w:rFonts w:ascii="Lustria" w:eastAsia="Lustria" w:hAnsi="Lustria" w:cs="Lustria"/>
          <w:color w:val="000000"/>
          <w:sz w:val="16"/>
          <w:szCs w:val="16"/>
          <w:lang w:val="id-ID"/>
        </w:rPr>
        <w:sectPr w:rsidR="00C30472" w:rsidRPr="007531DB">
          <w:headerReference w:type="even" r:id="rId12"/>
          <w:footerReference w:type="even" r:id="rId13"/>
          <w:footerReference w:type="default" r:id="rId14"/>
          <w:headerReference w:type="first" r:id="rId15"/>
          <w:footerReference w:type="first" r:id="rId16"/>
          <w:pgSz w:w="11906" w:h="16838"/>
          <w:pgMar w:top="1418" w:right="1133" w:bottom="1418" w:left="1701" w:header="708" w:footer="708" w:gutter="0"/>
          <w:pgNumType w:start="1"/>
          <w:cols w:space="720"/>
        </w:sectPr>
      </w:pPr>
    </w:p>
    <w:p w14:paraId="14CC9767" w14:textId="77777777" w:rsidR="00C30472" w:rsidRPr="007531DB" w:rsidRDefault="00C30472">
      <w:pPr>
        <w:widowControl w:val="0"/>
        <w:pBdr>
          <w:top w:val="nil"/>
          <w:left w:val="nil"/>
          <w:bottom w:val="nil"/>
          <w:right w:val="nil"/>
          <w:between w:val="nil"/>
        </w:pBdr>
        <w:spacing w:line="276" w:lineRule="auto"/>
        <w:rPr>
          <w:rFonts w:ascii="Lustria" w:eastAsia="Lustria" w:hAnsi="Lustria" w:cs="Lustria"/>
          <w:color w:val="000000"/>
          <w:sz w:val="16"/>
          <w:szCs w:val="16"/>
          <w:lang w:val="id-ID"/>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rsidRPr="007531DB" w14:paraId="28F858E4" w14:textId="77777777">
        <w:tc>
          <w:tcPr>
            <w:tcW w:w="5111" w:type="dxa"/>
            <w:tcBorders>
              <w:top w:val="single" w:sz="4" w:space="0" w:color="000000"/>
            </w:tcBorders>
          </w:tcPr>
          <w:p w14:paraId="07D8F5BC" w14:textId="77777777" w:rsidR="00C30472" w:rsidRPr="007531DB" w:rsidRDefault="00C30472">
            <w:pPr>
              <w:pBdr>
                <w:top w:val="nil"/>
                <w:left w:val="nil"/>
                <w:bottom w:val="nil"/>
                <w:right w:val="nil"/>
                <w:between w:val="nil"/>
              </w:pBdr>
              <w:spacing w:line="288" w:lineRule="auto"/>
              <w:rPr>
                <w:rFonts w:ascii="Lustria" w:eastAsia="Lustria" w:hAnsi="Lustria" w:cs="Lustria"/>
                <w:color w:val="000000"/>
                <w:sz w:val="16"/>
                <w:szCs w:val="16"/>
                <w:lang w:val="id-ID"/>
              </w:rPr>
            </w:pPr>
          </w:p>
        </w:tc>
        <w:tc>
          <w:tcPr>
            <w:tcW w:w="3556" w:type="dxa"/>
            <w:tcBorders>
              <w:top w:val="single" w:sz="4" w:space="0" w:color="000000"/>
            </w:tcBorders>
          </w:tcPr>
          <w:p w14:paraId="2957D0F7" w14:textId="77777777" w:rsidR="00C30472" w:rsidRPr="007531DB"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lang w:val="id-ID"/>
              </w:rPr>
            </w:pPr>
          </w:p>
        </w:tc>
      </w:tr>
    </w:tbl>
    <w:p w14:paraId="5A76EF67" w14:textId="77777777" w:rsidR="00C30472" w:rsidRPr="007531DB" w:rsidRDefault="00000000" w:rsidP="00D80656">
      <w:pPr>
        <w:pStyle w:val="Judul1"/>
        <w:rPr>
          <w:lang w:val="id-ID"/>
        </w:rPr>
      </w:pPr>
      <w:r w:rsidRPr="007531DB">
        <w:rPr>
          <w:lang w:val="id-ID"/>
        </w:rPr>
        <w:t>PENDAHULUAN</w:t>
      </w:r>
    </w:p>
    <w:p w14:paraId="4F07EE54" w14:textId="2EDA2139" w:rsidR="00025E67" w:rsidRPr="00025E67" w:rsidRDefault="00344D1E" w:rsidP="00025E67">
      <w:pPr>
        <w:spacing w:line="360" w:lineRule="auto"/>
        <w:ind w:firstLine="720"/>
        <w:jc w:val="both"/>
        <w:rPr>
          <w:lang w:val="id-ID"/>
        </w:rPr>
      </w:pPr>
      <w:r>
        <w:rPr>
          <w:lang w:val="id-ID"/>
        </w:rPr>
        <w:t xml:space="preserve">Melayani adalah bentuk rasa bersyukur kepada Tuhan, </w:t>
      </w:r>
      <w:r w:rsidR="008E46AA">
        <w:rPr>
          <w:lang w:val="id-ID"/>
        </w:rPr>
        <w:t>Dengan</w:t>
      </w:r>
      <w:r>
        <w:rPr>
          <w:lang w:val="id-ID"/>
        </w:rPr>
        <w:t xml:space="preserve"> melayani</w:t>
      </w:r>
      <w:r w:rsidR="00AB2F9F">
        <w:rPr>
          <w:lang w:val="id-ID"/>
        </w:rPr>
        <w:t xml:space="preserve">, </w:t>
      </w:r>
      <w:r w:rsidR="008E46AA">
        <w:rPr>
          <w:lang w:val="id-ID"/>
        </w:rPr>
        <w:t>seseorang</w:t>
      </w:r>
      <w:r w:rsidR="00AB2F9F">
        <w:rPr>
          <w:lang w:val="id-ID"/>
        </w:rPr>
        <w:t xml:space="preserve"> memberikan hidupnya</w:t>
      </w:r>
      <w:r>
        <w:rPr>
          <w:lang w:val="id-ID"/>
        </w:rPr>
        <w:t xml:space="preserve"> kepad</w:t>
      </w:r>
      <w:r w:rsidR="00D14BE6">
        <w:rPr>
          <w:lang w:val="id-ID"/>
        </w:rPr>
        <w:t xml:space="preserve">a-Nya melalui persekutuan dalam Gereja. </w:t>
      </w:r>
      <w:r w:rsidR="00025E67" w:rsidRPr="00025E67">
        <w:rPr>
          <w:lang w:val="id-ID"/>
        </w:rPr>
        <w:t>Sikap ini bukan sekadar aktivitas lahiriah atau rutinitas keagamaan, melainkan respons iman atas kasih karunia yang telah lebih dahulu diterima. Ketika seseorang menyadari bahwa hidup, keselamatan, dan setiap berkat berasal dari Tuhan, pelayanan menjadi ungkapan syukur yang paling nyata dan otentik. Pelayanan bukan tentang mencari pengakuan, melainkan tentang mempersembahkan diri sebagai alat yang dipakai Tuhan untuk menyatakan kasih-Nya di tengah jemaat dan dunia.</w:t>
      </w:r>
      <w:r w:rsidR="00025E67">
        <w:rPr>
          <w:lang w:val="id-ID"/>
        </w:rPr>
        <w:t xml:space="preserve"> </w:t>
      </w:r>
      <w:r w:rsidR="00025E67" w:rsidRPr="00025E67">
        <w:rPr>
          <w:lang w:val="id-ID"/>
        </w:rPr>
        <w:t>Dalam terang firman Tuhan, sebagaimana ditegaskan oleh Roma 12:1, orang percaya dipanggil untuk mempersembahkan tubuh sebagai persembahan yang hidup, kudus, dan berkenan kepada Allah.</w:t>
      </w:r>
      <w:r w:rsidR="00EA65EE">
        <w:rPr>
          <w:rStyle w:val="ReferensiCatatanKaki"/>
          <w:lang w:val="id-ID"/>
        </w:rPr>
        <w:footnoteReference w:id="1"/>
      </w:r>
      <w:r w:rsidR="00025E67" w:rsidRPr="00025E67">
        <w:rPr>
          <w:lang w:val="id-ID"/>
        </w:rPr>
        <w:t xml:space="preserve"> Ini berarti seluruh aspek kehidupan</w:t>
      </w:r>
      <w:r w:rsidR="00916EA7">
        <w:rPr>
          <w:lang w:val="id-ID"/>
        </w:rPr>
        <w:t>,</w:t>
      </w:r>
      <w:r w:rsidR="00075BE0">
        <w:rPr>
          <w:lang w:val="id-ID"/>
        </w:rPr>
        <w:t xml:space="preserve"> </w:t>
      </w:r>
      <w:r w:rsidR="00025E67" w:rsidRPr="00025E67">
        <w:rPr>
          <w:lang w:val="id-ID"/>
        </w:rPr>
        <w:t>pikiran, waktu, tenaga, dan talenta</w:t>
      </w:r>
      <w:r w:rsidR="006E3C1A">
        <w:rPr>
          <w:lang w:val="id-ID"/>
        </w:rPr>
        <w:t xml:space="preserve"> </w:t>
      </w:r>
      <w:r w:rsidR="00025E67" w:rsidRPr="00025E67">
        <w:rPr>
          <w:lang w:val="id-ID"/>
        </w:rPr>
        <w:t xml:space="preserve">diserahkan untuk kemuliaan-Nya. Pelayanan di gereja, baik sebagai </w:t>
      </w:r>
      <w:r w:rsidR="003255F0">
        <w:rPr>
          <w:lang w:val="id-ID"/>
        </w:rPr>
        <w:t xml:space="preserve">pelayan mimbar, sekolah </w:t>
      </w:r>
      <w:r w:rsidR="008E46AA">
        <w:rPr>
          <w:lang w:val="id-ID"/>
        </w:rPr>
        <w:t>m</w:t>
      </w:r>
      <w:r w:rsidR="003255F0">
        <w:rPr>
          <w:lang w:val="id-ID"/>
        </w:rPr>
        <w:t>inggu, dan lainnya, semuanya sama di mata Tuhan.</w:t>
      </w:r>
      <w:r w:rsidR="00025E67" w:rsidRPr="00025E67">
        <w:rPr>
          <w:lang w:val="id-ID"/>
        </w:rPr>
        <w:t xml:space="preserve"> Setiap tugas, sekecil apa pun, memiliki nilai rohani ketika dilakukan dengan </w:t>
      </w:r>
      <w:r w:rsidR="00BC1C2A">
        <w:rPr>
          <w:lang w:val="id-ID"/>
        </w:rPr>
        <w:t>tertuju kepada Tuhan.</w:t>
      </w:r>
      <w:r w:rsidR="0042659C">
        <w:rPr>
          <w:rStyle w:val="ReferensiCatatanKaki"/>
          <w:lang w:val="id-ID"/>
        </w:rPr>
        <w:footnoteReference w:id="2"/>
      </w:r>
      <w:r w:rsidR="00BC1C2A">
        <w:rPr>
          <w:lang w:val="id-ID"/>
        </w:rPr>
        <w:t xml:space="preserve"> </w:t>
      </w:r>
    </w:p>
    <w:p w14:paraId="0AB8A26F" w14:textId="1A41A670" w:rsidR="00EB7B79" w:rsidRDefault="00025E67" w:rsidP="00025E67">
      <w:pPr>
        <w:spacing w:line="360" w:lineRule="auto"/>
        <w:ind w:firstLine="720"/>
        <w:jc w:val="both"/>
        <w:rPr>
          <w:lang w:val="id-ID"/>
        </w:rPr>
      </w:pPr>
      <w:r w:rsidRPr="00025E67">
        <w:rPr>
          <w:lang w:val="id-ID"/>
        </w:rPr>
        <w:t xml:space="preserve">Dalam proses melayani, seseorang belajar tentang kerendahan hati, kesabaran, kesetiaan, dan ketaatan. Pelayanan juga melatih kepekaan terhadap kebutuhan sesama, sehingga gereja bukan hanya menjadi tempat ibadah, tetapi </w:t>
      </w:r>
      <w:r w:rsidR="00AB2F9F">
        <w:rPr>
          <w:lang w:val="id-ID"/>
        </w:rPr>
        <w:t xml:space="preserve">juga persekutuan </w:t>
      </w:r>
      <w:r w:rsidRPr="00025E67">
        <w:rPr>
          <w:lang w:val="id-ID"/>
        </w:rPr>
        <w:t>yang saling menopang dan membangun. Melalui persekutuan yang sehat, setiap anggota tubuh Kristus saling melengkapi sesuai dengan karunia yang diberikan Roh Kudus.</w:t>
      </w:r>
      <w:r>
        <w:rPr>
          <w:lang w:val="id-ID"/>
        </w:rPr>
        <w:t xml:space="preserve"> </w:t>
      </w:r>
      <w:r w:rsidRPr="00025E67">
        <w:rPr>
          <w:lang w:val="id-ID"/>
        </w:rPr>
        <w:t>Dengan demikian, pelayanan bukanlah beban, melainkan kehormatan. Ia menjadi jalan pertumbuhan iman dan kedewasaan rohani. Ketika seseorang melayani dengan motivasi yang benar</w:t>
      </w:r>
      <w:r w:rsidR="00CF76AD">
        <w:rPr>
          <w:lang w:val="id-ID"/>
        </w:rPr>
        <w:t>,</w:t>
      </w:r>
      <w:r w:rsidR="00AB2F9F">
        <w:rPr>
          <w:lang w:val="id-ID"/>
        </w:rPr>
        <w:t xml:space="preserve"> </w:t>
      </w:r>
      <w:r w:rsidRPr="00025E67">
        <w:rPr>
          <w:lang w:val="id-ID"/>
        </w:rPr>
        <w:t>yakni sebagai ungkapan syukur</w:t>
      </w:r>
      <w:r w:rsidR="00AB2F9F">
        <w:rPr>
          <w:lang w:val="id-ID"/>
        </w:rPr>
        <w:t xml:space="preserve">, </w:t>
      </w:r>
      <w:r w:rsidRPr="00025E67">
        <w:rPr>
          <w:lang w:val="id-ID"/>
        </w:rPr>
        <w:t>maka sukacita rohani akan menyertai setiap langkahnya. Dalam pelayanan itulah iman dipraktikkan, kasih dinyatakan, dan nama Tuhan dimuliakan di tengah jemaat dan masyarakat luas.</w:t>
      </w:r>
    </w:p>
    <w:p w14:paraId="173D60F7" w14:textId="40282D0B" w:rsidR="00DE1E54" w:rsidRPr="00DE1E54" w:rsidRDefault="008C791A" w:rsidP="00DE1E54">
      <w:pPr>
        <w:spacing w:line="360" w:lineRule="auto"/>
        <w:ind w:firstLine="720"/>
        <w:jc w:val="both"/>
        <w:rPr>
          <w:lang w:val="id-ID"/>
        </w:rPr>
      </w:pPr>
      <w:r>
        <w:rPr>
          <w:lang w:val="id-ID"/>
        </w:rPr>
        <w:t xml:space="preserve">Namun, melayani harus </w:t>
      </w:r>
      <w:r w:rsidR="002218C5">
        <w:rPr>
          <w:lang w:val="id-ID"/>
        </w:rPr>
        <w:t>tidak terlepas dari menjaga kekudusan. Sebab dalam melayani setiap manusia</w:t>
      </w:r>
      <w:r w:rsidR="007F5356">
        <w:rPr>
          <w:lang w:val="id-ID"/>
        </w:rPr>
        <w:t>,</w:t>
      </w:r>
      <w:r w:rsidR="002218C5">
        <w:rPr>
          <w:lang w:val="id-ID"/>
        </w:rPr>
        <w:t xml:space="preserve"> seharusnya </w:t>
      </w:r>
      <w:r w:rsidR="007F5356">
        <w:rPr>
          <w:lang w:val="id-ID"/>
        </w:rPr>
        <w:t xml:space="preserve">mereka </w:t>
      </w:r>
      <w:r w:rsidR="002218C5">
        <w:rPr>
          <w:lang w:val="id-ID"/>
        </w:rPr>
        <w:t xml:space="preserve">menyadari bahwa Yesus yang mereka layani bukan manusia. </w:t>
      </w:r>
      <w:r w:rsidR="00DE1E54" w:rsidRPr="00DE1E54">
        <w:rPr>
          <w:lang w:val="id-ID"/>
        </w:rPr>
        <w:t xml:space="preserve">Pelayanan yang sejati bukan hanya tentang keterlibatan aktif dalam berbagai </w:t>
      </w:r>
      <w:r w:rsidR="00DE1E54" w:rsidRPr="00DE1E54">
        <w:rPr>
          <w:lang w:val="id-ID"/>
        </w:rPr>
        <w:lastRenderedPageBreak/>
        <w:t xml:space="preserve">kegiatan gerejawi, melainkan tentang keselarasan antara kehidupan pribadi dan panggilan rohani. Kekudusan menjadi fondasi yang meneguhkan pelayanan agar tidak berubah menjadi </w:t>
      </w:r>
      <w:r w:rsidR="00D206CE">
        <w:rPr>
          <w:lang w:val="id-ID"/>
        </w:rPr>
        <w:t>rutinitas belaka.</w:t>
      </w:r>
      <w:r w:rsidR="00DE1E54" w:rsidRPr="00DE1E54">
        <w:rPr>
          <w:lang w:val="id-ID"/>
        </w:rPr>
        <w:t xml:space="preserve"> Tanpa kekudusan, pelayanan dapat kehilangan makna spiritualnya dan hanya menjadi aktivitas yang kosong dari kuasa Allah.</w:t>
      </w:r>
      <w:r w:rsidR="00DE1E54">
        <w:rPr>
          <w:lang w:val="id-ID"/>
        </w:rPr>
        <w:t xml:space="preserve"> </w:t>
      </w:r>
      <w:r w:rsidR="00DE1E54" w:rsidRPr="00DE1E54">
        <w:rPr>
          <w:lang w:val="id-ID"/>
        </w:rPr>
        <w:t xml:space="preserve">Kesadaran bahwa yang dilayani adalah Tuhan sendiri memberikan dimensi yang sangat mendalam dalam setiap tindakan. Seorang pelayan Tuhan harus menyadari bahwa ia tidak sedang melayani manusia semata, melainkan melayani Kristus yang kudus dan mulia. Seperti yang diingatkan dalam </w:t>
      </w:r>
      <w:proofErr w:type="spellStart"/>
      <w:r w:rsidR="00DE1E54" w:rsidRPr="00DE1E54">
        <w:rPr>
          <w:lang w:val="id-ID"/>
        </w:rPr>
        <w:t>Kolose</w:t>
      </w:r>
      <w:proofErr w:type="spellEnd"/>
      <w:r w:rsidR="00DE1E54" w:rsidRPr="00DE1E54">
        <w:rPr>
          <w:lang w:val="id-ID"/>
        </w:rPr>
        <w:t xml:space="preserve"> 3:23, apa pun yang dilakukan hendaknya dikerjakan seperti untuk Tuhan dan bukan untuk manusia. </w:t>
      </w:r>
      <w:r w:rsidR="00935FCF">
        <w:rPr>
          <w:lang w:val="id-ID"/>
        </w:rPr>
        <w:t>Pandangan ini memberikan kekuatan untuk terus melayani-Nya dengan sepenuh hati</w:t>
      </w:r>
      <w:r w:rsidR="00DE1E54" w:rsidRPr="00DE1E54">
        <w:rPr>
          <w:lang w:val="id-ID"/>
        </w:rPr>
        <w:t>.</w:t>
      </w:r>
      <w:r w:rsidR="00935FCF">
        <w:rPr>
          <w:rStyle w:val="ReferensiCatatanKaki"/>
          <w:lang w:val="id-ID"/>
        </w:rPr>
        <w:footnoteReference w:id="3"/>
      </w:r>
    </w:p>
    <w:p w14:paraId="6F03CDA9" w14:textId="3EA74710" w:rsidR="008C791A" w:rsidRDefault="00DE1E54" w:rsidP="00DE1E54">
      <w:pPr>
        <w:spacing w:line="360" w:lineRule="auto"/>
        <w:ind w:firstLine="720"/>
        <w:jc w:val="both"/>
        <w:rPr>
          <w:lang w:val="id-ID"/>
        </w:rPr>
      </w:pPr>
      <w:r w:rsidRPr="00DE1E54">
        <w:rPr>
          <w:lang w:val="id-ID"/>
        </w:rPr>
        <w:t xml:space="preserve">Hidup yang tidak selaras dengan firman Tuhan akan melemahkan kesaksian pelayanan itu sendiri. Oleh sebab itu, </w:t>
      </w:r>
      <w:r w:rsidR="008C3639">
        <w:rPr>
          <w:lang w:val="id-ID"/>
        </w:rPr>
        <w:t xml:space="preserve">seorang pelayan harus juga memiliki jam doa pribadi, agar pelayanan tersebut memberikan kesaksian </w:t>
      </w:r>
      <w:r w:rsidR="007F5356">
        <w:rPr>
          <w:lang w:val="id-ID"/>
        </w:rPr>
        <w:t>kepada</w:t>
      </w:r>
      <w:r w:rsidR="008C3639">
        <w:rPr>
          <w:lang w:val="id-ID"/>
        </w:rPr>
        <w:t xml:space="preserve"> orang lain.</w:t>
      </w:r>
      <w:r w:rsidR="008C3639">
        <w:rPr>
          <w:rStyle w:val="ReferensiCatatanKaki"/>
          <w:lang w:val="id-ID"/>
        </w:rPr>
        <w:footnoteReference w:id="4"/>
      </w:r>
      <w:r w:rsidRPr="00DE1E54">
        <w:rPr>
          <w:lang w:val="id-ID"/>
        </w:rPr>
        <w:t xml:space="preserve"> Pelayanan yang disertai kehidupan doa yang </w:t>
      </w:r>
      <w:r w:rsidR="00B54E28">
        <w:rPr>
          <w:lang w:val="id-ID"/>
        </w:rPr>
        <w:t>terus-menerus</w:t>
      </w:r>
      <w:r w:rsidR="00C407DF">
        <w:rPr>
          <w:lang w:val="id-ID"/>
        </w:rPr>
        <w:t xml:space="preserve"> terhubung pada-Nya</w:t>
      </w:r>
      <w:r w:rsidR="003C346D">
        <w:rPr>
          <w:lang w:val="id-ID"/>
        </w:rPr>
        <w:t>.</w:t>
      </w:r>
      <w:r>
        <w:rPr>
          <w:lang w:val="id-ID"/>
        </w:rPr>
        <w:t xml:space="preserve"> </w:t>
      </w:r>
      <w:r w:rsidR="003C346D">
        <w:rPr>
          <w:lang w:val="id-ID"/>
        </w:rPr>
        <w:t>M</w:t>
      </w:r>
      <w:r w:rsidR="00B54E28">
        <w:rPr>
          <w:lang w:val="id-ID"/>
        </w:rPr>
        <w:t>enjaga</w:t>
      </w:r>
      <w:r w:rsidR="00FB045D">
        <w:rPr>
          <w:lang w:val="id-ID"/>
        </w:rPr>
        <w:t xml:space="preserve"> kekudusan itu berlangsung dari hari ke hari, menuju iman yang terus bertumbuh dalam Tuhan.</w:t>
      </w:r>
      <w:r w:rsidR="00FB045D">
        <w:rPr>
          <w:rStyle w:val="ReferensiCatatanKaki"/>
          <w:lang w:val="id-ID"/>
        </w:rPr>
        <w:footnoteReference w:id="5"/>
      </w:r>
      <w:r w:rsidRPr="00DE1E54">
        <w:rPr>
          <w:lang w:val="id-ID"/>
        </w:rPr>
        <w:t xml:space="preserve"> Ketika seseorang melayani dengan hati yang kudus, ia sedang memuliakan Tuhan bukan hanya melalui pekerjaannya, tetapi melalui seluruh hidupnya.</w:t>
      </w:r>
    </w:p>
    <w:p w14:paraId="38CC7AFE" w14:textId="7A98D8DB" w:rsidR="00C30472" w:rsidRPr="007531DB" w:rsidRDefault="00E81F7E" w:rsidP="00E81F7E">
      <w:pPr>
        <w:spacing w:line="360" w:lineRule="auto"/>
        <w:ind w:firstLine="720"/>
        <w:jc w:val="both"/>
        <w:rPr>
          <w:rFonts w:eastAsia="Times New Roman"/>
          <w:color w:val="000000"/>
          <w:lang w:val="id-ID"/>
        </w:rPr>
      </w:pPr>
      <w:r w:rsidRPr="00E81F7E">
        <w:rPr>
          <w:lang w:val="id-ID"/>
        </w:rPr>
        <w:t xml:space="preserve">Urgensi kajian ini terletak pada kebutuhan untuk meluruskan pemahaman tentang </w:t>
      </w:r>
      <w:r w:rsidR="008151AD">
        <w:rPr>
          <w:lang w:val="id-ID"/>
        </w:rPr>
        <w:t>‘</w:t>
      </w:r>
      <w:r w:rsidRPr="00E81F7E">
        <w:rPr>
          <w:lang w:val="id-ID"/>
        </w:rPr>
        <w:t>kelayakan</w:t>
      </w:r>
      <w:r w:rsidR="008151AD">
        <w:rPr>
          <w:lang w:val="id-ID"/>
        </w:rPr>
        <w:t>’</w:t>
      </w:r>
      <w:r w:rsidRPr="00E81F7E">
        <w:rPr>
          <w:lang w:val="id-ID"/>
        </w:rPr>
        <w:t xml:space="preserve"> dalam </w:t>
      </w:r>
      <w:r w:rsidR="008151AD">
        <w:rPr>
          <w:lang w:val="id-ID"/>
        </w:rPr>
        <w:t>kasih karunianya</w:t>
      </w:r>
      <w:r w:rsidRPr="00E81F7E">
        <w:rPr>
          <w:lang w:val="id-ID"/>
        </w:rPr>
        <w:t xml:space="preserve"> Allah. Alkitab memperlihatkan bahwa panggilan Allah </w:t>
      </w:r>
      <w:r>
        <w:rPr>
          <w:lang w:val="id-ID"/>
        </w:rPr>
        <w:t>sering kali</w:t>
      </w:r>
      <w:r w:rsidRPr="00E81F7E">
        <w:rPr>
          <w:lang w:val="id-ID"/>
        </w:rPr>
        <w:t xml:space="preserve"> justru hadir di tengah kesadaran akan </w:t>
      </w:r>
      <w:proofErr w:type="spellStart"/>
      <w:r w:rsidRPr="00E81F7E">
        <w:rPr>
          <w:lang w:val="id-ID"/>
        </w:rPr>
        <w:t>ketidaklayakan</w:t>
      </w:r>
      <w:proofErr w:type="spellEnd"/>
      <w:r w:rsidRPr="00E81F7E">
        <w:rPr>
          <w:lang w:val="id-ID"/>
        </w:rPr>
        <w:t xml:space="preserve"> manusia</w:t>
      </w:r>
      <w:r>
        <w:rPr>
          <w:lang w:val="id-ID"/>
        </w:rPr>
        <w:t>.</w:t>
      </w:r>
      <w:r w:rsidR="00DD5396">
        <w:rPr>
          <w:rStyle w:val="ReferensiCatatanKaki"/>
          <w:lang w:val="id-ID"/>
        </w:rPr>
        <w:footnoteReference w:id="6"/>
      </w:r>
      <w:r>
        <w:rPr>
          <w:lang w:val="id-ID"/>
        </w:rPr>
        <w:t xml:space="preserve"> </w:t>
      </w:r>
      <w:r w:rsidRPr="00E81F7E">
        <w:rPr>
          <w:lang w:val="id-ID"/>
        </w:rPr>
        <w:t>Kesadaran akan kekudusan Allah tidak dimaksudkan untuk menjauhkan manusia dari pelayanan, melainkan untuk menuntun pada pertobatan dan pemurnian hati. Dengan demikian, kekudusan bukan standar perfeksionisme moral yang menekan, tetapi proses pembaruan yang dikerjakan Allah dalam diri orang yang dipanggil-Nya.</w:t>
      </w:r>
    </w:p>
    <w:p w14:paraId="179730E0" w14:textId="77777777" w:rsidR="00C30472" w:rsidRPr="007531DB" w:rsidRDefault="00000000" w:rsidP="00D80656">
      <w:pPr>
        <w:pStyle w:val="Judul1"/>
        <w:rPr>
          <w:lang w:val="id-ID"/>
        </w:rPr>
      </w:pPr>
      <w:r w:rsidRPr="007531DB">
        <w:rPr>
          <w:lang w:val="id-ID"/>
        </w:rPr>
        <w:lastRenderedPageBreak/>
        <w:t>METODE PENELITIAN</w:t>
      </w:r>
    </w:p>
    <w:p w14:paraId="6C4811C0" w14:textId="5453CA38" w:rsidR="00C30472" w:rsidRPr="0077392F" w:rsidRDefault="008A541D" w:rsidP="0077392F">
      <w:pPr>
        <w:spacing w:line="360" w:lineRule="auto"/>
        <w:ind w:firstLine="720"/>
        <w:jc w:val="both"/>
        <w:rPr>
          <w:lang w:val="id-ID"/>
        </w:rPr>
      </w:pPr>
      <w:r>
        <w:rPr>
          <w:lang w:val="id-ID"/>
        </w:rPr>
        <w:t xml:space="preserve">Kajian tulisan ini menggunakan pendekatan kualitatif dengan jenis pendekatan </w:t>
      </w:r>
      <w:r w:rsidR="00061351">
        <w:rPr>
          <w:lang w:val="id-ID"/>
        </w:rPr>
        <w:t>studi pustaka terhadap berbagai literatur yang ada.</w:t>
      </w:r>
      <w:r w:rsidR="00BA2590">
        <w:rPr>
          <w:rStyle w:val="ReferensiCatatanKaki"/>
          <w:lang w:val="id-ID"/>
        </w:rPr>
        <w:footnoteReference w:id="7"/>
      </w:r>
      <w:r w:rsidR="00061351">
        <w:rPr>
          <w:lang w:val="id-ID"/>
        </w:rPr>
        <w:t xml:space="preserve"> </w:t>
      </w:r>
      <w:r w:rsidR="00FE297C" w:rsidRPr="00FE297C">
        <w:rPr>
          <w:lang w:val="id-ID"/>
        </w:rPr>
        <w:t xml:space="preserve">Pendekatan kualitatif dipilih karena penelitian ini berfokus pada pemahaman </w:t>
      </w:r>
      <w:r w:rsidR="00FE297C">
        <w:rPr>
          <w:lang w:val="id-ID"/>
        </w:rPr>
        <w:t xml:space="preserve">suatu makna tentang kelayakan dalam kekudusan seorang melayani. </w:t>
      </w:r>
      <w:r w:rsidR="00FE297C" w:rsidRPr="00FE297C">
        <w:rPr>
          <w:lang w:val="id-ID"/>
        </w:rPr>
        <w:t xml:space="preserve">Studi pustaka dilakukan dengan menelaah </w:t>
      </w:r>
      <w:r w:rsidR="002C434D">
        <w:rPr>
          <w:lang w:val="id-ID"/>
        </w:rPr>
        <w:t xml:space="preserve">buku secara fisik maupun digital, jurnal-jurnal yang telah </w:t>
      </w:r>
      <w:r w:rsidR="008D3BBA">
        <w:rPr>
          <w:lang w:val="id-ID"/>
        </w:rPr>
        <w:t>berindeks</w:t>
      </w:r>
      <w:r w:rsidR="002C434D">
        <w:rPr>
          <w:lang w:val="id-ID"/>
        </w:rPr>
        <w:t xml:space="preserve"> Sinta, dan </w:t>
      </w:r>
      <w:r w:rsidR="00FE297C" w:rsidRPr="00FE297C">
        <w:rPr>
          <w:lang w:val="id-ID"/>
        </w:rPr>
        <w:t xml:space="preserve">Alkitab sebagai dasar </w:t>
      </w:r>
      <w:r w:rsidR="00E97749">
        <w:rPr>
          <w:lang w:val="id-ID"/>
        </w:rPr>
        <w:t>sumber</w:t>
      </w:r>
      <w:r w:rsidR="00FE297C" w:rsidRPr="00FE297C">
        <w:rPr>
          <w:lang w:val="id-ID"/>
        </w:rPr>
        <w:t xml:space="preserve"> utama.</w:t>
      </w:r>
      <w:r w:rsidR="00BA2590">
        <w:rPr>
          <w:rStyle w:val="ReferensiCatatanKaki"/>
          <w:lang w:val="id-ID"/>
        </w:rPr>
        <w:footnoteReference w:id="8"/>
      </w:r>
      <w:r w:rsidR="00FE297C" w:rsidRPr="00FE297C">
        <w:rPr>
          <w:lang w:val="id-ID"/>
        </w:rPr>
        <w:t xml:space="preserve"> Proses analisis dilakukan dengan cara membaca secara kritis, mengidentifikasi gagasan utama, </w:t>
      </w:r>
      <w:r w:rsidR="00AE12A4">
        <w:rPr>
          <w:lang w:val="id-ID"/>
        </w:rPr>
        <w:t>lalu memberikan ruang-ruang perbandingan sehingga dapat menemukan temuan baru yang telah dikaji</w:t>
      </w:r>
      <w:r w:rsidR="00FE297C" w:rsidRPr="00FE297C">
        <w:rPr>
          <w:lang w:val="id-ID"/>
        </w:rPr>
        <w:t>. Dengan demikian, tulisan ini tidak hanya bersifat deskriptif</w:t>
      </w:r>
      <w:r w:rsidR="00F407AA">
        <w:rPr>
          <w:lang w:val="id-ID"/>
        </w:rPr>
        <w:t xml:space="preserve"> normatif, namun analisis yang tajam.</w:t>
      </w:r>
      <w:r w:rsidR="006E39CA">
        <w:rPr>
          <w:lang w:val="id-ID"/>
        </w:rPr>
        <w:t xml:space="preserve"> </w:t>
      </w:r>
      <w:r w:rsidR="00FE297C" w:rsidRPr="00FE297C">
        <w:rPr>
          <w:lang w:val="id-ID"/>
        </w:rPr>
        <w:t xml:space="preserve">Hasil kajian diharapkan mampu memberikan kontribusi teoretis sekaligus menjadi </w:t>
      </w:r>
      <w:r w:rsidR="00D83823">
        <w:rPr>
          <w:lang w:val="id-ID"/>
        </w:rPr>
        <w:t xml:space="preserve">ruang diskusi bagi </w:t>
      </w:r>
      <w:r w:rsidR="00585976">
        <w:rPr>
          <w:lang w:val="id-ID"/>
        </w:rPr>
        <w:t xml:space="preserve">gereja-gereja berlabel Pentakosta.  </w:t>
      </w:r>
    </w:p>
    <w:p w14:paraId="23DDDC07" w14:textId="77777777" w:rsidR="00C30472" w:rsidRPr="007531DB" w:rsidRDefault="00000000" w:rsidP="00D80656">
      <w:pPr>
        <w:pStyle w:val="Judul1"/>
        <w:rPr>
          <w:lang w:val="id-ID"/>
        </w:rPr>
      </w:pPr>
      <w:r w:rsidRPr="007531DB">
        <w:rPr>
          <w:lang w:val="id-ID"/>
        </w:rPr>
        <w:t>HASIL DAN PEMBAHASAN</w:t>
      </w:r>
    </w:p>
    <w:p w14:paraId="48AB61DE" w14:textId="69B06330" w:rsidR="00EB7B79" w:rsidRPr="007531DB" w:rsidRDefault="00B7186F" w:rsidP="00D80656">
      <w:pPr>
        <w:pStyle w:val="Judul2"/>
      </w:pPr>
      <w:r w:rsidRPr="007531DB">
        <w:t xml:space="preserve">Kekudusan </w:t>
      </w:r>
      <w:r>
        <w:t>d</w:t>
      </w:r>
      <w:r w:rsidRPr="007531DB">
        <w:t xml:space="preserve">alam </w:t>
      </w:r>
      <w:r w:rsidR="006A7CAC">
        <w:t xml:space="preserve">Lensa </w:t>
      </w:r>
      <w:r w:rsidRPr="007531DB">
        <w:t xml:space="preserve">Teologi Pentakosta </w:t>
      </w:r>
    </w:p>
    <w:p w14:paraId="094B242E" w14:textId="5E2E2AE4" w:rsidR="009F3F90" w:rsidRPr="009F3F90" w:rsidRDefault="00DD5396" w:rsidP="009F3F90">
      <w:pPr>
        <w:spacing w:line="360" w:lineRule="auto"/>
        <w:ind w:firstLine="720"/>
        <w:jc w:val="both"/>
        <w:rPr>
          <w:color w:val="000000"/>
          <w:lang w:val="id-ID"/>
        </w:rPr>
      </w:pPr>
      <w:r>
        <w:rPr>
          <w:color w:val="000000"/>
          <w:lang w:val="id-ID"/>
        </w:rPr>
        <w:t xml:space="preserve">Kekudusan adalah </w:t>
      </w:r>
      <w:r w:rsidR="00C5146E">
        <w:rPr>
          <w:color w:val="000000"/>
          <w:lang w:val="id-ID"/>
        </w:rPr>
        <w:t xml:space="preserve">gaya hidup orang percaya dalam bergereja dan mengalami Tuhan. </w:t>
      </w:r>
      <w:r w:rsidR="0055079A">
        <w:rPr>
          <w:color w:val="000000"/>
          <w:lang w:val="id-ID"/>
        </w:rPr>
        <w:t xml:space="preserve">Teologi Pentakosta mengatakan bahwa kekudusan adalah bagian dari orang percaya. </w:t>
      </w:r>
      <w:r w:rsidR="009F3F90">
        <w:rPr>
          <w:color w:val="000000"/>
          <w:lang w:val="id-ID"/>
        </w:rPr>
        <w:t>Setiap orang harus hidup</w:t>
      </w:r>
      <w:r w:rsidR="0055079A">
        <w:rPr>
          <w:color w:val="000000"/>
          <w:lang w:val="id-ID"/>
        </w:rPr>
        <w:t xml:space="preserve"> menjaga kekudusan mereka di hadapan Tuhan. </w:t>
      </w:r>
      <w:r w:rsidR="00B73C10">
        <w:rPr>
          <w:color w:val="000000"/>
          <w:lang w:val="id-ID"/>
        </w:rPr>
        <w:t xml:space="preserve">Setiap orang berproses dan </w:t>
      </w:r>
      <w:proofErr w:type="spellStart"/>
      <w:r w:rsidR="00B73C10">
        <w:rPr>
          <w:color w:val="000000"/>
          <w:lang w:val="id-ID"/>
        </w:rPr>
        <w:t>berprogres</w:t>
      </w:r>
      <w:proofErr w:type="spellEnd"/>
      <w:r w:rsidR="00B73C10">
        <w:rPr>
          <w:color w:val="000000"/>
          <w:lang w:val="id-ID"/>
        </w:rPr>
        <w:t xml:space="preserve">. </w:t>
      </w:r>
      <w:r w:rsidR="009F3F90" w:rsidRPr="009F3F90">
        <w:rPr>
          <w:color w:val="000000"/>
          <w:lang w:val="id-ID"/>
        </w:rPr>
        <w:t>Kekudusan bukanlah keadaan instan yang langsung sempurna, melainkan sebuah dinamika pertumbuhan yang berlangsung seumur hidup. Dalam kehidupan orang percaya, menjaga kekudusan berarti secara sadar memelihara relasi yang intim dengan Allah, menjauhkan diri dari dosa, serta terus membuka hati terhadap pembentukan karakter oleh Roh Kudus.</w:t>
      </w:r>
    </w:p>
    <w:p w14:paraId="4383A17A" w14:textId="0F4AF705" w:rsidR="009F3F90" w:rsidRDefault="009F3F90" w:rsidP="008D268F">
      <w:pPr>
        <w:spacing w:line="360" w:lineRule="auto"/>
        <w:ind w:firstLine="720"/>
        <w:jc w:val="both"/>
        <w:rPr>
          <w:color w:val="000000"/>
          <w:lang w:val="id-ID"/>
        </w:rPr>
      </w:pPr>
      <w:r w:rsidRPr="009F3F90">
        <w:rPr>
          <w:color w:val="000000"/>
          <w:lang w:val="id-ID"/>
        </w:rPr>
        <w:t>Kekudusan tidak identik dengan tanpa cela secara mutlak, tetapi dengan kesediaan untuk terus diperbarui. Ketika seseorang jatuh dalam kelemahan, ia tidak berhenti pada rasa bersalah, melainkan bangkit melalui pertobatan. Inilah makna hidup yang berproses: ada kesadaran diri, ada kerendahan hati, dan ada komitmen untuk berubah. Firman Tuhan dalam 1 Petrus 1:16 menegaskan, “Kuduslah kamu, sebab Aku kudus.” Panggilan ini bukan untuk menekan, tetapi untuk mengarahkan kehidupan orang percaya agar selaras dengan karakter Allah.</w:t>
      </w:r>
      <w:r>
        <w:rPr>
          <w:color w:val="000000"/>
          <w:lang w:val="id-ID"/>
        </w:rPr>
        <w:t xml:space="preserve"> </w:t>
      </w:r>
      <w:r w:rsidRPr="009F3F90">
        <w:rPr>
          <w:color w:val="000000"/>
          <w:lang w:val="id-ID"/>
        </w:rPr>
        <w:t>Berproses berarti mengizinkan Tuhan bekerja dalam setiap aspek kehidupan</w:t>
      </w:r>
      <w:r w:rsidR="008D268F">
        <w:rPr>
          <w:color w:val="000000"/>
          <w:lang w:val="id-ID"/>
        </w:rPr>
        <w:t>,</w:t>
      </w:r>
      <w:r>
        <w:rPr>
          <w:color w:val="000000"/>
          <w:lang w:val="id-ID"/>
        </w:rPr>
        <w:t xml:space="preserve"> </w:t>
      </w:r>
      <w:r w:rsidRPr="009F3F90">
        <w:rPr>
          <w:color w:val="000000"/>
          <w:lang w:val="id-ID"/>
        </w:rPr>
        <w:t xml:space="preserve">pikiran, </w:t>
      </w:r>
      <w:r w:rsidRPr="009F3F90">
        <w:rPr>
          <w:color w:val="000000"/>
          <w:lang w:val="id-ID"/>
        </w:rPr>
        <w:lastRenderedPageBreak/>
        <w:t xml:space="preserve">perkataan, dan perbuatan. Sementara </w:t>
      </w:r>
      <w:proofErr w:type="spellStart"/>
      <w:r w:rsidRPr="009F3F90">
        <w:rPr>
          <w:color w:val="000000"/>
          <w:lang w:val="id-ID"/>
        </w:rPr>
        <w:t>berprogres</w:t>
      </w:r>
      <w:proofErr w:type="spellEnd"/>
      <w:r w:rsidRPr="009F3F90">
        <w:rPr>
          <w:color w:val="000000"/>
          <w:lang w:val="id-ID"/>
        </w:rPr>
        <w:t xml:space="preserve"> berarti adanya pertumbuhan nyata, meskipun kecil, dalam kesabaran, kasih, pengendalian diri, dan integritas. Setiap tahap kehidupan membawa tantangan tersendiri, namun juga kesempatan untuk semakin serupa dengan Kristus.</w:t>
      </w:r>
    </w:p>
    <w:p w14:paraId="6894C995" w14:textId="779CF2EF" w:rsidR="005343BF" w:rsidRPr="005343BF" w:rsidRDefault="008D268F" w:rsidP="005343BF">
      <w:pPr>
        <w:spacing w:line="360" w:lineRule="auto"/>
        <w:ind w:firstLine="720"/>
        <w:jc w:val="both"/>
        <w:rPr>
          <w:color w:val="000000"/>
          <w:lang w:val="id-ID"/>
        </w:rPr>
      </w:pPr>
      <w:r>
        <w:rPr>
          <w:color w:val="000000"/>
          <w:lang w:val="id-ID"/>
        </w:rPr>
        <w:t xml:space="preserve">Frank D. </w:t>
      </w:r>
      <w:proofErr w:type="spellStart"/>
      <w:r>
        <w:rPr>
          <w:color w:val="000000"/>
          <w:lang w:val="id-ID"/>
        </w:rPr>
        <w:t>Macchia</w:t>
      </w:r>
      <w:proofErr w:type="spellEnd"/>
      <w:r>
        <w:rPr>
          <w:color w:val="000000"/>
          <w:lang w:val="id-ID"/>
        </w:rPr>
        <w:t xml:space="preserve"> mengatakan bahwa Roh Kudus dapat memampukan setiap umat-Nya untuk hidup dalam </w:t>
      </w:r>
      <w:r w:rsidR="00E466BE">
        <w:rPr>
          <w:color w:val="000000"/>
          <w:lang w:val="id-ID"/>
        </w:rPr>
        <w:t>kekudusan</w:t>
      </w:r>
      <w:r>
        <w:rPr>
          <w:color w:val="000000"/>
          <w:lang w:val="id-ID"/>
        </w:rPr>
        <w:t>.</w:t>
      </w:r>
      <w:r w:rsidR="005343BF">
        <w:rPr>
          <w:rStyle w:val="ReferensiCatatanKaki"/>
          <w:color w:val="000000"/>
          <w:lang w:val="id-ID"/>
        </w:rPr>
        <w:footnoteReference w:id="9"/>
      </w:r>
      <w:r>
        <w:rPr>
          <w:color w:val="000000"/>
          <w:lang w:val="id-ID"/>
        </w:rPr>
        <w:t xml:space="preserve"> </w:t>
      </w:r>
      <w:r w:rsidR="005343BF" w:rsidRPr="005343BF">
        <w:rPr>
          <w:color w:val="000000"/>
          <w:lang w:val="id-ID"/>
        </w:rPr>
        <w:t xml:space="preserve">Dalam pemikirannya yang berakar pada teologi Pentakosta, Roh Kudus dipahami sebagai Pribadi ilahi yang menghadirkan kuasa Allah untuk memperbarui hati, membentuk karakter, dan memampukan umat percaya </w:t>
      </w:r>
      <w:r w:rsidR="00236E6D">
        <w:rPr>
          <w:color w:val="000000"/>
          <w:lang w:val="id-ID"/>
        </w:rPr>
        <w:t xml:space="preserve">untuk </w:t>
      </w:r>
      <w:r w:rsidR="005343BF" w:rsidRPr="005343BF">
        <w:rPr>
          <w:color w:val="000000"/>
          <w:lang w:val="id-ID"/>
        </w:rPr>
        <w:t>hidup dalam kekudusan. Kekudusan, dengan demikian, bukan sekadar tuntutan moral yang harus dicapai dengan kekuatan manusia, melainkan buah dari karya Roh yang aktif di dalam diri orang percaya.</w:t>
      </w:r>
      <w:r w:rsidR="00A714BB">
        <w:rPr>
          <w:rStyle w:val="ReferensiCatatanKaki"/>
          <w:color w:val="000000"/>
          <w:lang w:val="id-ID"/>
        </w:rPr>
        <w:footnoteReference w:id="10"/>
      </w:r>
      <w:r w:rsidR="005343BF">
        <w:rPr>
          <w:color w:val="000000"/>
          <w:lang w:val="id-ID"/>
        </w:rPr>
        <w:t xml:space="preserve"> </w:t>
      </w:r>
      <w:r w:rsidR="001F5186">
        <w:rPr>
          <w:color w:val="000000"/>
          <w:lang w:val="id-ID"/>
        </w:rPr>
        <w:t>P</w:t>
      </w:r>
      <w:r w:rsidR="005343BF" w:rsidRPr="005343BF">
        <w:rPr>
          <w:color w:val="000000"/>
          <w:lang w:val="id-ID"/>
        </w:rPr>
        <w:t>engalaman kepenuhan Roh Kudus seharusnya tidak dipisahkan dari panggilan untuk hidup serupa dengan Kristus.</w:t>
      </w:r>
      <w:r w:rsidR="00236E6D">
        <w:rPr>
          <w:rStyle w:val="ReferensiCatatanKaki"/>
          <w:color w:val="000000"/>
          <w:lang w:val="id-ID"/>
        </w:rPr>
        <w:footnoteReference w:id="11"/>
      </w:r>
      <w:r w:rsidR="005343BF" w:rsidRPr="005343BF">
        <w:rPr>
          <w:color w:val="000000"/>
          <w:lang w:val="id-ID"/>
        </w:rPr>
        <w:t xml:space="preserve"> Roh Kudus memimpin orang percaya pada pertobatan yang terus-menerus, membangkitkan kesadaran akan dosa, sekaligus memberikan kuasa untuk meninggalkan pola hidup lama.</w:t>
      </w:r>
      <w:r w:rsidR="002E2BF8">
        <w:rPr>
          <w:rStyle w:val="ReferensiCatatanKaki"/>
          <w:color w:val="000000"/>
          <w:lang w:val="id-ID"/>
        </w:rPr>
        <w:footnoteReference w:id="12"/>
      </w:r>
      <w:r w:rsidR="005343BF" w:rsidRPr="005343BF">
        <w:rPr>
          <w:color w:val="000000"/>
          <w:lang w:val="id-ID"/>
        </w:rPr>
        <w:t xml:space="preserve"> </w:t>
      </w:r>
      <w:r w:rsidR="002E2BF8">
        <w:rPr>
          <w:color w:val="000000"/>
          <w:lang w:val="id-ID"/>
        </w:rPr>
        <w:t>Di sisi lain,</w:t>
      </w:r>
      <w:r w:rsidR="005343BF" w:rsidRPr="005343BF">
        <w:rPr>
          <w:color w:val="000000"/>
          <w:lang w:val="id-ID"/>
        </w:rPr>
        <w:t xml:space="preserve"> kekudusan bukanlah </w:t>
      </w:r>
      <w:proofErr w:type="spellStart"/>
      <w:r w:rsidR="005343BF" w:rsidRPr="005343BF">
        <w:rPr>
          <w:color w:val="000000"/>
          <w:lang w:val="id-ID"/>
        </w:rPr>
        <w:t>legalisme</w:t>
      </w:r>
      <w:proofErr w:type="spellEnd"/>
      <w:r w:rsidR="005343BF" w:rsidRPr="005343BF">
        <w:rPr>
          <w:color w:val="000000"/>
          <w:lang w:val="id-ID"/>
        </w:rPr>
        <w:t xml:space="preserve"> atau daftar larangan, tetapi partisipasi dalam kehidupan Allah sendiri. Roh Kudus </w:t>
      </w:r>
      <w:r w:rsidR="0065462E">
        <w:rPr>
          <w:color w:val="000000"/>
          <w:lang w:val="id-ID"/>
        </w:rPr>
        <w:t>memampukan kepada orang percaya untuk menjadi teladan iman bagi sesama manusia.</w:t>
      </w:r>
      <w:r w:rsidR="0065462E">
        <w:rPr>
          <w:rStyle w:val="ReferensiCatatanKaki"/>
          <w:color w:val="000000"/>
          <w:lang w:val="id-ID"/>
        </w:rPr>
        <w:footnoteReference w:id="13"/>
      </w:r>
    </w:p>
    <w:p w14:paraId="130CD05C" w14:textId="0BCFE9C6" w:rsidR="008D268F" w:rsidRPr="009F3F90" w:rsidRDefault="005343BF" w:rsidP="005343BF">
      <w:pPr>
        <w:spacing w:line="360" w:lineRule="auto"/>
        <w:ind w:firstLine="720"/>
        <w:jc w:val="both"/>
        <w:rPr>
          <w:color w:val="000000"/>
          <w:lang w:val="id-ID"/>
        </w:rPr>
      </w:pPr>
      <w:r w:rsidRPr="005343BF">
        <w:rPr>
          <w:color w:val="000000"/>
          <w:lang w:val="id-ID"/>
        </w:rPr>
        <w:t>Pemahaman ini sejalan dengan kesaksian Alkitab, misalnya dalam Roma 8 yang menekankan bahwa hidup menurut Roh menghasilkan kehidupan dan damai sejahtera. Hidup dalam Roh berarti membiarkan Roh Kudus mengarahkan pikiran dan tindakan, sehingga kehendak Allah semakin nyata dalam keseharian. Kekudusan bukan hanya identitas teologis, tetapi realitas etis yang terlihat dalam relasi, keputusan, dan tanggung jawab hidup.</w:t>
      </w:r>
      <w:r>
        <w:rPr>
          <w:color w:val="000000"/>
          <w:lang w:val="id-ID"/>
        </w:rPr>
        <w:t xml:space="preserve"> </w:t>
      </w:r>
      <w:r w:rsidRPr="005343BF">
        <w:rPr>
          <w:color w:val="000000"/>
          <w:lang w:val="id-ID"/>
        </w:rPr>
        <w:t>Roh membentuk gereja sebagai komunitas kudus yang saling membangun dan saling meneguhkan dalam kasih. Oleh sebab itu, kekudusan tidak hanya bersifat individual, tetapi juga tercermin dalam kehidupan bersama yang mencerminkan karakter Kristus. Dalam konteks gereja yang terbatas dan penuh tantangan, pemahaman ini menjadi penting agar pelayanan tidak terlepas dari kehidupan yang dipimpin oleh Roh.</w:t>
      </w:r>
    </w:p>
    <w:p w14:paraId="25F381EE" w14:textId="2BD6AC46" w:rsidR="00EB7B79" w:rsidRDefault="009F3F90" w:rsidP="009F3F90">
      <w:pPr>
        <w:spacing w:line="360" w:lineRule="auto"/>
        <w:ind w:firstLine="720"/>
        <w:jc w:val="both"/>
        <w:rPr>
          <w:color w:val="000000"/>
          <w:lang w:val="id-ID"/>
        </w:rPr>
      </w:pPr>
      <w:r w:rsidRPr="009F3F90">
        <w:rPr>
          <w:color w:val="000000"/>
          <w:lang w:val="id-ID"/>
        </w:rPr>
        <w:t xml:space="preserve">Dengan demikian, menjaga kekudusan adalah tanggung jawab pribadi sekaligus respons terhadap kasih karunia Allah. Di dalam komunitas gereja, proses ini juga diperkuat melalui persekutuan, saling menasihati, dan saling mendoakan. Hidup dalam kekudusan </w:t>
      </w:r>
      <w:r w:rsidRPr="009F3F90">
        <w:rPr>
          <w:color w:val="000000"/>
          <w:lang w:val="id-ID"/>
        </w:rPr>
        <w:lastRenderedPageBreak/>
        <w:t>bukanlah perjalanan yang sunyi, melainkan perjalanan bersama menuju kedewasaan rohani yang semakin memuliakan Tuhan dari waktu ke waktu.</w:t>
      </w:r>
    </w:p>
    <w:p w14:paraId="09CC4EF2" w14:textId="0BFD9C0F" w:rsidR="00EB7B79" w:rsidRPr="007531DB" w:rsidRDefault="005976FC" w:rsidP="005976FC">
      <w:pPr>
        <w:pStyle w:val="Judul2"/>
      </w:pPr>
      <w:r w:rsidRPr="007531DB">
        <w:t>Teropong Gereja Diaspora</w:t>
      </w:r>
      <w:r>
        <w:t xml:space="preserve"> </w:t>
      </w:r>
    </w:p>
    <w:p w14:paraId="1A76D5E3" w14:textId="21D40836" w:rsidR="00EB7B79" w:rsidRPr="007D1215" w:rsidRDefault="00EF0924" w:rsidP="007756C8">
      <w:pPr>
        <w:spacing w:line="360" w:lineRule="auto"/>
        <w:ind w:firstLine="720"/>
        <w:jc w:val="both"/>
        <w:rPr>
          <w:color w:val="000000"/>
          <w:lang w:val="id-ID"/>
        </w:rPr>
      </w:pPr>
      <w:r>
        <w:rPr>
          <w:color w:val="000000"/>
          <w:lang w:val="id-ID"/>
        </w:rPr>
        <w:t xml:space="preserve">Gereja-gereja diaspora adalah mereka yang berada di luar tanah </w:t>
      </w:r>
      <w:r w:rsidR="00B34614">
        <w:rPr>
          <w:color w:val="000000"/>
          <w:lang w:val="id-ID"/>
        </w:rPr>
        <w:t xml:space="preserve">asal mereka. Peneliti di sini mengkaji gereja yang berada di Australia. </w:t>
      </w:r>
      <w:r w:rsidR="00B34614" w:rsidRPr="00B34614">
        <w:rPr>
          <w:color w:val="000000"/>
          <w:lang w:val="id-ID"/>
        </w:rPr>
        <w:t xml:space="preserve">Istilah diaspora sendiri berarti </w:t>
      </w:r>
      <w:r w:rsidR="00754CF6">
        <w:rPr>
          <w:color w:val="000000"/>
          <w:lang w:val="id-ID"/>
        </w:rPr>
        <w:t>‘</w:t>
      </w:r>
      <w:r w:rsidR="00B34614" w:rsidRPr="00B34614">
        <w:rPr>
          <w:color w:val="000000"/>
          <w:lang w:val="id-ID"/>
        </w:rPr>
        <w:t>tersebar</w:t>
      </w:r>
      <w:r w:rsidR="00754CF6">
        <w:rPr>
          <w:color w:val="000000"/>
          <w:lang w:val="id-ID"/>
        </w:rPr>
        <w:t>’</w:t>
      </w:r>
      <w:r w:rsidR="00B34614" w:rsidRPr="00B34614">
        <w:rPr>
          <w:color w:val="000000"/>
          <w:lang w:val="id-ID"/>
        </w:rPr>
        <w:t xml:space="preserve"> atau </w:t>
      </w:r>
      <w:r w:rsidR="00754CF6">
        <w:rPr>
          <w:color w:val="000000"/>
          <w:lang w:val="id-ID"/>
        </w:rPr>
        <w:t>‘</w:t>
      </w:r>
      <w:r w:rsidR="00B34614" w:rsidRPr="00B34614">
        <w:rPr>
          <w:color w:val="000000"/>
          <w:lang w:val="id-ID"/>
        </w:rPr>
        <w:t>berpencar</w:t>
      </w:r>
      <w:r w:rsidR="00754CF6">
        <w:rPr>
          <w:color w:val="000000"/>
          <w:lang w:val="id-ID"/>
        </w:rPr>
        <w:t>’</w:t>
      </w:r>
      <w:r w:rsidR="00B34614" w:rsidRPr="00B34614">
        <w:rPr>
          <w:color w:val="000000"/>
          <w:lang w:val="id-ID"/>
        </w:rPr>
        <w:t xml:space="preserve"> dan dalam konteks gerejawi menunjuk pada </w:t>
      </w:r>
      <w:r w:rsidR="00754CF6">
        <w:rPr>
          <w:color w:val="000000"/>
          <w:lang w:val="id-ID"/>
        </w:rPr>
        <w:t>persekutuan</w:t>
      </w:r>
      <w:r w:rsidR="00B34614" w:rsidRPr="00B34614">
        <w:rPr>
          <w:color w:val="000000"/>
          <w:lang w:val="id-ID"/>
        </w:rPr>
        <w:t xml:space="preserve"> iman yang hidup sebagai minoritas di tengah lingkungan </w:t>
      </w:r>
      <w:r w:rsidR="002D6216">
        <w:rPr>
          <w:color w:val="000000"/>
          <w:lang w:val="id-ID"/>
        </w:rPr>
        <w:t>budaya atau</w:t>
      </w:r>
      <w:r w:rsidR="00B34614" w:rsidRPr="00B34614">
        <w:rPr>
          <w:color w:val="000000"/>
          <w:lang w:val="id-ID"/>
        </w:rPr>
        <w:t xml:space="preserve"> bangsa yang berbeda dari identitas asalnya.</w:t>
      </w:r>
      <w:r w:rsidR="002D6216">
        <w:rPr>
          <w:rStyle w:val="ReferensiCatatanKaki"/>
          <w:color w:val="000000"/>
          <w:lang w:val="id-ID"/>
        </w:rPr>
        <w:footnoteReference w:id="14"/>
      </w:r>
      <w:r w:rsidR="00B34614">
        <w:rPr>
          <w:color w:val="000000"/>
          <w:lang w:val="id-ID"/>
        </w:rPr>
        <w:t xml:space="preserve"> </w:t>
      </w:r>
      <w:r w:rsidR="004342CC">
        <w:rPr>
          <w:color w:val="000000"/>
          <w:lang w:val="id-ID"/>
        </w:rPr>
        <w:t xml:space="preserve">Jemaat harus mengalami pertumbuhan di dalam persekutuan iman mereka. </w:t>
      </w:r>
      <w:r w:rsidR="007D40A6">
        <w:rPr>
          <w:color w:val="000000"/>
          <w:lang w:val="id-ID"/>
        </w:rPr>
        <w:t>Saat</w:t>
      </w:r>
      <w:r w:rsidR="005E2E80">
        <w:rPr>
          <w:color w:val="000000"/>
          <w:lang w:val="id-ID"/>
        </w:rPr>
        <w:t xml:space="preserve"> mereka mengalami hal tersebut</w:t>
      </w:r>
      <w:r w:rsidR="007D40A6">
        <w:rPr>
          <w:color w:val="000000"/>
          <w:lang w:val="id-ID"/>
        </w:rPr>
        <w:t>,</w:t>
      </w:r>
      <w:r w:rsidR="005E2E80">
        <w:rPr>
          <w:color w:val="000000"/>
          <w:lang w:val="id-ID"/>
        </w:rPr>
        <w:t xml:space="preserve"> rasa </w:t>
      </w:r>
      <w:r w:rsidR="00D215DF">
        <w:rPr>
          <w:color w:val="000000"/>
          <w:lang w:val="id-ID"/>
        </w:rPr>
        <w:t xml:space="preserve">terpanggil </w:t>
      </w:r>
      <w:r w:rsidR="007D40A6">
        <w:rPr>
          <w:color w:val="000000"/>
          <w:lang w:val="id-ID"/>
        </w:rPr>
        <w:t>untuk</w:t>
      </w:r>
      <w:r w:rsidR="00D215DF">
        <w:rPr>
          <w:color w:val="000000"/>
          <w:lang w:val="id-ID"/>
        </w:rPr>
        <w:t xml:space="preserve"> melayani menjadi hal yang terlihat.</w:t>
      </w:r>
      <w:r w:rsidR="002E79FB">
        <w:rPr>
          <w:rStyle w:val="ReferensiCatatanKaki"/>
          <w:color w:val="000000"/>
          <w:lang w:val="id-ID"/>
        </w:rPr>
        <w:footnoteReference w:id="15"/>
      </w:r>
      <w:r w:rsidR="00D215DF">
        <w:rPr>
          <w:color w:val="000000"/>
          <w:lang w:val="id-ID"/>
        </w:rPr>
        <w:t xml:space="preserve"> </w:t>
      </w:r>
    </w:p>
    <w:p w14:paraId="539BAAD4" w14:textId="5E4518E9" w:rsidR="00AC76F9" w:rsidRPr="00AC76F9" w:rsidRDefault="00AC76F9" w:rsidP="00AC76F9">
      <w:pPr>
        <w:spacing w:line="360" w:lineRule="auto"/>
        <w:jc w:val="both"/>
        <w:rPr>
          <w:lang w:val="id-ID"/>
        </w:rPr>
      </w:pPr>
      <w:r>
        <w:rPr>
          <w:lang w:val="id-ID"/>
        </w:rPr>
        <w:tab/>
      </w:r>
      <w:r w:rsidRPr="00AC76F9">
        <w:rPr>
          <w:lang w:val="id-ID"/>
        </w:rPr>
        <w:t>Pertumbuhan dalam konteks gereja diaspora bukan hanya pertumbuhan jumlah, melainkan terutama pertumbuhan kualitas iman.</w:t>
      </w:r>
      <w:r w:rsidR="00417E78">
        <w:rPr>
          <w:rStyle w:val="ReferensiCatatanKaki"/>
          <w:lang w:val="id-ID"/>
        </w:rPr>
        <w:footnoteReference w:id="16"/>
      </w:r>
      <w:r w:rsidRPr="00AC76F9">
        <w:rPr>
          <w:lang w:val="id-ID"/>
        </w:rPr>
        <w:t xml:space="preserve"> Hidup sebagai minoritas sering kali </w:t>
      </w:r>
      <w:r w:rsidR="00492C84">
        <w:rPr>
          <w:lang w:val="id-ID"/>
        </w:rPr>
        <w:t>menjadi tantangan yang harus dihadapi oleh jemaat gereja diaspora.</w:t>
      </w:r>
      <w:r w:rsidR="00492C84">
        <w:rPr>
          <w:rStyle w:val="ReferensiCatatanKaki"/>
          <w:lang w:val="id-ID"/>
        </w:rPr>
        <w:footnoteReference w:id="17"/>
      </w:r>
      <w:r w:rsidR="00492C84">
        <w:rPr>
          <w:lang w:val="id-ID"/>
        </w:rPr>
        <w:t xml:space="preserve"> </w:t>
      </w:r>
      <w:r w:rsidRPr="00AC76F9">
        <w:rPr>
          <w:lang w:val="id-ID"/>
        </w:rPr>
        <w:t xml:space="preserve"> Dalam situasi demikian, persekutuan iman menjadi ruang penting untuk saling menguatkan, meneguhkan pengharapan, dan memperdalam pengenalan akan Tuhan. Tanpa pertumbuhan rohani yang sehat, jemaat diaspora berisiko mengalami kekeringan spiritual atau sekadar menjadikan gereja sebagai tempat bernostalgia budaya.</w:t>
      </w:r>
      <w:r>
        <w:rPr>
          <w:lang w:val="id-ID"/>
        </w:rPr>
        <w:t xml:space="preserve"> </w:t>
      </w:r>
      <w:r w:rsidRPr="00AC76F9">
        <w:rPr>
          <w:lang w:val="id-ID"/>
        </w:rPr>
        <w:t xml:space="preserve">Pertumbuhan itu terjadi melalui pembinaan </w:t>
      </w:r>
      <w:r w:rsidR="00280DBE">
        <w:rPr>
          <w:lang w:val="id-ID"/>
        </w:rPr>
        <w:t>dan pengajaran yang</w:t>
      </w:r>
      <w:r w:rsidRPr="00AC76F9">
        <w:rPr>
          <w:lang w:val="id-ID"/>
        </w:rPr>
        <w:t xml:space="preserve"> saling membangun.</w:t>
      </w:r>
      <w:r w:rsidR="00280DBE">
        <w:rPr>
          <w:rStyle w:val="ReferensiCatatanKaki"/>
          <w:lang w:val="id-ID"/>
        </w:rPr>
        <w:footnoteReference w:id="18"/>
      </w:r>
      <w:r w:rsidRPr="00AC76F9">
        <w:rPr>
          <w:lang w:val="id-ID"/>
        </w:rPr>
        <w:t xml:space="preserve"> Ketika jemaat berakar kuat dalam firman Tuhan, mereka tidak mudah goyah oleh perubahan lingkungan. Sebagaimana ditegaskan dalam Efesus 4:13, tujuan pertumbuhan iman adalah mencapai kedewasaan penuh di dalam Kristus</w:t>
      </w:r>
      <w:r w:rsidR="00280DBE">
        <w:rPr>
          <w:lang w:val="id-ID"/>
        </w:rPr>
        <w:t>, karena setiap orang harus mengalami Tuhan</w:t>
      </w:r>
      <w:r w:rsidRPr="00AC76F9">
        <w:rPr>
          <w:lang w:val="id-ID"/>
        </w:rPr>
        <w:t>.</w:t>
      </w:r>
      <w:r w:rsidR="00280DBE">
        <w:rPr>
          <w:rStyle w:val="ReferensiCatatanKaki"/>
          <w:lang w:val="id-ID"/>
        </w:rPr>
        <w:footnoteReference w:id="19"/>
      </w:r>
    </w:p>
    <w:p w14:paraId="5BF8180A" w14:textId="73F10AEC" w:rsidR="00EB7B79" w:rsidRPr="007531DB" w:rsidRDefault="00AC76F9" w:rsidP="00AC76F9">
      <w:pPr>
        <w:spacing w:line="360" w:lineRule="auto"/>
        <w:ind w:firstLine="720"/>
        <w:jc w:val="both"/>
        <w:rPr>
          <w:lang w:val="id-ID"/>
        </w:rPr>
      </w:pPr>
      <w:r w:rsidRPr="00AC76F9">
        <w:rPr>
          <w:lang w:val="id-ID"/>
        </w:rPr>
        <w:t xml:space="preserve">Dalam gereja diaspora, pertumbuhan rohani </w:t>
      </w:r>
      <w:r w:rsidR="00D82A41">
        <w:rPr>
          <w:lang w:val="id-ID"/>
        </w:rPr>
        <w:t>hidup dalam kekudusan mereka.</w:t>
      </w:r>
      <w:r w:rsidR="00D82A41">
        <w:rPr>
          <w:rStyle w:val="ReferensiCatatanKaki"/>
          <w:lang w:val="id-ID"/>
        </w:rPr>
        <w:footnoteReference w:id="20"/>
      </w:r>
      <w:r w:rsidR="00D82A41">
        <w:rPr>
          <w:lang w:val="id-ID"/>
        </w:rPr>
        <w:t xml:space="preserve"> </w:t>
      </w:r>
      <w:r w:rsidRPr="00AC76F9">
        <w:rPr>
          <w:lang w:val="id-ID"/>
        </w:rPr>
        <w:t xml:space="preserve">Jemaat belajar menghargai budaya lokal, membangun relasi lintas </w:t>
      </w:r>
      <w:r w:rsidR="002C4A9C">
        <w:rPr>
          <w:lang w:val="id-ID"/>
        </w:rPr>
        <w:t>bangsa</w:t>
      </w:r>
      <w:r w:rsidRPr="00AC76F9">
        <w:rPr>
          <w:lang w:val="id-ID"/>
        </w:rPr>
        <w:t xml:space="preserve">, dan menjadi saksi </w:t>
      </w:r>
      <w:r w:rsidRPr="00AC76F9">
        <w:rPr>
          <w:lang w:val="id-ID"/>
        </w:rPr>
        <w:lastRenderedPageBreak/>
        <w:t>Kristus di tengah masyarakat yang plural. Ketika persekutuan iman bertumbuh, rasa memiliki terhadap gereja semakin kuat, dan kesadaran akan panggilan pelayanan pun berkembang secara alami. Pelayanan tidak lagi dilihat sebagai kewajiban struktural, tetapi sebagai respons syukur atas pemeliharaan Tuhan di tanah perantauan.</w:t>
      </w:r>
      <w:r>
        <w:rPr>
          <w:lang w:val="id-ID"/>
        </w:rPr>
        <w:t xml:space="preserve"> </w:t>
      </w:r>
      <w:r w:rsidRPr="00AC76F9">
        <w:rPr>
          <w:lang w:val="id-ID"/>
        </w:rPr>
        <w:t xml:space="preserve">Selain itu, pengalaman hidup sebagai diaspora justru dapat memperdalam spiritualitas pelayanan. Kesadaran sebagai “perantau” di dunia mengingatkan jemaat bahwa identitas utama mereka adalah warga Kerajaan Allah. Perspektif ini menolong mereka untuk melayani dengan hati yang rendah dan terbuka. Ketika pertumbuhan iman terjadi secara kolektif, gereja diaspora dapat menjadi </w:t>
      </w:r>
      <w:r w:rsidR="00023DEC">
        <w:rPr>
          <w:lang w:val="id-ID"/>
        </w:rPr>
        <w:t xml:space="preserve">persekutuan yang kuat dalam Tuhan. </w:t>
      </w:r>
    </w:p>
    <w:p w14:paraId="0C168F52" w14:textId="24DDF304" w:rsidR="006E7AD1" w:rsidRPr="007531DB" w:rsidRDefault="006E7AD1" w:rsidP="006E7AD1">
      <w:pPr>
        <w:pStyle w:val="Judul2"/>
      </w:pPr>
      <w:r>
        <w:t xml:space="preserve">Pergumulan </w:t>
      </w:r>
      <w:r w:rsidR="00DA6BD9">
        <w:t>D</w:t>
      </w:r>
      <w:r>
        <w:t xml:space="preserve">iri sebagai Alarm </w:t>
      </w:r>
      <w:r w:rsidR="00DA6BD9">
        <w:t>M</w:t>
      </w:r>
      <w:r>
        <w:t xml:space="preserve">enjaga </w:t>
      </w:r>
      <w:r w:rsidR="00DA6BD9">
        <w:t xml:space="preserve">Kekudusan dalam Melayani </w:t>
      </w:r>
    </w:p>
    <w:p w14:paraId="194B4399" w14:textId="5A6211F3" w:rsidR="002C7153" w:rsidRPr="002C7153" w:rsidRDefault="00422828" w:rsidP="0092483A">
      <w:pPr>
        <w:spacing w:line="360" w:lineRule="auto"/>
        <w:ind w:firstLine="720"/>
        <w:jc w:val="both"/>
        <w:rPr>
          <w:lang w:val="id-ID"/>
        </w:rPr>
      </w:pPr>
      <w:r>
        <w:rPr>
          <w:lang w:val="id-ID"/>
        </w:rPr>
        <w:t xml:space="preserve">Orang-orang percaya </w:t>
      </w:r>
      <w:r w:rsidR="00B462E5">
        <w:rPr>
          <w:lang w:val="id-ID"/>
        </w:rPr>
        <w:t>di dalam</w:t>
      </w:r>
      <w:r>
        <w:rPr>
          <w:lang w:val="id-ID"/>
        </w:rPr>
        <w:t xml:space="preserve"> hidup akan terus mengalami pergumulan. </w:t>
      </w:r>
      <w:r w:rsidR="002C7153">
        <w:rPr>
          <w:lang w:val="id-ID"/>
        </w:rPr>
        <w:t>Dalam</w:t>
      </w:r>
      <w:r>
        <w:rPr>
          <w:lang w:val="id-ID"/>
        </w:rPr>
        <w:t xml:space="preserve"> hidup ini, setiap manusia diberikan sesuai dengan porsinya masing-masing.</w:t>
      </w:r>
      <w:r w:rsidR="00002FEA">
        <w:rPr>
          <w:lang w:val="id-ID"/>
        </w:rPr>
        <w:t xml:space="preserve"> </w:t>
      </w:r>
      <w:r w:rsidR="00B462E5">
        <w:rPr>
          <w:lang w:val="id-ID"/>
        </w:rPr>
        <w:t>Dalam hal kekudusan</w:t>
      </w:r>
      <w:r w:rsidR="002C7153">
        <w:rPr>
          <w:lang w:val="id-ID"/>
        </w:rPr>
        <w:t>,</w:t>
      </w:r>
      <w:r w:rsidR="00B462E5">
        <w:rPr>
          <w:lang w:val="id-ID"/>
        </w:rPr>
        <w:t xml:space="preserve"> setiap orang diwajibkan menjaga hal tersebut. </w:t>
      </w:r>
      <w:r w:rsidR="002C7153">
        <w:rPr>
          <w:lang w:val="id-ID"/>
        </w:rPr>
        <w:t>Pergumulan</w:t>
      </w:r>
      <w:r w:rsidR="00B462E5">
        <w:rPr>
          <w:lang w:val="id-ID"/>
        </w:rPr>
        <w:t xml:space="preserve"> diri ini harus menjadi alarm </w:t>
      </w:r>
      <w:r w:rsidR="002C7153">
        <w:rPr>
          <w:lang w:val="id-ID"/>
        </w:rPr>
        <w:t>bagi</w:t>
      </w:r>
      <w:r w:rsidR="00B462E5">
        <w:rPr>
          <w:lang w:val="id-ID"/>
        </w:rPr>
        <w:t xml:space="preserve"> diri sendiri untuk menjaga kekudusan dalam melayani. </w:t>
      </w:r>
      <w:r w:rsidR="00B91FEC">
        <w:rPr>
          <w:lang w:val="id-ID"/>
        </w:rPr>
        <w:t xml:space="preserve">Oleh sebab itu, </w:t>
      </w:r>
      <w:r w:rsidR="00835049">
        <w:rPr>
          <w:lang w:val="id-ID"/>
        </w:rPr>
        <w:t>pergumulan</w:t>
      </w:r>
      <w:r w:rsidR="002C7153" w:rsidRPr="002C7153">
        <w:rPr>
          <w:lang w:val="id-ID"/>
        </w:rPr>
        <w:t xml:space="preserve"> diri yang muncul dalam perjalanan iman seharusnya tidak dipandang sebagai tanda kegagalan, melainkan sebagai “alarm rohani” yang mengingatkan akan pentingnya kewaspadaan.</w:t>
      </w:r>
      <w:r w:rsidR="00835049">
        <w:rPr>
          <w:rStyle w:val="ReferensiCatatanKaki"/>
          <w:lang w:val="id-ID"/>
        </w:rPr>
        <w:footnoteReference w:id="21"/>
      </w:r>
      <w:r w:rsidR="002C7153" w:rsidRPr="002C7153">
        <w:rPr>
          <w:lang w:val="id-ID"/>
        </w:rPr>
        <w:t xml:space="preserve"> Setiap orang pasti menghadapi godaan, kelemahan, dan konflik batin. Namun</w:t>
      </w:r>
      <w:r w:rsidR="002C7153">
        <w:rPr>
          <w:lang w:val="id-ID"/>
        </w:rPr>
        <w:t>,</w:t>
      </w:r>
      <w:r w:rsidR="002C7153" w:rsidRPr="002C7153">
        <w:rPr>
          <w:lang w:val="id-ID"/>
        </w:rPr>
        <w:t xml:space="preserve"> justru dalam pergumulan itulah seseorang diajak untuk semakin bergantung kepada kasih karunia Allah. Alarm rohani ini berfungsi untuk menolong seseorang segera menyadari ketika hati mulai menjauh</w:t>
      </w:r>
      <w:r w:rsidR="00835049">
        <w:rPr>
          <w:lang w:val="id-ID"/>
        </w:rPr>
        <w:t xml:space="preserve"> dari Tuhan, untuk kembali pada panggilannya.</w:t>
      </w:r>
      <w:r w:rsidR="00835049">
        <w:rPr>
          <w:rStyle w:val="ReferensiCatatanKaki"/>
          <w:lang w:val="id-ID"/>
        </w:rPr>
        <w:footnoteReference w:id="22"/>
      </w:r>
      <w:r w:rsidR="00835049">
        <w:rPr>
          <w:lang w:val="id-ID"/>
        </w:rPr>
        <w:t xml:space="preserve"> </w:t>
      </w:r>
      <w:r w:rsidR="002C7153" w:rsidRPr="002C7153">
        <w:rPr>
          <w:lang w:val="id-ID"/>
        </w:rPr>
        <w:t>Alkitab mengingatkan dalam 1 Tesalonika 4:3 bahwa kehendak Allah adalah pengudusan umat-Nya. Artinya, kekudusan bukan pilihan tambahan, melainkan inti dari kehidupan Kristen. Dalam konteks pelayanan, menjaga kekudusan menjadi semakin penting karena pelayanan menyangkut kesaksian. Ketika seorang pelayan hidup tidak selaras dengan firman Tuhan, bukan hanya dirinya yang terdampak, tetapi juga jemaat dan nama Tuhan yang dilayani.</w:t>
      </w:r>
      <w:r w:rsidR="00880B22">
        <w:rPr>
          <w:rStyle w:val="ReferensiCatatanKaki"/>
          <w:lang w:val="id-ID"/>
        </w:rPr>
        <w:footnoteReference w:id="23"/>
      </w:r>
    </w:p>
    <w:p w14:paraId="135ABFC8" w14:textId="712A0D70" w:rsidR="00C30472" w:rsidRPr="007531DB" w:rsidRDefault="002C7153" w:rsidP="002C7153">
      <w:pPr>
        <w:spacing w:line="360" w:lineRule="auto"/>
        <w:ind w:firstLine="720"/>
        <w:jc w:val="both"/>
        <w:rPr>
          <w:lang w:val="id-ID"/>
        </w:rPr>
      </w:pPr>
      <w:r w:rsidRPr="002C7153">
        <w:rPr>
          <w:lang w:val="id-ID"/>
        </w:rPr>
        <w:t xml:space="preserve">Menjaga kekudusan juga berarti memiliki disiplin rohani yang konsisten: doa yang teratur, pembacaan firman, refleksi diri, serta keberanian untuk mengakui kesalahan. Komunitas iman turut berperan sebagai ruang akuntabilitas, di mana setiap orang dapat </w:t>
      </w:r>
      <w:r w:rsidRPr="002C7153">
        <w:rPr>
          <w:lang w:val="id-ID"/>
        </w:rPr>
        <w:lastRenderedPageBreak/>
        <w:t>saling menasihati dan menguatkan. Dengan demikian, pergumulan pribadi tidak dibiarkan berkembang menjadi kejatuhan, melainkan diolah menjadi kesempatan pertumbuhan.</w:t>
      </w:r>
      <w:r>
        <w:rPr>
          <w:lang w:val="id-ID"/>
        </w:rPr>
        <w:t xml:space="preserve"> Sehingga </w:t>
      </w:r>
      <w:r w:rsidRPr="002C7153">
        <w:rPr>
          <w:lang w:val="id-ID"/>
        </w:rPr>
        <w:t>menjaga kekudusan dalam melayani bukanlah beban yang menekan, melainkan wujud kasih dan hormat kepada Tuhan.</w:t>
      </w:r>
      <w:r w:rsidR="00880B22">
        <w:rPr>
          <w:rStyle w:val="ReferensiCatatanKaki"/>
          <w:lang w:val="id-ID"/>
        </w:rPr>
        <w:footnoteReference w:id="24"/>
      </w:r>
      <w:r w:rsidRPr="002C7153">
        <w:rPr>
          <w:lang w:val="id-ID"/>
        </w:rPr>
        <w:t xml:space="preserve"> Alarm pergumulan diri menolong setiap orang untuk tetap rendah hati, waspada, dan terus diperbarui. Di situlah pelayanan menjadi </w:t>
      </w:r>
      <w:r>
        <w:rPr>
          <w:lang w:val="id-ID"/>
        </w:rPr>
        <w:t>murni, bukan</w:t>
      </w:r>
      <w:r w:rsidRPr="002C7153">
        <w:rPr>
          <w:lang w:val="id-ID"/>
        </w:rPr>
        <w:t xml:space="preserve"> sekadar aktivitas, tetapi persembahan hidup yang kudus dan berkenan di hadapan Allah.</w:t>
      </w:r>
      <w:r w:rsidR="0016686D">
        <w:rPr>
          <w:rStyle w:val="ReferensiCatatanKaki"/>
          <w:lang w:val="id-ID"/>
        </w:rPr>
        <w:footnoteReference w:id="25"/>
      </w:r>
    </w:p>
    <w:p w14:paraId="58BE5281" w14:textId="6F082F75" w:rsidR="00EE7D2E" w:rsidRPr="007531DB" w:rsidRDefault="00000000" w:rsidP="007D1215">
      <w:pPr>
        <w:pStyle w:val="Judul1"/>
        <w:rPr>
          <w:lang w:val="id-ID"/>
        </w:rPr>
      </w:pPr>
      <w:r w:rsidRPr="007531DB">
        <w:rPr>
          <w:lang w:val="id-ID"/>
        </w:rPr>
        <w:t>KESIMPULAN</w:t>
      </w:r>
    </w:p>
    <w:p w14:paraId="4E44D026" w14:textId="19D8273A" w:rsidR="00926D13" w:rsidRDefault="00EE7D2E" w:rsidP="009704F5">
      <w:pPr>
        <w:tabs>
          <w:tab w:val="left" w:pos="284"/>
        </w:tabs>
        <w:spacing w:line="360" w:lineRule="auto"/>
        <w:jc w:val="both"/>
        <w:rPr>
          <w:lang w:val="id-ID"/>
        </w:rPr>
      </w:pPr>
      <w:r w:rsidRPr="007531DB">
        <w:rPr>
          <w:lang w:val="id-ID"/>
        </w:rPr>
        <w:tab/>
        <w:t xml:space="preserve">Pelayanan bukan hadiah bagi mereka yang sudah sempurna, melainkan ruang pembentukan bagi mereka yang sedang dibentuk. </w:t>
      </w:r>
      <w:r w:rsidR="00A66401">
        <w:rPr>
          <w:lang w:val="id-ID"/>
        </w:rPr>
        <w:t>Gereja diaspora</w:t>
      </w:r>
      <w:r w:rsidR="002A59B5">
        <w:rPr>
          <w:lang w:val="id-ID"/>
        </w:rPr>
        <w:t xml:space="preserve"> </w:t>
      </w:r>
      <w:r w:rsidR="00A66401">
        <w:rPr>
          <w:lang w:val="id-ID"/>
        </w:rPr>
        <w:t xml:space="preserve">mendapatkan </w:t>
      </w:r>
      <w:r w:rsidR="002A59B5">
        <w:rPr>
          <w:lang w:val="id-ID"/>
        </w:rPr>
        <w:t xml:space="preserve">panggilan untuk </w:t>
      </w:r>
      <w:r w:rsidR="00A66401">
        <w:rPr>
          <w:lang w:val="id-ID"/>
        </w:rPr>
        <w:t>menjaga kekudusan mereka</w:t>
      </w:r>
      <w:r w:rsidR="002A59B5">
        <w:rPr>
          <w:lang w:val="id-ID"/>
        </w:rPr>
        <w:t xml:space="preserve">. </w:t>
      </w:r>
      <w:r w:rsidR="0099231E">
        <w:rPr>
          <w:lang w:val="id-ID"/>
        </w:rPr>
        <w:t xml:space="preserve">Sebab  pada dasarnya </w:t>
      </w:r>
      <w:proofErr w:type="spellStart"/>
      <w:r w:rsidR="0099231E">
        <w:rPr>
          <w:i/>
          <w:iCs/>
          <w:lang w:val="id-ID"/>
        </w:rPr>
        <w:t>church</w:t>
      </w:r>
      <w:proofErr w:type="spellEnd"/>
      <w:r w:rsidRPr="007531DB">
        <w:rPr>
          <w:lang w:val="id-ID"/>
        </w:rPr>
        <w:t xml:space="preserve"> dipanggil menjad</w:t>
      </w:r>
      <w:r w:rsidR="002A59B5">
        <w:rPr>
          <w:lang w:val="id-ID"/>
        </w:rPr>
        <w:t>i terang-Nya Tuhan</w:t>
      </w:r>
      <w:r w:rsidR="007756C8">
        <w:rPr>
          <w:lang w:val="id-ID"/>
        </w:rPr>
        <w:t xml:space="preserve">. </w:t>
      </w:r>
      <w:r w:rsidR="00AD62D0">
        <w:rPr>
          <w:lang w:val="id-ID"/>
        </w:rPr>
        <w:t xml:space="preserve">Jemaat akan mengalami pertumbuhan dalam melayani Tuhan. </w:t>
      </w:r>
      <w:r w:rsidR="00B0663B">
        <w:rPr>
          <w:lang w:val="id-ID"/>
        </w:rPr>
        <w:t>Kekudusan</w:t>
      </w:r>
      <w:r w:rsidR="00AD62D0">
        <w:rPr>
          <w:lang w:val="id-ID"/>
        </w:rPr>
        <w:t xml:space="preserve"> </w:t>
      </w:r>
      <w:r w:rsidR="00D86A63">
        <w:rPr>
          <w:lang w:val="id-ID"/>
        </w:rPr>
        <w:t>tidak dianggap sebagai sesuatu yang kaku, namun diperjuangkan secara terus-menerus</w:t>
      </w:r>
      <w:r w:rsidR="00AD62D0">
        <w:rPr>
          <w:lang w:val="id-ID"/>
        </w:rPr>
        <w:t xml:space="preserve">. </w:t>
      </w:r>
      <w:r w:rsidR="00092F7F">
        <w:rPr>
          <w:lang w:val="id-ID"/>
        </w:rPr>
        <w:t>Anugerah yang Kristus berikan pada setiap orang percaya</w:t>
      </w:r>
      <w:r w:rsidR="00FD677E">
        <w:rPr>
          <w:lang w:val="id-ID"/>
        </w:rPr>
        <w:t xml:space="preserve">, memampukan </w:t>
      </w:r>
      <w:r w:rsidR="00167E52">
        <w:rPr>
          <w:lang w:val="id-ID"/>
        </w:rPr>
        <w:t xml:space="preserve">untuk hidup dalam kekudusan tersebut. </w:t>
      </w:r>
    </w:p>
    <w:p w14:paraId="6C5443DD" w14:textId="77777777" w:rsidR="00827535" w:rsidRDefault="00827535" w:rsidP="009704F5">
      <w:pPr>
        <w:pStyle w:val="Judul1"/>
        <w:rPr>
          <w:lang w:val="id-ID"/>
        </w:rPr>
      </w:pPr>
      <w:r w:rsidRPr="007531DB">
        <w:rPr>
          <w:lang w:val="id-ID"/>
        </w:rPr>
        <w:t xml:space="preserve">DAFTAR PUSTAKA </w:t>
      </w:r>
    </w:p>
    <w:p w14:paraId="586AA691" w14:textId="4D343E7B" w:rsidR="00354C8D" w:rsidRPr="00354C8D" w:rsidRDefault="00354C8D" w:rsidP="00354C8D">
      <w:pPr>
        <w:widowControl w:val="0"/>
        <w:autoSpaceDE w:val="0"/>
        <w:autoSpaceDN w:val="0"/>
        <w:adjustRightInd w:val="0"/>
        <w:ind w:left="480" w:hanging="480"/>
        <w:rPr>
          <w:noProof/>
        </w:rPr>
      </w:pPr>
      <w:r>
        <w:rPr>
          <w:lang w:val="id-ID"/>
        </w:rPr>
        <w:fldChar w:fldCharType="begin" w:fldLock="1"/>
      </w:r>
      <w:r>
        <w:rPr>
          <w:lang w:val="id-ID"/>
        </w:rPr>
        <w:instrText xml:space="preserve">ADDIN Mendeley Bibliography CSL_BIBLIOGRAPHY </w:instrText>
      </w:r>
      <w:r>
        <w:rPr>
          <w:lang w:val="id-ID"/>
        </w:rPr>
        <w:fldChar w:fldCharType="separate"/>
      </w:r>
      <w:r w:rsidRPr="00354C8D">
        <w:rPr>
          <w:noProof/>
        </w:rPr>
        <w:t xml:space="preserve">Ardianto Dua Asa, and Abad Jaya Zega. “Anugerah Kekudusan Dalam Surat Ibrani 12 : 28 : Inspirasi Untuk Iman Kristen.” </w:t>
      </w:r>
      <w:r w:rsidRPr="00354C8D">
        <w:rPr>
          <w:i/>
          <w:iCs/>
          <w:noProof/>
        </w:rPr>
        <w:t>Prosiding Seminar Nasional Pendidikan Dan Agama</w:t>
      </w:r>
      <w:r w:rsidRPr="00354C8D">
        <w:rPr>
          <w:noProof/>
        </w:rPr>
        <w:t xml:space="preserve"> 4, no. 2 (2023): 114–119.</w:t>
      </w:r>
    </w:p>
    <w:p w14:paraId="0E84FAF2"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Asamoah-Gyadu, J. Kwabena. “‘To the Ends of the Earth’: Mission, Migration and the Impact of African-Led Pentecostal Churches in the European Diaspora.” </w:t>
      </w:r>
      <w:r w:rsidRPr="00354C8D">
        <w:rPr>
          <w:i/>
          <w:iCs/>
          <w:noProof/>
        </w:rPr>
        <w:t>Mission Studies</w:t>
      </w:r>
      <w:r w:rsidRPr="00354C8D">
        <w:rPr>
          <w:noProof/>
        </w:rPr>
        <w:t xml:space="preserve"> 29, no. 1 (2012).</w:t>
      </w:r>
    </w:p>
    <w:p w14:paraId="1E9BC978"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Diana, Ruat, Thia Monika, Jois Efendi, and Afgrita Fendy Christiawan. “Tugas Orang Kristen Menghadapi Perubahan Zaman: Refleksi Teologis Dari Injil Matius.” </w:t>
      </w:r>
      <w:r w:rsidRPr="00354C8D">
        <w:rPr>
          <w:i/>
          <w:iCs/>
          <w:noProof/>
        </w:rPr>
        <w:t>Skenoo : Jurnal Teologi dan Pendidikan Agama Kristen</w:t>
      </w:r>
      <w:r w:rsidRPr="00354C8D">
        <w:rPr>
          <w:noProof/>
        </w:rPr>
        <w:t xml:space="preserve"> 3, no. 1 (2023): 27–40.</w:t>
      </w:r>
    </w:p>
    <w:p w14:paraId="598CB2DF"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Eda, Yohanes Ratu. “Efektivitas Pendidikan Agama Kristen Bagi Pertumbuhan Rohani Remaja Di Gereja Kristus Rahmani Indonesia Jemaat Diaspora Cawang.” </w:t>
      </w:r>
      <w:r w:rsidRPr="00354C8D">
        <w:rPr>
          <w:i/>
          <w:iCs/>
          <w:noProof/>
        </w:rPr>
        <w:t>Ekklesia: Jurnal Teologi dan Pendidikan Kristiani</w:t>
      </w:r>
      <w:r w:rsidRPr="00354C8D">
        <w:rPr>
          <w:noProof/>
        </w:rPr>
        <w:t xml:space="preserve"> 3, no. 2 (2025).</w:t>
      </w:r>
    </w:p>
    <w:p w14:paraId="05B6EA49"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Endang, R.A.S. “Peran Roh Kudus Dalam Kehidupan Orang Percaya Masa Kini.” </w:t>
      </w:r>
      <w:r w:rsidRPr="00354C8D">
        <w:rPr>
          <w:i/>
          <w:iCs/>
          <w:noProof/>
        </w:rPr>
        <w:t>Jurnal Teologi Gracia Deo</w:t>
      </w:r>
      <w:r w:rsidRPr="00354C8D">
        <w:rPr>
          <w:noProof/>
        </w:rPr>
        <w:t xml:space="preserve"> 1(1) (2018): 23–31.</w:t>
      </w:r>
    </w:p>
    <w:p w14:paraId="55469AC1"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Ewert, and David. </w:t>
      </w:r>
      <w:r w:rsidRPr="00354C8D">
        <w:rPr>
          <w:i/>
          <w:iCs/>
          <w:noProof/>
        </w:rPr>
        <w:t>The Holy Spirit in the New Testament</w:t>
      </w:r>
      <w:r w:rsidRPr="00354C8D">
        <w:rPr>
          <w:noProof/>
        </w:rPr>
        <w:t xml:space="preserve">. United States Of America: </w:t>
      </w:r>
      <w:r w:rsidRPr="00354C8D">
        <w:rPr>
          <w:noProof/>
        </w:rPr>
        <w:lastRenderedPageBreak/>
        <w:t>Herald Press, 1922.</w:t>
      </w:r>
    </w:p>
    <w:p w14:paraId="10ABCCB6"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Frank D. Macchia. </w:t>
      </w:r>
      <w:r w:rsidRPr="00354C8D">
        <w:rPr>
          <w:i/>
          <w:iCs/>
          <w:noProof/>
        </w:rPr>
        <w:t>Baptized in the Spirit: A Global Pentecostal Theology</w:t>
      </w:r>
      <w:r w:rsidRPr="00354C8D">
        <w:rPr>
          <w:noProof/>
        </w:rPr>
        <w:t>. Grand Rapids, MI, with headquarters in Nashville, TN.: Zondervan Publishing, 2006.</w:t>
      </w:r>
    </w:p>
    <w:p w14:paraId="29D9197E"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Frederik, Hanny. “Prinsip-Prinsip Kepemimpinan Penggembalaan Berdasarkan Yohanes 10:1-21 Dan Implementasinya Dalam Kepemimpinan Gereja.” </w:t>
      </w:r>
      <w:r w:rsidRPr="00354C8D">
        <w:rPr>
          <w:i/>
          <w:iCs/>
          <w:noProof/>
        </w:rPr>
        <w:t>Jurnal Ilmu Teologi dan Pendidikan Agama Kristen</w:t>
      </w:r>
      <w:r w:rsidRPr="00354C8D">
        <w:rPr>
          <w:noProof/>
        </w:rPr>
        <w:t xml:space="preserve"> 1, no. 2 (2020): 69.</w:t>
      </w:r>
    </w:p>
    <w:p w14:paraId="08B3B32B"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Huffman, Jasper A. </w:t>
      </w:r>
      <w:r w:rsidRPr="00354C8D">
        <w:rPr>
          <w:i/>
          <w:iCs/>
          <w:noProof/>
        </w:rPr>
        <w:t>The Holy Spirit</w:t>
      </w:r>
      <w:r w:rsidRPr="00354C8D">
        <w:rPr>
          <w:noProof/>
        </w:rPr>
        <w:t>. Winona Lake, Ind: Standard Press, 1944.</w:t>
      </w:r>
    </w:p>
    <w:p w14:paraId="70ED3B88"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Hutagalung, Stimson. “Tugas Panggilan Gereja Koinonia: Kepedulian Allah Dan Tanggung Jawab Gereja Terhadap Kemiskinan.” </w:t>
      </w:r>
      <w:r w:rsidRPr="00354C8D">
        <w:rPr>
          <w:i/>
          <w:iCs/>
          <w:noProof/>
        </w:rPr>
        <w:t>Jurnal Koinonia</w:t>
      </w:r>
      <w:r w:rsidRPr="00354C8D">
        <w:rPr>
          <w:noProof/>
        </w:rPr>
        <w:t xml:space="preserve"> 8, no. 2 (2016): 93–102. https://jurnal.unai.edu/index.php/koinonia/article/download/2276/1645.</w:t>
      </w:r>
    </w:p>
    <w:p w14:paraId="5811B21D"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Irawati, Enny. “Kekudusan Hidup Menurut 1Tesalonika 4:1-8 Relevansinya Terhadap Pemahaman Pemuda Di Gkai Sunter.” </w:t>
      </w:r>
      <w:r w:rsidRPr="00354C8D">
        <w:rPr>
          <w:i/>
          <w:iCs/>
          <w:noProof/>
        </w:rPr>
        <w:t>Jurnal Teologi Biblika</w:t>
      </w:r>
      <w:r w:rsidRPr="00354C8D">
        <w:rPr>
          <w:noProof/>
        </w:rPr>
        <w:t xml:space="preserve"> 5, no. 1 (2020): 3–12.</w:t>
      </w:r>
    </w:p>
    <w:p w14:paraId="39EAD6FB"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Lilomboba, Novrianto. “Profesionalitas Pelayan Gereja.” </w:t>
      </w:r>
      <w:r w:rsidRPr="00354C8D">
        <w:rPr>
          <w:i/>
          <w:iCs/>
          <w:noProof/>
        </w:rPr>
        <w:t>e-Journal: Pendidikan dan Teologi Kristen</w:t>
      </w:r>
      <w:r w:rsidRPr="00354C8D">
        <w:rPr>
          <w:noProof/>
        </w:rPr>
        <w:t xml:space="preserve"> 1, no. 2 (2021): 34–45.</w:t>
      </w:r>
    </w:p>
    <w:p w14:paraId="014629DD"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Mbeo, Ella Tesalonika, and Andreas Bayu Krisdiantoro. “Pembinaan Guru Pendidikan Agama Kristen Dalam Pendidikan Karakter Peserta Didik Di Sekolah.” </w:t>
      </w:r>
      <w:r w:rsidRPr="00354C8D">
        <w:rPr>
          <w:i/>
          <w:iCs/>
          <w:noProof/>
        </w:rPr>
        <w:t>Didache: Jurnal Teologi dan Pendidikan Kristiani</w:t>
      </w:r>
      <w:r w:rsidRPr="00354C8D">
        <w:rPr>
          <w:noProof/>
        </w:rPr>
        <w:t xml:space="preserve"> 3, no. 1 (2021): 17–29.</w:t>
      </w:r>
    </w:p>
    <w:p w14:paraId="7BC0AC1E"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Moleong, Lexy J. </w:t>
      </w:r>
      <w:r w:rsidRPr="00354C8D">
        <w:rPr>
          <w:i/>
          <w:iCs/>
          <w:noProof/>
        </w:rPr>
        <w:t>Metodologi Penelitian Kualitatif Edisi Revisi</w:t>
      </w:r>
      <w:r w:rsidRPr="00354C8D">
        <w:rPr>
          <w:noProof/>
        </w:rPr>
        <w:t>. 36th ed. Bandung, Indonesia: PT REMAJA ROSDAKARYA, 2017.</w:t>
      </w:r>
    </w:p>
    <w:p w14:paraId="2997FAE1"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Nacpil, Marian. “The Church in the Twenty-First-Century Diaspora: The Local Church on Mission.” </w:t>
      </w:r>
      <w:r w:rsidRPr="00354C8D">
        <w:rPr>
          <w:i/>
          <w:iCs/>
          <w:noProof/>
        </w:rPr>
        <w:t>International Bulletin of Mission Research</w:t>
      </w:r>
      <w:r w:rsidRPr="00354C8D">
        <w:rPr>
          <w:noProof/>
        </w:rPr>
        <w:t xml:space="preserve"> 42, no. 1 (2018): 68–75.</w:t>
      </w:r>
    </w:p>
    <w:p w14:paraId="4680520B"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Putri, Agustin Soewitomo. “Tips Dan Trik Pemilihan Dan Penyusunan Literatur Review.” In </w:t>
      </w:r>
      <w:r w:rsidRPr="00354C8D">
        <w:rPr>
          <w:i/>
          <w:iCs/>
          <w:noProof/>
        </w:rPr>
        <w:t>Strategi Menulis Jurnal Untuk Ilmu Teologi</w:t>
      </w:r>
      <w:r w:rsidRPr="00354C8D">
        <w:rPr>
          <w:noProof/>
        </w:rPr>
        <w:t>, edited by Sonny Eli Zaluchu, 49–50. Semarang: Golden Gate Publishing, 2020.</w:t>
      </w:r>
    </w:p>
    <w:p w14:paraId="43D854B3"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Saragi, Lydia Caesera, Yudhy Sanjaya, and Fredy Simanjuntak. “Pengaruh Sikap Kerendahan Hati Dan Keteladanan Pemimpin Berdasarkan Yohanesn13: 4-5 Terhadap Pertumbuhan Gereja Di Kota Batam Pendahuluan.” </w:t>
      </w:r>
      <w:r w:rsidRPr="00354C8D">
        <w:rPr>
          <w:i/>
          <w:iCs/>
          <w:noProof/>
        </w:rPr>
        <w:t>Jurnal Teruna Bhakti</w:t>
      </w:r>
      <w:r w:rsidRPr="00354C8D">
        <w:rPr>
          <w:noProof/>
        </w:rPr>
        <w:t xml:space="preserve"> 4, no. 2 (2022): 41–47.</w:t>
      </w:r>
    </w:p>
    <w:p w14:paraId="5D3635A9"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Sinaga, Janes, Rudolf Weindra Sagala, Rolyana Ferinia Sibuea, and Stimson Hutagalung. “Pemahaman Konsep Keterlibatan Anggota Jemaat Dalam Pelayanan Dan Penginjilan Terhadap Pertumbuhan Gereja Berdasarkan Ayat Kisah Para Rasul 2:46-47.” </w:t>
      </w:r>
      <w:r w:rsidRPr="00354C8D">
        <w:rPr>
          <w:i/>
          <w:iCs/>
          <w:noProof/>
        </w:rPr>
        <w:t>Jurnal Teologi Kontekstual Indonesia</w:t>
      </w:r>
      <w:r w:rsidRPr="00354C8D">
        <w:rPr>
          <w:noProof/>
        </w:rPr>
        <w:t xml:space="preserve"> 3, no. 1 (2022): 11.</w:t>
      </w:r>
    </w:p>
    <w:p w14:paraId="03B57E0C"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Sitanggang, Vernineto. </w:t>
      </w:r>
      <w:r w:rsidRPr="00354C8D">
        <w:rPr>
          <w:i/>
          <w:iCs/>
          <w:noProof/>
        </w:rPr>
        <w:t>Penuh Roh Kudus</w:t>
      </w:r>
      <w:r w:rsidRPr="00354C8D">
        <w:rPr>
          <w:noProof/>
        </w:rPr>
        <w:t>. Sukabumi: CV Jejak (Jejak Publisher), 2020.</w:t>
      </w:r>
    </w:p>
    <w:p w14:paraId="64B14A2E"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Sunarto, Theofilus. “Peranan Roh Kudus Dalam Memberi Kekuatan Bagi Orang Percaya Berdasarkan Efesus 3:16-17.” </w:t>
      </w:r>
      <w:r w:rsidRPr="00354C8D">
        <w:rPr>
          <w:i/>
          <w:iCs/>
          <w:noProof/>
        </w:rPr>
        <w:t>Jurnal Teologi Berita Hidup</w:t>
      </w:r>
      <w:r w:rsidRPr="00354C8D">
        <w:rPr>
          <w:noProof/>
        </w:rPr>
        <w:t xml:space="preserve"> 4, no. 2 (2022): 470–479. http://www.ifpri.org/themes/gssp/gssp.htm%0Ahttp://files/171/Cardon - 2008 - Coaching d’équipe.pdf%0Ahttp://journal.um-surabaya.ac.id/index.php/JKM/article/view/2203%0Ahttp://mpoc.org.my/malaysian-palm-oil-industry/%0Ahttps://doi.org/10.1080/23322039.2017.</w:t>
      </w:r>
    </w:p>
    <w:p w14:paraId="0077ACEB"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Supriyadi, Agustinus. “Dipanggil Kepada Kekudusan.” </w:t>
      </w:r>
      <w:r w:rsidRPr="00354C8D">
        <w:rPr>
          <w:i/>
          <w:iCs/>
          <w:noProof/>
        </w:rPr>
        <w:t>JPAK: Jurnal Pendidikan Agama Katolik</w:t>
      </w:r>
      <w:r w:rsidRPr="00354C8D">
        <w:rPr>
          <w:noProof/>
        </w:rPr>
        <w:t xml:space="preserve"> 20, no. 1 (2020): 26–47.</w:t>
      </w:r>
    </w:p>
    <w:p w14:paraId="0A315D8F"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Tjandra, Lukas. </w:t>
      </w:r>
      <w:r w:rsidRPr="00354C8D">
        <w:rPr>
          <w:i/>
          <w:iCs/>
          <w:noProof/>
        </w:rPr>
        <w:t>Latar Belakang Perjanjian Baru 2: Agama</w:t>
      </w:r>
      <w:r w:rsidRPr="00354C8D">
        <w:rPr>
          <w:noProof/>
        </w:rPr>
        <w:t>. Malang: Departemen Literatur SAAT, 2000.</w:t>
      </w:r>
    </w:p>
    <w:p w14:paraId="22DEF48B"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Wibi, Christian, and Nora Dolisna Simanjuntak. “Gereja Diaspora: Model Gerakan Sinodal Bagi Gereja Katolik Indonesia Pada Masa Kini.” </w:t>
      </w:r>
      <w:r w:rsidRPr="00354C8D">
        <w:rPr>
          <w:i/>
          <w:iCs/>
          <w:noProof/>
        </w:rPr>
        <w:t>IN VERITATE LUX: Jurnal Ilmu Kateketik Pastoral Teologi, Pendidikan, Antropologi, dan Budaya</w:t>
      </w:r>
      <w:r w:rsidRPr="00354C8D">
        <w:rPr>
          <w:noProof/>
        </w:rPr>
        <w:t xml:space="preserve"> 7, no. 1 (2024).</w:t>
      </w:r>
    </w:p>
    <w:p w14:paraId="5E58434F" w14:textId="77777777" w:rsidR="00354C8D" w:rsidRPr="00354C8D" w:rsidRDefault="00354C8D" w:rsidP="00354C8D">
      <w:pPr>
        <w:widowControl w:val="0"/>
        <w:autoSpaceDE w:val="0"/>
        <w:autoSpaceDN w:val="0"/>
        <w:adjustRightInd w:val="0"/>
        <w:ind w:left="480" w:hanging="480"/>
        <w:rPr>
          <w:noProof/>
        </w:rPr>
      </w:pPr>
      <w:r w:rsidRPr="00354C8D">
        <w:rPr>
          <w:noProof/>
        </w:rPr>
        <w:t xml:space="preserve">Yelicia, Yelicia, and Krido Siswanto. “Strategi Pelayanan Pastoral Sebagai Upaya Pertumbuhan Rohani Jemaat Di GKII Jemaat Bukit Moria Kasongan.” </w:t>
      </w:r>
      <w:r w:rsidRPr="00354C8D">
        <w:rPr>
          <w:i/>
          <w:iCs/>
          <w:noProof/>
        </w:rPr>
        <w:t>Danum Pambelum: Jurnal Teologi Dan Musik Gereja</w:t>
      </w:r>
      <w:r w:rsidRPr="00354C8D">
        <w:rPr>
          <w:noProof/>
        </w:rPr>
        <w:t xml:space="preserve"> 2, no. 2 (2022): 126–142.</w:t>
      </w:r>
    </w:p>
    <w:p w14:paraId="353F0F2F" w14:textId="3DD5C6B1" w:rsidR="00690E9A" w:rsidRPr="00690E9A" w:rsidRDefault="00354C8D" w:rsidP="00690E9A">
      <w:pPr>
        <w:rPr>
          <w:lang w:val="id-ID"/>
        </w:rPr>
      </w:pPr>
      <w:r>
        <w:rPr>
          <w:lang w:val="id-ID"/>
        </w:rPr>
        <w:fldChar w:fldCharType="end"/>
      </w:r>
    </w:p>
    <w:sectPr w:rsidR="00690E9A" w:rsidRPr="00690E9A" w:rsidSect="00827535">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AB29A" w14:textId="77777777" w:rsidR="00385CAC" w:rsidRDefault="00385CAC">
      <w:r>
        <w:separator/>
      </w:r>
    </w:p>
  </w:endnote>
  <w:endnote w:type="continuationSeparator" w:id="0">
    <w:p w14:paraId="6FDDFF7A" w14:textId="77777777" w:rsidR="00385CAC" w:rsidRDefault="00385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57E258F9-498D-4DE8-983F-20316EC3B688}"/>
    <w:embedBold r:id="rId2" w:fontKey="{2AE63D01-71B9-42AA-AF01-9D90E0724EA2}"/>
  </w:font>
  <w:font w:name="Calibri">
    <w:panose1 w:val="020F0502020204030204"/>
    <w:charset w:val="00"/>
    <w:family w:val="swiss"/>
    <w:pitch w:val="variable"/>
    <w:sig w:usb0="E4002EFF" w:usb1="C000247B" w:usb2="00000009" w:usb3="00000000" w:csb0="000001FF" w:csb1="00000000"/>
    <w:embedRegular r:id="rId3" w:fontKey="{075F998D-A405-4A6C-9DD8-255E489ECC03}"/>
    <w:embedBold r:id="rId4" w:fontKey="{83BC7C59-EF9B-49AE-B3D4-4BDCA08963DF}"/>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E4D1D9F2-87E7-4E06-BD59-F20F008C366F}"/>
    <w:embedBold r:id="rId6" w:fontKey="{54F40A14-2789-42DE-8396-366FAAF99607}"/>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2D46266D-A77A-4DB2-B496-19676B9949D4}"/>
    <w:embedItalic r:id="rId8" w:fontKey="{F56F328C-CF16-4BB4-91E6-E9F8EC79D31B}"/>
  </w:font>
  <w:font w:name="Lustria">
    <w:altName w:val="Cambria"/>
    <w:charset w:val="00"/>
    <w:family w:val="auto"/>
    <w:pitch w:val="default"/>
    <w:embedRegular r:id="rId9" w:fontKey="{BE56719C-E3B1-45A6-87D2-B2B109EB8B5E}"/>
    <w:embedBold r:id="rId10" w:fontKey="{D9928430-9AF5-4150-AEE9-D446B3FA238F}"/>
    <w:embedItalic r:id="rId11" w:fontKey="{41F7A5A5-D045-4DD7-B25C-691932D9D7CA}"/>
  </w:font>
  <w:font w:name="EB Garamond">
    <w:charset w:val="00"/>
    <w:family w:val="auto"/>
    <w:pitch w:val="variable"/>
    <w:sig w:usb0="E00002FF" w:usb1="02000413" w:usb2="00000000" w:usb3="00000000" w:csb0="0000019F" w:csb1="00000000"/>
    <w:embedRegular r:id="rId12" w:fontKey="{7E9C8D18-DBA7-4A4D-AC6F-CAFD6D5481D4}"/>
  </w:font>
  <w:font w:name="Garamond">
    <w:panose1 w:val="02020404030301010803"/>
    <w:charset w:val="00"/>
    <w:family w:val="roman"/>
    <w:pitch w:val="variable"/>
    <w:sig w:usb0="00000287" w:usb1="00000000" w:usb2="00000000" w:usb3="00000000" w:csb0="0000009F" w:csb1="00000000"/>
    <w:embedRegular r:id="rId13" w:fontKey="{1E7ADC77-0377-474F-81A1-ABA787D68664}"/>
  </w:font>
  <w:font w:name="Cambria">
    <w:panose1 w:val="02040503050406030204"/>
    <w:charset w:val="00"/>
    <w:family w:val="roman"/>
    <w:pitch w:val="variable"/>
    <w:sig w:usb0="E00006FF" w:usb1="420024FF" w:usb2="02000000" w:usb3="00000000" w:csb0="0000019F" w:csb1="00000000"/>
    <w:embedRegular r:id="rId14" w:fontKey="{30C0C1F2-BC9E-4C07-8C38-C2B1F1B7E07E}"/>
    <w:embedBoldItalic r:id="rId15" w:fontKey="{0175EC42-E2FE-496A-A205-CB2E3C9AA77F}"/>
  </w:font>
  <w:font w:name="Corben">
    <w:charset w:val="00"/>
    <w:family w:val="auto"/>
    <w:pitch w:val="default"/>
    <w:embedRegular r:id="rId16" w:fontKey="{CA3FFE27-D392-4A89-9DEA-B1C9939117F5}"/>
  </w:font>
  <w:font w:name="Verdana">
    <w:panose1 w:val="020B0604030504040204"/>
    <w:charset w:val="00"/>
    <w:family w:val="swiss"/>
    <w:pitch w:val="variable"/>
    <w:sig w:usb0="A00006FF" w:usb1="4000205B" w:usb2="00000010" w:usb3="00000000" w:csb0="0000019F" w:csb1="00000000"/>
    <w:embedRegular r:id="rId17" w:fontKey="{1FB7B29C-256A-4220-B883-E32313683610}"/>
    <w:embedBold r:id="rId18" w:fontKey="{67BD9536-20B1-494A-B8B6-FAB1BFCD35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AA6B4B" w14:textId="77777777" w:rsidR="00385CAC" w:rsidRDefault="00385CAC">
      <w:r>
        <w:separator/>
      </w:r>
    </w:p>
  </w:footnote>
  <w:footnote w:type="continuationSeparator" w:id="0">
    <w:p w14:paraId="056A67D7" w14:textId="77777777" w:rsidR="00385CAC" w:rsidRDefault="00385CAC">
      <w:r>
        <w:continuationSeparator/>
      </w:r>
    </w:p>
  </w:footnote>
  <w:footnote w:id="1">
    <w:p w14:paraId="03E94BC6" w14:textId="70163B76" w:rsidR="00EA65EE" w:rsidRPr="00EA65EE" w:rsidRDefault="00EA65EE">
      <w:pPr>
        <w:pStyle w:val="TeksCatatanKaki"/>
        <w:rPr>
          <w:lang w:val="id-ID"/>
        </w:rPr>
      </w:pPr>
      <w:r>
        <w:rPr>
          <w:rStyle w:val="ReferensiCatatanKaki"/>
        </w:rPr>
        <w:footnoteRef/>
      </w:r>
      <w:r w:rsidRPr="00EA65EE">
        <w:rPr>
          <w:lang w:val="de-DE"/>
        </w:rPr>
        <w:t xml:space="preserve"> </w:t>
      </w:r>
      <w:r>
        <w:fldChar w:fldCharType="begin" w:fldLock="1"/>
      </w:r>
      <w:r w:rsidR="00DD5396">
        <w:rPr>
          <w:lang w:val="de-DE"/>
        </w:rPr>
        <w:instrText>ADDIN CSL_CITATION {"citationItems":[{"id":"ITEM-1","itemData":{"author":[{"dropping-particle":"","family":"Tjandra","given":"Lukas","non-dropping-particle":"","parse-names":false,"suffix":""}],"id":"ITEM-1","issued":{"date-parts":[["2000"]]},"number-of-pages":"57","publisher":"Departemen Literatur SAAT","publisher-place":"Malang","title":"Latar Belakang Perjanjian Baru 2: Agama","type":"book"},"uris":["http://www.mendeley.com/documents/?uuid=57bf2fd7-b7fd-41ab-9891-25f155063737"]}],"mendeley":{"formattedCitation":"Lukas Tjandra, &lt;i&gt;Latar Belakang Perjanjian Baru 2: Agama&lt;/i&gt; (Malang: Departemen Literatur SAAT, 2000).","plainTextFormattedCitation":"Lukas Tjandra, Latar Belakang Perjanjian Baru 2: Agama (Malang: Departemen Literatur SAAT, 2000).","previouslyFormattedCitation":"Lukas Tjandra, &lt;i&gt;Latar Belakang Perjanjian Baru 2: Agama&lt;/i&gt; (Malang: Departemen Literatur SAAT, 2000)."},"properties":{"noteIndex":1},"schema":"https://github.com/citation-style-language/schema/raw/master/csl-citation.json"}</w:instrText>
      </w:r>
      <w:r>
        <w:fldChar w:fldCharType="separate"/>
      </w:r>
      <w:r w:rsidRPr="00EA65EE">
        <w:rPr>
          <w:noProof/>
          <w:lang w:val="de-DE"/>
        </w:rPr>
        <w:t xml:space="preserve">Lukas Tjandra, </w:t>
      </w:r>
      <w:r w:rsidRPr="00EA65EE">
        <w:rPr>
          <w:i/>
          <w:noProof/>
          <w:lang w:val="de-DE"/>
        </w:rPr>
        <w:t>Latar Belakang Perjanjian Baru 2: Agama</w:t>
      </w:r>
      <w:r w:rsidRPr="00EA65EE">
        <w:rPr>
          <w:noProof/>
          <w:lang w:val="de-DE"/>
        </w:rPr>
        <w:t xml:space="preserve"> (Malang: Departemen Literatur SAAT, 2000).</w:t>
      </w:r>
      <w:r>
        <w:fldChar w:fldCharType="end"/>
      </w:r>
    </w:p>
  </w:footnote>
  <w:footnote w:id="2">
    <w:p w14:paraId="013C7EBB" w14:textId="02B84FAF" w:rsidR="0042659C" w:rsidRPr="0042659C" w:rsidRDefault="0042659C">
      <w:pPr>
        <w:pStyle w:val="TeksCatatanKaki"/>
        <w:rPr>
          <w:lang w:val="id-ID"/>
        </w:rPr>
      </w:pPr>
      <w:r>
        <w:rPr>
          <w:rStyle w:val="ReferensiCatatanKaki"/>
        </w:rPr>
        <w:footnoteRef/>
      </w:r>
      <w:r>
        <w:t xml:space="preserve"> </w:t>
      </w:r>
      <w:r>
        <w:fldChar w:fldCharType="begin" w:fldLock="1"/>
      </w:r>
      <w:r w:rsidR="00DD5396">
        <w:instrText>ADDIN CSL_CITATION {"citationItems":[{"id":"ITEM-1","itemData":{"abstract":"Pelayan Tuhan juga adalah pelayan Gereja, seorang pelayan Tuhan harus mampu menunjukkan satu pelayanan yang sesuai dengan kehendak Allah. Dimana dalam hal ini Kristuslah yang menjadi teladan dalam melayani. Dan tidak seharusnya seorang pelayan Gereja bertindak atau melayani tanpa motivasi yang benar dan sesuai kehendak Allah. Penelitian ini bertujuan untuk mengetahui bagaimana seharusnya pelayan Gereja menunjukkan pelayanannya dan bagaimana seorang pelayan Tuhan harus professional dalam artian memahami apa yang menjadi tanggung jawab sebagai pelayan Gereja. Metode penelitian ini menggunakan metode analisis literatur, dengan hasil penelitian yang dapat disimpulkan bahwa memang menjadi pelayan Tuhan adalah sebuah kehormatan sebab Tuhan Yesus sendiri berkata bahwa “barangsiapa melayaniNya ia akan dihormati oleh Bapa”  (Yoh. 12:26). Panggilan untuk melayani Tuhan adalah panggilan yang mulia, dan setiap orang yang dipilih dan dipanggil untuk melayani harus sungguh-sungguh mengejarkan panggilan ini.         Abstrack    The servant of God is also the servant of the Church, the servant of God must be able to show a devotion that is  accordance with God's will. Which in this case Christ is the role model in devotion. And the servant of Church should not act or minister without the right motivation and according to God's will. This study aims to find out how the servant of Church should show his devotion and how the servant of God must be professional in the sense of understanding what is their responsible as a servant of the Church. This research method used a literature analysis method, and the results of the study can be concluded that being the servant of God is an honor because the Lord Jesus himself said that \"whoever serves Him will be honored by the Father\" (John 12:26). The called to serve God is a noble calling, and everyone who is chosen and called to serve must earnestly pursue this calling","author":[{"dropping-particle":"","family":"Lilomboba","given":"Novrianto","non-dropping-particle":"","parse-names":false,"suffix":""}],"container-title":"e-Journal: Pendidikan dan Teologi Kristen","id":"ITEM-1","issue":"2","issued":{"date-parts":[["2021"]]},"page":"34-45","title":"Profesionalitas Pelayan Gereja","type":"article-journal","volume":"1"},"uris":["http://www.mendeley.com/documents/?uuid=5419ee5c-b331-4a4a-89a1-67edd9fd25fb"]}],"mendeley":{"formattedCitation":"Novrianto Lilomboba, “Profesionalitas Pelayan Gereja,” &lt;i&gt;e-Journal: Pendidikan dan Teologi Kristen&lt;/i&gt; 1, no. 2 (2021): 34–45.","plainTextFormattedCitation":"Novrianto Lilomboba, “Profesionalitas Pelayan Gereja,” e-Journal: Pendidikan dan Teologi Kristen 1, no. 2 (2021): 34–45.","previouslyFormattedCitation":"Novrianto Lilomboba, “Profesionalitas Pelayan Gereja,” &lt;i&gt;e-Journal: Pendidikan dan Teologi Kristen&lt;/i&gt; 1, no. 2 (2021): 34–45."},"properties":{"noteIndex":2},"schema":"https://github.com/citation-style-language/schema/raw/master/csl-citation.json"}</w:instrText>
      </w:r>
      <w:r>
        <w:fldChar w:fldCharType="separate"/>
      </w:r>
      <w:r w:rsidRPr="0042659C">
        <w:rPr>
          <w:noProof/>
        </w:rPr>
        <w:t xml:space="preserve">Novrianto Lilomboba, “Profesionalitas Pelayan Gereja,” </w:t>
      </w:r>
      <w:r w:rsidRPr="0042659C">
        <w:rPr>
          <w:i/>
          <w:noProof/>
        </w:rPr>
        <w:t>e-Journal: Pendidikan dan Teologi Kristen</w:t>
      </w:r>
      <w:r w:rsidRPr="0042659C">
        <w:rPr>
          <w:noProof/>
        </w:rPr>
        <w:t xml:space="preserve"> 1, no. 2 (2021): 34–45.</w:t>
      </w:r>
      <w:r>
        <w:fldChar w:fldCharType="end"/>
      </w:r>
    </w:p>
  </w:footnote>
  <w:footnote w:id="3">
    <w:p w14:paraId="0E348623" w14:textId="52929BDC" w:rsidR="00935FCF" w:rsidRPr="00935FCF" w:rsidRDefault="00935FCF">
      <w:pPr>
        <w:pStyle w:val="TeksCatatanKaki"/>
        <w:rPr>
          <w:lang w:val="id-ID"/>
        </w:rPr>
      </w:pPr>
      <w:r>
        <w:rPr>
          <w:rStyle w:val="ReferensiCatatanKaki"/>
        </w:rPr>
        <w:footnoteRef/>
      </w:r>
      <w:r w:rsidRPr="00D206CE">
        <w:rPr>
          <w:lang w:val="id-ID"/>
        </w:rPr>
        <w:t xml:space="preserve"> </w:t>
      </w:r>
      <w:r>
        <w:fldChar w:fldCharType="begin" w:fldLock="1"/>
      </w:r>
      <w:r w:rsidR="00DD5396">
        <w:rPr>
          <w:lang w:val="id-ID"/>
        </w:rPr>
        <w:instrText>ADDIN CSL_CITATION {"citationItems":[{"id":"ITEM-1","itemData":{"abstract":"… Yesus mengajarkan bahwa pemimpin Kristen adalah pemimpin yang melayani, yaitu memiliki … dan kerelaan untuk mengabdi menjadi hamba adalah prinsip dari kepemimpinan Kristen.…","author":[{"dropping-particle":"","family":"Saragi","given":"Lydia Caesera","non-dropping-particle":"","parse-names":false,"suffix":""},{"dropping-particle":"","family":"Sanjaya","given":"Yudhy","non-dropping-particle":"","parse-names":false,"suffix":""},{"dropping-particle":"","family":"Simanjuntak","given":"Fredy","non-dropping-particle":"","parse-names":false,"suffix":""}],"container-title":"Jurnal Teruna Bhakti","id":"ITEM-1","issue":"2","issued":{"date-parts":[["2022"]]},"page":"41-47","title":"Pengaruh Sikap Kerendahan Hati dan Keteladanan Pemimpin Berdasarkan Yohanesn13: 4-5 terhadap Pertumbuhan Gereja di Kota Batam Pendahuluan","type":"article-journal","volume":"4"},"uris":["http://www.mendeley.com/documents/?uuid=be170d3f-93e3-4d7a-a2bf-a81e9a221ec9"]}],"mendeley":{"formattedCitation":"Lydia Caesera Saragi, Yudhy Sanjaya, and Fredy Simanjuntak, “Pengaruh Sikap Kerendahan Hati Dan Keteladanan Pemimpin Berdasarkan Yohanesn13: 4-5 Terhadap Pertumbuhan Gereja Di Kota Batam Pendahuluan,” &lt;i&gt;Jurnal Teruna Bhakti&lt;/i&gt; 4, no. 2 (2022): 41–47.","plainTextFormattedCitation":"Lydia Caesera Saragi, Yudhy Sanjaya, and Fredy Simanjuntak, “Pengaruh Sikap Kerendahan Hati Dan Keteladanan Pemimpin Berdasarkan Yohanesn13: 4-5 Terhadap Pertumbuhan Gereja Di Kota Batam Pendahuluan,” Jurnal Teruna Bhakti 4, no. 2 (2022): 41–47.","previouslyFormattedCitation":"Lydia Caesera Saragi, Yudhy Sanjaya, and Fredy Simanjuntak, “Pengaruh Sikap Kerendahan Hati Dan Keteladanan Pemimpin Berdasarkan Yohanesn13: 4-5 Terhadap Pertumbuhan Gereja Di Kota Batam Pendahuluan,” &lt;i&gt;Jurnal Teruna Bhakti&lt;/i&gt; 4, no. 2 (2022): 41–47."},"properties":{"noteIndex":3},"schema":"https://github.com/citation-style-language/schema/raw/master/csl-citation.json"}</w:instrText>
      </w:r>
      <w:r>
        <w:fldChar w:fldCharType="separate"/>
      </w:r>
      <w:r w:rsidRPr="00D206CE">
        <w:rPr>
          <w:noProof/>
          <w:lang w:val="id-ID"/>
        </w:rPr>
        <w:t xml:space="preserve">Lydia Caesera Saragi, Yudhy Sanjaya, and Fredy Simanjuntak, “Pengaruh Sikap Kerendahan Hati Dan Keteladanan Pemimpin Berdasarkan Yohanesn13: 4-5 Terhadap Pertumbuhan Gereja Di Kota Batam Pendahuluan,” </w:t>
      </w:r>
      <w:r w:rsidRPr="00D206CE">
        <w:rPr>
          <w:i/>
          <w:noProof/>
          <w:lang w:val="id-ID"/>
        </w:rPr>
        <w:t>Jurnal Teruna Bhakti</w:t>
      </w:r>
      <w:r w:rsidRPr="00D206CE">
        <w:rPr>
          <w:noProof/>
          <w:lang w:val="id-ID"/>
        </w:rPr>
        <w:t xml:space="preserve"> 4, no. 2 (2022): 41–47.</w:t>
      </w:r>
      <w:r>
        <w:fldChar w:fldCharType="end"/>
      </w:r>
    </w:p>
  </w:footnote>
  <w:footnote w:id="4">
    <w:p w14:paraId="401EFD1F" w14:textId="12328E59" w:rsidR="008C3639" w:rsidRPr="008C3639" w:rsidRDefault="008C3639">
      <w:pPr>
        <w:pStyle w:val="TeksCatatanKaki"/>
        <w:rPr>
          <w:lang w:val="id-ID"/>
        </w:rPr>
      </w:pPr>
      <w:r>
        <w:rPr>
          <w:rStyle w:val="ReferensiCatatanKaki"/>
        </w:rPr>
        <w:footnoteRef/>
      </w:r>
      <w:r w:rsidRPr="008C3639">
        <w:rPr>
          <w:lang w:val="id-ID"/>
        </w:rPr>
        <w:t xml:space="preserve"> </w:t>
      </w:r>
      <w:r>
        <w:fldChar w:fldCharType="begin" w:fldLock="1"/>
      </w:r>
      <w:r w:rsidR="00DD5396">
        <w:rPr>
          <w:lang w:val="id-ID"/>
        </w:rPr>
        <w:instrText>ADDIN CSL_CITATION {"citationItems":[{"id":"ITEM-1","itemData":{"DOI":"10.54170/dp.v2i2.124","ISSN":"2797-6858","abstract":"Each shepherd has his own strategy or way of serving the Lord's people and reaching out to the lost. Likewise with the congregational shepherd who serves at the Indonesian Gospel Tabernacle Church (GKII) bukit Moria Kasongan Congregation. Until now, the congregation at GKII Bukit Moria Kasongan Congregation continues to exist and continues to show spiritual growth. Therefore, the author will examine how the strategy of pastoral service to the congregation in GKII of the Bukit Moria Kasongan congregation in Central Kalimantan. The purpose of this study is to explain how the pastoral ministry strategy is an effort to grow the spirituality of the congregation at GKII Bukit Moria Kasongan Congregation. The author uses qualitative research methods by collecting data through interviews with congregational pastors, congregational governing bodies and congregational members. Based on the results of the author's research, it can be concluded that from several pastoral ministry strategies carried out by shepherds such as Pastoral Counseling, Pastoral Admonition, God's Word Ministry, and Discipleship, it has an impact on the spiritual growth of the congregation at GKII Bukit Moria Kasongan which can be seen in terms of quality, namely through the attitude of life or the character of the faithful congregation in serving God and is willing to be involved in the ministry and can testify about  God's help through his life.\r Setiap gembala memiliki strategi atau cara tersendiri dalam melayani umat Tuhan dan menjangkau orang-orang yang terhilang. Begitu juga dengan gembala sidang yang melayani di Gereja Kemah Injil Indonesia (GKII) Jemaat Bukit Moria Kasongan. Hingga saat ini, jemaat di GKII Jemaat Bukit Moria Kasongan tetap eksis dan terus menunjukkan pertumbuhan secara rohani. Oleh karena itu, penulis akan meneliti bagaimana strategi pelayanan pastoral kepada jemaat yang ada di GKII jemaat Bukit Moria Kasongan Kalimantan Tengah. Tujuan penelitian ini adalah untuk menjelaskan bagaimana strategi pelayanan pastoral sebagai upaya pertumbuhan rohani jemaat di GKII Jemaat Bukit Moria Kasongan. Penulis menggunakan metode penelitian kualitatif dengan pengumpulan data melalui wawancara kepada gembala sidang, Badan Pengurus Jemaat maupun anggota jemaat. Berdasarkan hasil penelitian penulis, dapat disimpulkan bahwa dari beberapa strategi pelayanan pastoral yang dilakukan oleh gembala seperti, Konseling Pastoral, Perkunjungan Pastoral, Pelayanan Firman Tuhan, dan Pemuridan, berda…","author":[{"dropping-particle":"","family":"Yelicia","given":"Yelicia","non-dropping-particle":"","parse-names":false,"suffix":""},{"dropping-particle":"","family":"Siswanto","given":"Krido","non-dropping-particle":"","parse-names":false,"suffix":""}],"container-title":"Danum Pambelum: Jurnal Teologi Dan Musik Gereja","id":"ITEM-1","issue":"2","issued":{"date-parts":[["2022"]]},"page":"126-142","title":"Strategi Pelayanan Pastoral sebagai Upaya Pertumbuhan Rohani Jemaat di GKII Jemaat Bukit Moria Kasongan","type":"article-journal","volume":"2"},"uris":["http://www.mendeley.com/documents/?uuid=58241dd7-5660-4105-a614-b4785659f830"]}],"mendeley":{"formattedCitation":"Yelicia Yelicia and Krido Siswanto, “Strategi Pelayanan Pastoral Sebagai Upaya Pertumbuhan Rohani Jemaat Di GKII Jemaat Bukit Moria Kasongan,” &lt;i&gt;Danum Pambelum: Jurnal Teologi Dan Musik Gereja&lt;/i&gt; 2, no. 2 (2022): 126–142.","plainTextFormattedCitation":"Yelicia Yelicia and Krido Siswanto, “Strategi Pelayanan Pastoral Sebagai Upaya Pertumbuhan Rohani Jemaat Di GKII Jemaat Bukit Moria Kasongan,” Danum Pambelum: Jurnal Teologi Dan Musik Gereja 2, no. 2 (2022): 126–142.","previouslyFormattedCitation":"Yelicia Yelicia and Krido Siswanto, “Strategi Pelayanan Pastoral Sebagai Upaya Pertumbuhan Rohani Jemaat Di GKII Jemaat Bukit Moria Kasongan,” &lt;i&gt;Danum Pambelum: Jurnal Teologi Dan Musik Gereja&lt;/i&gt; 2, no. 2 (2022): 126–142."},"properties":{"noteIndex":4},"schema":"https://github.com/citation-style-language/schema/raw/master/csl-citation.json"}</w:instrText>
      </w:r>
      <w:r>
        <w:fldChar w:fldCharType="separate"/>
      </w:r>
      <w:r w:rsidRPr="008C3639">
        <w:rPr>
          <w:noProof/>
          <w:lang w:val="id-ID"/>
        </w:rPr>
        <w:t xml:space="preserve">Yelicia Yelicia and Krido Siswanto, “Strategi Pelayanan Pastoral Sebagai Upaya Pertumbuhan Rohani Jemaat Di GKII Jemaat Bukit Moria Kasongan,” </w:t>
      </w:r>
      <w:r w:rsidRPr="008C3639">
        <w:rPr>
          <w:i/>
          <w:noProof/>
          <w:lang w:val="id-ID"/>
        </w:rPr>
        <w:t>Danum Pambelum: Jurnal Teologi Dan Musik Gereja</w:t>
      </w:r>
      <w:r w:rsidRPr="008C3639">
        <w:rPr>
          <w:noProof/>
          <w:lang w:val="id-ID"/>
        </w:rPr>
        <w:t xml:space="preserve"> 2, no. 2 (2022): 126–142.</w:t>
      </w:r>
      <w:r>
        <w:fldChar w:fldCharType="end"/>
      </w:r>
    </w:p>
  </w:footnote>
  <w:footnote w:id="5">
    <w:p w14:paraId="7D391650" w14:textId="2D488D9B" w:rsidR="00FB045D" w:rsidRPr="00FB045D" w:rsidRDefault="00FB045D">
      <w:pPr>
        <w:pStyle w:val="TeksCatatanKaki"/>
        <w:rPr>
          <w:lang w:val="id-ID"/>
        </w:rPr>
      </w:pPr>
      <w:r>
        <w:rPr>
          <w:rStyle w:val="ReferensiCatatanKaki"/>
        </w:rPr>
        <w:footnoteRef/>
      </w:r>
      <w:r w:rsidRPr="00FB045D">
        <w:rPr>
          <w:lang w:val="id-ID"/>
        </w:rPr>
        <w:t xml:space="preserve"> </w:t>
      </w:r>
      <w:r>
        <w:fldChar w:fldCharType="begin" w:fldLock="1"/>
      </w:r>
      <w:r w:rsidR="00DD5396">
        <w:rPr>
          <w:lang w:val="id-ID"/>
        </w:rPr>
        <w:instrText>ADDIN CSL_CITATION {"citationItems":[{"id":"ITEM-1","itemData":{"DOI":"10.46445/jtki.v3i1.450","abstract":"Tujuan Penelitian ini adalah untuk memahami konsep yang benar mengenai keterlibatan pelayanan ibadah, untuk memahami konsep yang benar mengenai keterlibatan dalam penginjilan dan untuk pemahaman pengaruh keterlibatan dalam pelayanan ibadah serta penginjilan terhadap pertumbuhan gereja, maka penulis ingin melakukan sebuah penelitian untuk mendapatkan jawaban atas permasalahan di atas. Untuk mendapatkan penjelasan yang lengkap maka penulis menggunakan metode penilitan kualitatif dan menggunakan studi literatur dari berbagai daftar Pustaka baik buku-buku maupun jurnal serta di dukung dengan ayat-ayat alkitab sehingga mendapat pemahaman yang lengkap. Berdasarkan penelitian tersebut disimpulkan masih banyak anggota jemaat di sebuah gereja belum memahami keberadaan sebagai seorang Kristen yang harus terlibat dalam pelayanan ibadah maupun penginjilan sehingga iman kekristenan dan keanggotaan gereja dapat bertumbuh seperti yang terjadi kepada jemaat mula-mula dalam kitab Kisah Para Rasul. Untuk itu dengan pemahaman yang lebih baik maka akan lebih banya yang terlibat dalam pelayanan ibadah dan penginjilan di Gereja.","author":[{"dropping-particle":"","family":"Sinaga","given":"Janes","non-dropping-particle":"","parse-names":false,"suffix":""},{"dropping-particle":"","family":"Sagala","given":"Rudolf Weindra","non-dropping-particle":"","parse-names":false,"suffix":""},{"dropping-particle":"","family":"Sibuea","given":"Rolyana Ferinia","non-dropping-particle":"","parse-names":false,"suffix":""},{"dropping-particle":"","family":"Hutagalung","given":"Stimson","non-dropping-particle":"","parse-names":false,"suffix":""}],"container-title":"Jurnal Teologi Kontekstual Indonesia","id":"ITEM-1","issue":"1","issued":{"date-parts":[["2022"]]},"page":"11","title":"Pemahaman Konsep Keterlibatan Anggota Jemaat Dalam Pelayanan Dan Penginjilan Terhadap Pertumbuhan Gereja Berdasarkan Ayat Kisah Para Rasul 2:46-47","type":"article-journal","volume":"3"},"uris":["http://www.mendeley.com/documents/?uuid=9f8b6914-02d7-4bd6-8753-ec9bb2839e47"]}],"mendeley":{"formattedCitation":"Janes Sinaga et al., “Pemahaman Konsep Keterlibatan Anggota Jemaat Dalam Pelayanan Dan Penginjilan Terhadap Pertumbuhan Gereja Berdasarkan Ayat Kisah Para Rasul 2:46-47,” &lt;i&gt;Jurnal Teologi Kontekstual Indonesia&lt;/i&gt; 3, no. 1 (2022): 11.","plainTextFormattedCitation":"Janes Sinaga et al., “Pemahaman Konsep Keterlibatan Anggota Jemaat Dalam Pelayanan Dan Penginjilan Terhadap Pertumbuhan Gereja Berdasarkan Ayat Kisah Para Rasul 2:46-47,” Jurnal Teologi Kontekstual Indonesia 3, no. 1 (2022): 11.","previouslyFormattedCitation":"Janes Sinaga et al., “Pemahaman Konsep Keterlibatan Anggota Jemaat Dalam Pelayanan Dan Penginjilan Terhadap Pertumbuhan Gereja Berdasarkan Ayat Kisah Para Rasul 2:46-47,” &lt;i&gt;Jurnal Teologi Kontekstual Indonesia&lt;/i&gt; 3, no. 1 (2022): 11."},"properties":{"noteIndex":5},"schema":"https://github.com/citation-style-language/schema/raw/master/csl-citation.json"}</w:instrText>
      </w:r>
      <w:r>
        <w:fldChar w:fldCharType="separate"/>
      </w:r>
      <w:r w:rsidRPr="00FB045D">
        <w:rPr>
          <w:noProof/>
          <w:lang w:val="id-ID"/>
        </w:rPr>
        <w:t xml:space="preserve">Janes Sinaga et al., “Pemahaman Konsep Keterlibatan Anggota Jemaat Dalam Pelayanan Dan Penginjilan Terhadap Pertumbuhan Gereja Berdasarkan Ayat Kisah Para Rasul 2:46-47,” </w:t>
      </w:r>
      <w:r w:rsidRPr="00FB045D">
        <w:rPr>
          <w:i/>
          <w:noProof/>
          <w:lang w:val="id-ID"/>
        </w:rPr>
        <w:t>Jurnal Teologi Kontekstual Indonesia</w:t>
      </w:r>
      <w:r w:rsidRPr="00FB045D">
        <w:rPr>
          <w:noProof/>
          <w:lang w:val="id-ID"/>
        </w:rPr>
        <w:t xml:space="preserve"> 3, no. 1 (2022): 11.</w:t>
      </w:r>
      <w:r>
        <w:fldChar w:fldCharType="end"/>
      </w:r>
    </w:p>
  </w:footnote>
  <w:footnote w:id="6">
    <w:p w14:paraId="54C4371A" w14:textId="4474C6B2" w:rsidR="00DD5396" w:rsidRPr="00DD5396" w:rsidRDefault="00DD5396">
      <w:pPr>
        <w:pStyle w:val="TeksCatatanKaki"/>
        <w:rPr>
          <w:lang w:val="id-ID"/>
        </w:rPr>
      </w:pPr>
      <w:r>
        <w:rPr>
          <w:rStyle w:val="ReferensiCatatanKaki"/>
        </w:rPr>
        <w:footnoteRef/>
      </w:r>
      <w:r w:rsidRPr="00DD5396">
        <w:rPr>
          <w:lang w:val="id-ID"/>
        </w:rPr>
        <w:t xml:space="preserve"> </w:t>
      </w:r>
      <w:r>
        <w:fldChar w:fldCharType="begin" w:fldLock="1"/>
      </w:r>
      <w:r w:rsidR="005343BF">
        <w:rPr>
          <w:lang w:val="id-ID"/>
        </w:rPr>
        <w:instrText>ADDIN CSL_CITATION {"citationItems":[{"id":"ITEM-1","itemData":{"abstract":"Injustice will bring social problems, especially in terms of economy. This will bring up the poverty and misery in the midst of society. The Church played important role in overcoming poverty and also become one of the responsibilities of Jesus' followers. Christianity must concern and caring to the poor and suffer and should play an active role in overcoming the problem of poverty due to the accountability in last judgement. Churches in the world, including Seventh-day Adventist Church, take responsible to reduce poverty problem.","author":[{"dropping-particle":"","family":"Hutagalung","given":"Stimson","non-dropping-particle":"","parse-names":false,"suffix":""}],"container-title":"Jurnal Koinonia","id":"ITEM-1","issue":"2","issued":{"date-parts":[["2016"]]},"page":"93-102","title":"Tugas Panggilan Gereja Koinonia: Kepedulian Allah Dan Tanggung Jawab Gereja Terhadap Kemiskinan","type":"article-journal","volume":"8"},"uris":["http://www.mendeley.com/documents/?uuid=173f0f18-3c35-49cf-9639-6bef30198ec1"]}],"mendeley":{"formattedCitation":"Stimson Hutagalung, “Tugas Panggilan Gereja Koinonia: Kepedulian Allah Dan Tanggung Jawab Gereja Terhadap Kemiskinan,” &lt;i&gt;Jurnal Koinonia&lt;/i&gt; 8, no. 2 (2016): 93–102, https://jurnal.unai.edu/index.php/koinonia/article/download/2276/1645.","plainTextFormattedCitation":"Stimson Hutagalung, “Tugas Panggilan Gereja Koinonia: Kepedulian Allah Dan Tanggung Jawab Gereja Terhadap Kemiskinan,” Jurnal Koinonia 8, no. 2 (2016): 93–102, https://jurnal.unai.edu/index.php/koinonia/article/download/2276/1645.","previouslyFormattedCitation":"Stimson Hutagalung, “Tugas Panggilan Gereja Koinonia: Kepedulian Allah Dan Tanggung Jawab Gereja Terhadap Kemiskinan,” &lt;i&gt;Jurnal Koinonia&lt;/i&gt; 8, no. 2 (2016): 93–102, https://jurnal.unai.edu/index.php/koinonia/article/download/2276/1645."},"properties":{"noteIndex":6},"schema":"https://github.com/citation-style-language/schema/raw/master/csl-citation.json"}</w:instrText>
      </w:r>
      <w:r>
        <w:fldChar w:fldCharType="separate"/>
      </w:r>
      <w:r w:rsidRPr="00DD5396">
        <w:rPr>
          <w:noProof/>
          <w:lang w:val="id-ID"/>
        </w:rPr>
        <w:t xml:space="preserve">Stimson Hutagalung, “Tugas Panggilan Gereja Koinonia: Kepedulian Allah Dan Tanggung Jawab Gereja Terhadap Kemiskinan,” </w:t>
      </w:r>
      <w:r w:rsidRPr="00DD5396">
        <w:rPr>
          <w:i/>
          <w:noProof/>
          <w:lang w:val="id-ID"/>
        </w:rPr>
        <w:t>Jurnal Koinonia</w:t>
      </w:r>
      <w:r w:rsidRPr="00DD5396">
        <w:rPr>
          <w:noProof/>
          <w:lang w:val="id-ID"/>
        </w:rPr>
        <w:t xml:space="preserve"> 8, no. 2 (2016): 93–102, https://jurnal.unai.edu/index.php/koinonia/article/download/2276/1645.</w:t>
      </w:r>
      <w:r>
        <w:fldChar w:fldCharType="end"/>
      </w:r>
    </w:p>
  </w:footnote>
  <w:footnote w:id="7">
    <w:p w14:paraId="4519B7DE" w14:textId="68F1AD96" w:rsidR="00BA2590" w:rsidRPr="00BA2590" w:rsidRDefault="00BA2590">
      <w:pPr>
        <w:pStyle w:val="TeksCatatanKaki"/>
        <w:rPr>
          <w:lang w:val="id-ID"/>
        </w:rPr>
      </w:pPr>
      <w:r>
        <w:rPr>
          <w:rStyle w:val="ReferensiCatatanKaki"/>
        </w:rPr>
        <w:footnoteRef/>
      </w:r>
      <w:r>
        <w:t xml:space="preserve"> </w:t>
      </w:r>
      <w:r>
        <w:fldChar w:fldCharType="begin" w:fldLock="1"/>
      </w:r>
      <w:r w:rsidR="00DD5396">
        <w:instrText>ADDIN CSL_CITATION {"citationItems":[{"id":"ITEM-1","itemData":{"ISBN":"979-514-051-5","author":[{"dropping-particle":"","family":"Moleong","given":"Lexy J.","non-dropping-particle":"","parse-names":false,"suffix":""}],"edition":"36","id":"ITEM-1","issued":{"date-parts":[["2017"]]},"publisher":"PT REMAJA ROSDAKARYA","publisher-place":"Bandung, Indonesia","title":"Metodologi Penelitian Kualitatif Edisi Revisi","type":"book"},"uris":["http://www.mendeley.com/documents/?uuid=f08100d4-daa8-43a1-9f97-11fdbabd0e05"]}],"mendeley":{"formattedCitation":"Lexy J. Moleong, &lt;i&gt;Metodologi Penelitian Kualitatif Edisi Revisi&lt;/i&gt;, 36th ed. (Bandung, Indonesia: PT REMAJA ROSDAKARYA, 2017).","plainTextFormattedCitation":"Lexy J. Moleong, Metodologi Penelitian Kualitatif Edisi Revisi, 36th ed. (Bandung, Indonesia: PT REMAJA ROSDAKARYA, 2017).","previouslyFormattedCitation":"Lexy J. Moleong, &lt;i&gt;Metodologi Penelitian Kualitatif Edisi Revisi&lt;/i&gt;, 36th ed. (Bandung, Indonesia: PT REMAJA ROSDAKARYA, 2017)."},"properties":{"noteIndex":7},"schema":"https://github.com/citation-style-language/schema/raw/master/csl-citation.json"}</w:instrText>
      </w:r>
      <w:r>
        <w:fldChar w:fldCharType="separate"/>
      </w:r>
      <w:r w:rsidRPr="00BA2590">
        <w:rPr>
          <w:noProof/>
        </w:rPr>
        <w:t xml:space="preserve">Lexy J. Moleong, </w:t>
      </w:r>
      <w:r w:rsidRPr="00BA2590">
        <w:rPr>
          <w:i/>
          <w:noProof/>
        </w:rPr>
        <w:t>Metodologi Penelitian Kualitatif Edisi Revisi</w:t>
      </w:r>
      <w:r w:rsidRPr="00BA2590">
        <w:rPr>
          <w:noProof/>
        </w:rPr>
        <w:t>, 36th ed. (Bandung, Indonesia: PT REMAJA ROSDAKARYA, 2017).</w:t>
      </w:r>
      <w:r>
        <w:fldChar w:fldCharType="end"/>
      </w:r>
    </w:p>
  </w:footnote>
  <w:footnote w:id="8">
    <w:p w14:paraId="7899D76D" w14:textId="5509ED76" w:rsidR="00BA2590" w:rsidRPr="00BA2590" w:rsidRDefault="00BA2590">
      <w:pPr>
        <w:pStyle w:val="TeksCatatanKaki"/>
        <w:rPr>
          <w:lang w:val="id-ID"/>
        </w:rPr>
      </w:pPr>
      <w:r>
        <w:rPr>
          <w:rStyle w:val="ReferensiCatatanKaki"/>
        </w:rPr>
        <w:footnoteRef/>
      </w:r>
      <w:r>
        <w:t xml:space="preserve"> </w:t>
      </w:r>
      <w:r>
        <w:fldChar w:fldCharType="begin" w:fldLock="1"/>
      </w:r>
      <w:r w:rsidR="00DD5396">
        <w:instrText>ADDIN CSL_CITATION {"citationItems":[{"id":"ITEM-1","itemData":{"ISBN":"978-602-17375-7-6","author":[{"dropping-particle":"","family":"Putri","given":"Agustin Soewitomo","non-dropping-particle":"","parse-names":false,"suffix":""}],"chapter-number":"1","container-title":"Strategi Menulis Jurnal Untuk Ilmu Teologi","editor":[{"dropping-particle":"","family":"Zaluchu","given":"Sonny Eli","non-dropping-particle":"","parse-names":false,"suffix":""}],"id":"ITEM-1","issued":{"date-parts":[["2020"]]},"page":"49-50","publisher":"Golden Gate Publishing","publisher-place":"Semarang","title":"Tips dan Trik Pemilihan dan Penyusunan Literatur Review","type":"chapter"},"uris":["http://www.mendeley.com/documents/?uuid=70eea1d3-7309-45d2-b8c1-6472e370ce17"]}],"mendeley":{"formattedCitation":"Agustin Soewitomo Putri, “Tips Dan Trik Pemilihan Dan Penyusunan Literatur Review,” in &lt;i&gt;Strategi Menulis Jurnal Untuk Ilmu Teologi&lt;/i&gt;, ed. Sonny Eli Zaluchu (Semarang: Golden Gate Publishing, 2020), 49–50.","plainTextFormattedCitation":"Agustin Soewitomo Putri, “Tips Dan Trik Pemilihan Dan Penyusunan Literatur Review,” in Strategi Menulis Jurnal Untuk Ilmu Teologi, ed. Sonny Eli Zaluchu (Semarang: Golden Gate Publishing, 2020), 49–50.","previouslyFormattedCitation":"Agustin Soewitomo Putri, “Tips Dan Trik Pemilihan Dan Penyusunan Literatur Review,” in &lt;i&gt;Strategi Menulis Jurnal Untuk Ilmu Teologi&lt;/i&gt;, ed. Sonny Eli Zaluchu (Semarang: Golden Gate Publishing, 2020), 49–50."},"properties":{"noteIndex":8},"schema":"https://github.com/citation-style-language/schema/raw/master/csl-citation.json"}</w:instrText>
      </w:r>
      <w:r>
        <w:fldChar w:fldCharType="separate"/>
      </w:r>
      <w:r w:rsidRPr="00BA2590">
        <w:rPr>
          <w:noProof/>
        </w:rPr>
        <w:t xml:space="preserve">Agustin Soewitomo Putri, “Tips Dan Trik Pemilihan Dan Penyusunan Literatur Review,” in </w:t>
      </w:r>
      <w:r w:rsidRPr="00BA2590">
        <w:rPr>
          <w:i/>
          <w:noProof/>
        </w:rPr>
        <w:t>Strategi Menulis Jurnal Untuk Ilmu Teologi</w:t>
      </w:r>
      <w:r w:rsidRPr="00BA2590">
        <w:rPr>
          <w:noProof/>
        </w:rPr>
        <w:t>, ed. Sonny Eli Zaluchu (Semarang: Golden Gate Publishing, 2020), 49–50.</w:t>
      </w:r>
      <w:r>
        <w:fldChar w:fldCharType="end"/>
      </w:r>
    </w:p>
  </w:footnote>
  <w:footnote w:id="9">
    <w:p w14:paraId="076FD809" w14:textId="10201A23" w:rsidR="005343BF" w:rsidRPr="005343BF" w:rsidRDefault="005343BF">
      <w:pPr>
        <w:pStyle w:val="TeksCatatanKaki"/>
        <w:rPr>
          <w:lang w:val="id-ID"/>
        </w:rPr>
      </w:pPr>
      <w:r>
        <w:rPr>
          <w:rStyle w:val="ReferensiCatatanKaki"/>
        </w:rPr>
        <w:footnoteRef/>
      </w:r>
      <w:r>
        <w:t xml:space="preserve"> </w:t>
      </w:r>
      <w:r>
        <w:fldChar w:fldCharType="begin" w:fldLock="1"/>
      </w:r>
      <w:r w:rsidR="002E2BF8">
        <w:instrText>ADDIN CSL_CITATION {"citationItems":[{"id":"ITEM-1","itemData":{"author":[{"dropping-particle":"","family":"Frank D. Macchia","given":"","non-dropping-particle":"","parse-names":false,"suffix":""}],"id":"ITEM-1","issued":{"date-parts":[["2006"]]},"publisher":"Zondervan Publishing","publisher-place":"Grand Rapids, MI, with headquarters in Nashville, TN.","title":"Baptized in the Spirit: A Global Pentecostal Theology","type":"book"},"uris":["http://www.mendeley.com/documents/?uuid=e7ffafb8-5fe6-48e4-b7fe-40adab78431a"]}],"mendeley":{"formattedCitation":"Frank D. Macchia, &lt;i&gt;Baptized in the Spirit: A Global Pentecostal Theology&lt;/i&gt; (Grand Rapids, MI, with headquarters in Nashville, TN.: Zondervan Publishing, 2006).","plainTextFormattedCitation":"Frank D. Macchia, Baptized in the Spirit: A Global Pentecostal Theology (Grand Rapids, MI, with headquarters in Nashville, TN.: Zondervan Publishing, 2006).","previouslyFormattedCitation":"Frank D. Macchia, &lt;i&gt;Baptized in the Spirit: A Global Pentecostal Theology&lt;/i&gt; (Grand Rapids, MI, with headquarters in Nashville, TN.: Zondervan Publishing, 2006)."},"properties":{"noteIndex":9},"schema":"https://github.com/citation-style-language/schema/raw/master/csl-citation.json"}</w:instrText>
      </w:r>
      <w:r>
        <w:fldChar w:fldCharType="separate"/>
      </w:r>
      <w:r w:rsidRPr="005343BF">
        <w:rPr>
          <w:noProof/>
        </w:rPr>
        <w:t xml:space="preserve">Frank D. Macchia, </w:t>
      </w:r>
      <w:r w:rsidRPr="005343BF">
        <w:rPr>
          <w:i/>
          <w:noProof/>
        </w:rPr>
        <w:t>Baptized in the Spirit: A Global Pentecostal Theology</w:t>
      </w:r>
      <w:r w:rsidRPr="005343BF">
        <w:rPr>
          <w:noProof/>
        </w:rPr>
        <w:t xml:space="preserve"> (Grand Rapids, MI, with headquarters in Nashville, TN.: Zondervan Publishing, 2006).</w:t>
      </w:r>
      <w:r>
        <w:fldChar w:fldCharType="end"/>
      </w:r>
    </w:p>
  </w:footnote>
  <w:footnote w:id="10">
    <w:p w14:paraId="5B20ADEA" w14:textId="7D4B5214" w:rsidR="00A714BB" w:rsidRPr="00A714BB" w:rsidRDefault="00A714BB">
      <w:pPr>
        <w:pStyle w:val="TeksCatatanKaki"/>
        <w:rPr>
          <w:lang w:val="id-ID"/>
        </w:rPr>
      </w:pPr>
      <w:r>
        <w:rPr>
          <w:rStyle w:val="ReferensiCatatanKaki"/>
        </w:rPr>
        <w:footnoteRef/>
      </w:r>
      <w:r>
        <w:t xml:space="preserve"> </w:t>
      </w:r>
      <w:r>
        <w:fldChar w:fldCharType="begin" w:fldLock="1"/>
      </w:r>
      <w:r w:rsidR="00492C84">
        <w:instrText>ADDIN CSL_CITATION {"citationItems":[{"id":"ITEM-1","itemData":{"author":[{"dropping-particle":"","family":"Huffman","given":"Jasper A.","non-dropping-particle":"","parse-names":false,"suffix":""}],"id":"ITEM-1","issued":{"date-parts":[["1944"]]},"publisher":"Standard Press","publisher-place":"Winona Lake, Ind","title":"The Holy Spirit","type":"book"},"uris":["http://www.mendeley.com/documents/?uuid=75e7cbd3-028f-4894-a952-7523bd3eb648"]}],"mendeley":{"formattedCitation":"Jasper A. Huffman, &lt;i&gt;The Holy Spirit&lt;/i&gt; (Winona Lake, Ind: Standard Press, 1944).","plainTextFormattedCitation":"Jasper A. Huffman, The Holy Spirit (Winona Lake, Ind: Standard Press, 1944).","previouslyFormattedCitation":"Jasper A. Huffman, &lt;i&gt;The Holy Spirit&lt;/i&gt; (Winona Lake, Ind: Standard Press, 1944)."},"properties":{"noteIndex":10},"schema":"https://github.com/citation-style-language/schema/raw/master/csl-citation.json"}</w:instrText>
      </w:r>
      <w:r>
        <w:fldChar w:fldCharType="separate"/>
      </w:r>
      <w:r w:rsidRPr="00A714BB">
        <w:rPr>
          <w:noProof/>
        </w:rPr>
        <w:t xml:space="preserve">Jasper A. Huffman, </w:t>
      </w:r>
      <w:r w:rsidRPr="00A714BB">
        <w:rPr>
          <w:i/>
          <w:noProof/>
        </w:rPr>
        <w:t>The Holy Spirit</w:t>
      </w:r>
      <w:r w:rsidRPr="00A714BB">
        <w:rPr>
          <w:noProof/>
        </w:rPr>
        <w:t xml:space="preserve"> (Winona Lake, Ind: Standard Press, 1944).</w:t>
      </w:r>
      <w:r>
        <w:fldChar w:fldCharType="end"/>
      </w:r>
    </w:p>
  </w:footnote>
  <w:footnote w:id="11">
    <w:p w14:paraId="53B4DC7A" w14:textId="7E113942" w:rsidR="00236E6D" w:rsidRPr="00236E6D" w:rsidRDefault="00236E6D">
      <w:pPr>
        <w:pStyle w:val="TeksCatatanKaki"/>
        <w:rPr>
          <w:lang w:val="id-ID"/>
        </w:rPr>
      </w:pPr>
      <w:r>
        <w:rPr>
          <w:rStyle w:val="ReferensiCatatanKaki"/>
        </w:rPr>
        <w:footnoteRef/>
      </w:r>
      <w:r>
        <w:t xml:space="preserve"> </w:t>
      </w:r>
      <w:r>
        <w:fldChar w:fldCharType="begin" w:fldLock="1"/>
      </w:r>
      <w:r w:rsidR="00A714BB">
        <w:instrText>ADDIN CSL_CITATION {"citationItems":[{"id":"ITEM-1","itemData":{"author":[{"dropping-particle":"","family":"Sitanggang","given":"Vernineto","non-dropping-particle":"","parse-names":false,"suffix":""}],"id":"ITEM-1","issued":{"date-parts":[["2020"]]},"publisher":"CV Jejak (Jejak Publisher)","publisher-place":"Sukabumi","title":"Penuh Roh Kudus","type":"book"},"uris":["http://www.mendeley.com/documents/?uuid=570745d7-37b9-4be4-9afd-ca0f783f4be1"]}],"mendeley":{"formattedCitation":"Vernineto Sitanggang, &lt;i&gt;Penuh Roh Kudus&lt;/i&gt; (Sukabumi: CV Jejak (Jejak Publisher), 2020).","plainTextFormattedCitation":"Vernineto Sitanggang, Penuh Roh Kudus (Sukabumi: CV Jejak (Jejak Publisher), 2020).","previouslyFormattedCitation":"Vernineto Sitanggang, &lt;i&gt;Penuh Roh Kudus&lt;/i&gt; (Sukabumi: CV Jejak (Jejak Publisher), 2020)."},"properties":{"noteIndex":11},"schema":"https://github.com/citation-style-language/schema/raw/master/csl-citation.json"}</w:instrText>
      </w:r>
      <w:r>
        <w:fldChar w:fldCharType="separate"/>
      </w:r>
      <w:r w:rsidRPr="00236E6D">
        <w:rPr>
          <w:noProof/>
        </w:rPr>
        <w:t xml:space="preserve">Vernineto Sitanggang, </w:t>
      </w:r>
      <w:r w:rsidRPr="00236E6D">
        <w:rPr>
          <w:i/>
          <w:noProof/>
        </w:rPr>
        <w:t>Penuh Roh Kudus</w:t>
      </w:r>
      <w:r w:rsidRPr="00236E6D">
        <w:rPr>
          <w:noProof/>
        </w:rPr>
        <w:t xml:space="preserve"> (Sukabumi: CV Jejak (Jejak Publisher), 2020).</w:t>
      </w:r>
      <w:r>
        <w:fldChar w:fldCharType="end"/>
      </w:r>
    </w:p>
  </w:footnote>
  <w:footnote w:id="12">
    <w:p w14:paraId="2DF4A9BA" w14:textId="32A0AEEF" w:rsidR="002E2BF8" w:rsidRPr="002E2BF8" w:rsidRDefault="002E2BF8">
      <w:pPr>
        <w:pStyle w:val="TeksCatatanKaki"/>
        <w:rPr>
          <w:lang w:val="id-ID"/>
        </w:rPr>
      </w:pPr>
      <w:r>
        <w:rPr>
          <w:rStyle w:val="ReferensiCatatanKaki"/>
        </w:rPr>
        <w:footnoteRef/>
      </w:r>
      <w:r>
        <w:t xml:space="preserve"> </w:t>
      </w:r>
      <w:r>
        <w:fldChar w:fldCharType="begin" w:fldLock="1"/>
      </w:r>
      <w:r w:rsidR="00A714BB">
        <w:instrText>ADDIN CSL_CITATION {"citationItems":[{"id":"ITEM-1","itemData":{"author":[{"dropping-particle":"","family":"Ewert","given":"","non-dropping-particle":"","parse-names":false,"suffix":""},{"dropping-particle":"","family":"David","given":"","non-dropping-particle":"","parse-names":false,"suffix":""}],"id":"ITEM-1","issued":{"date-parts":[["1922"]]},"number-of-pages":"21","publisher":"Herald Press","publisher-place":"United States Of America","title":"The Holy Spirit in the New Testament","type":"book"},"uris":["http://www.mendeley.com/documents/?uuid=6854aa65-8122-4bc6-b463-cab8aeb91775"]}],"mendeley":{"formattedCitation":"Ewert and David, &lt;i&gt;The Holy Spirit in the New Testament&lt;/i&gt; (United States Of America: Herald Press, 1922).","plainTextFormattedCitation":"Ewert and David, The Holy Spirit in the New Testament (United States Of America: Herald Press, 1922).","previouslyFormattedCitation":"Ewert and David, &lt;i&gt;The Holy Spirit in the New Testament&lt;/i&gt; (United States Of America: Herald Press, 1922)."},"properties":{"noteIndex":12},"schema":"https://github.com/citation-style-language/schema/raw/master/csl-citation.json"}</w:instrText>
      </w:r>
      <w:r>
        <w:fldChar w:fldCharType="separate"/>
      </w:r>
      <w:r w:rsidRPr="002E2BF8">
        <w:rPr>
          <w:noProof/>
        </w:rPr>
        <w:t xml:space="preserve">Ewert and David, </w:t>
      </w:r>
      <w:r w:rsidRPr="002E2BF8">
        <w:rPr>
          <w:i/>
          <w:noProof/>
        </w:rPr>
        <w:t>The Holy Spirit in the New Testament</w:t>
      </w:r>
      <w:r w:rsidRPr="002E2BF8">
        <w:rPr>
          <w:noProof/>
        </w:rPr>
        <w:t xml:space="preserve"> (United States Of America: Herald Press, 1922).</w:t>
      </w:r>
      <w:r>
        <w:fldChar w:fldCharType="end"/>
      </w:r>
    </w:p>
  </w:footnote>
  <w:footnote w:id="13">
    <w:p w14:paraId="236BC63F" w14:textId="0B09A20D" w:rsidR="0065462E" w:rsidRPr="0065462E" w:rsidRDefault="0065462E">
      <w:pPr>
        <w:pStyle w:val="TeksCatatanKaki"/>
        <w:rPr>
          <w:lang w:val="id-ID"/>
        </w:rPr>
      </w:pPr>
      <w:r>
        <w:rPr>
          <w:rStyle w:val="ReferensiCatatanKaki"/>
        </w:rPr>
        <w:footnoteRef/>
      </w:r>
      <w:r>
        <w:t xml:space="preserve"> </w:t>
      </w:r>
      <w:r>
        <w:fldChar w:fldCharType="begin" w:fldLock="1"/>
      </w:r>
      <w:r w:rsidR="00A714BB">
        <w:instrText>ADDIN CSL_CITATION {"citationItems":[{"id":"ITEM-1","itemData":{"author":[{"dropping-particle":"","family":"Endang","given":"R.A.S","non-dropping-particle":"","parse-names":false,"suffix":""}],"container-title":"Jurnal Teologi Gracia Deo","id":"ITEM-1","issued":{"date-parts":[["2018"]]},"page":"23-31","title":"Peran Roh Kudus dalam Kehidupan Orang Percaya Masa Kini","type":"article-journal","volume":"1(1)"},"uris":["http://www.mendeley.com/documents/?uuid=71493d70-0fb0-4f56-9f46-021575a7b130"]}],"mendeley":{"formattedCitation":"R.A.S Endang, “Peran Roh Kudus Dalam Kehidupan Orang Percaya Masa Kini,” &lt;i&gt;Jurnal Teologi Gracia Deo&lt;/i&gt; 1(1) (2018): 23–31.","plainTextFormattedCitation":"R.A.S Endang, “Peran Roh Kudus Dalam Kehidupan Orang Percaya Masa Kini,” Jurnal Teologi Gracia Deo 1(1) (2018): 23–31.","previouslyFormattedCitation":"R.A.S Endang, “Peran Roh Kudus Dalam Kehidupan Orang Percaya Masa Kini,” &lt;i&gt;Jurnal Teologi Gracia Deo&lt;/i&gt; 1(1) (2018): 23–31."},"properties":{"noteIndex":13},"schema":"https://github.com/citation-style-language/schema/raw/master/csl-citation.json"}</w:instrText>
      </w:r>
      <w:r>
        <w:fldChar w:fldCharType="separate"/>
      </w:r>
      <w:r w:rsidRPr="0065462E">
        <w:rPr>
          <w:noProof/>
        </w:rPr>
        <w:t xml:space="preserve">R.A.S Endang, “Peran Roh Kudus Dalam Kehidupan Orang Percaya Masa Kini,” </w:t>
      </w:r>
      <w:r w:rsidRPr="0065462E">
        <w:rPr>
          <w:i/>
          <w:noProof/>
        </w:rPr>
        <w:t>Jurnal Teologi Gracia Deo</w:t>
      </w:r>
      <w:r w:rsidRPr="0065462E">
        <w:rPr>
          <w:noProof/>
        </w:rPr>
        <w:t xml:space="preserve"> 1(1) (2018): 23–31.</w:t>
      </w:r>
      <w:r>
        <w:fldChar w:fldCharType="end"/>
      </w:r>
    </w:p>
  </w:footnote>
  <w:footnote w:id="14">
    <w:p w14:paraId="5E4BC91F" w14:textId="2B29DCCF" w:rsidR="002D6216" w:rsidRPr="002D6216" w:rsidRDefault="002D6216">
      <w:pPr>
        <w:pStyle w:val="TeksCatatanKaki"/>
        <w:rPr>
          <w:lang w:val="id-ID"/>
        </w:rPr>
      </w:pPr>
      <w:r>
        <w:rPr>
          <w:rStyle w:val="ReferensiCatatanKaki"/>
        </w:rPr>
        <w:footnoteRef/>
      </w:r>
      <w:r>
        <w:t xml:space="preserve"> </w:t>
      </w:r>
      <w:r>
        <w:fldChar w:fldCharType="begin" w:fldLock="1"/>
      </w:r>
      <w:r w:rsidR="00835049">
        <w:instrText>ADDIN CSL_CITATION {"citationItems":[{"id":"ITEM-1","itemData":{"author":[{"dropping-particle":"","family":"Asamoah-Gyadu","given":"J. Kwabena","non-dropping-particle":"","parse-names":false,"suffix":""}],"container-title":"Mission Studies","id":"ITEM-1","issue":"1","issued":{"date-parts":[["2012"]]},"title":"“To the Ends of the Earth”: Mission, Migration and the Impact of African-led Pentecostal Churches in the European Diaspora","type":"article-journal","volume":"29"},"uris":["http://www.mendeley.com/documents/?uuid=eccb0ff6-b53d-4a72-a7e6-0114901c9d0d"]}],"mendeley":{"formattedCitation":"J. Kwabena Asamoah-Gyadu, “‘To the Ends of the Earth’: Mission, Migration and the Impact of African-Led Pentecostal Churches in the European Diaspora,” &lt;i&gt;Mission Studies&lt;/i&gt; 29, no. 1 (2012).","plainTextFormattedCitation":"J. Kwabena Asamoah-Gyadu, “‘To the Ends of the Earth’: Mission, Migration and the Impact of African-Led Pentecostal Churches in the European Diaspora,” Mission Studies 29, no. 1 (2012).","previouslyFormattedCitation":"J. Kwabena Asamoah-Gyadu, “‘To the Ends of the Earth’: Mission, Migration and the Impact of African-Led Pentecostal Churches in the European Diaspora,” &lt;i&gt;Mission Studies&lt;/i&gt; 29, no. 1 (2012)."},"properties":{"noteIndex":14},"schema":"https://github.com/citation-style-language/schema/raw/master/csl-citation.json"}</w:instrText>
      </w:r>
      <w:r>
        <w:fldChar w:fldCharType="separate"/>
      </w:r>
      <w:r w:rsidRPr="002D6216">
        <w:rPr>
          <w:noProof/>
        </w:rPr>
        <w:t xml:space="preserve">J. Kwabena Asamoah-Gyadu, “‘To the Ends of the Earth’: Mission, Migration and the Impact of African-Led Pentecostal Churches in the European Diaspora,” </w:t>
      </w:r>
      <w:r w:rsidRPr="002D6216">
        <w:rPr>
          <w:i/>
          <w:noProof/>
        </w:rPr>
        <w:t>Mission Studies</w:t>
      </w:r>
      <w:r w:rsidRPr="002D6216">
        <w:rPr>
          <w:noProof/>
        </w:rPr>
        <w:t xml:space="preserve"> 29, no. 1 (2012).</w:t>
      </w:r>
      <w:r>
        <w:fldChar w:fldCharType="end"/>
      </w:r>
    </w:p>
  </w:footnote>
  <w:footnote w:id="15">
    <w:p w14:paraId="38C650DB" w14:textId="0C8BA0F6" w:rsidR="002E79FB" w:rsidRPr="002E79FB" w:rsidRDefault="002E79FB">
      <w:pPr>
        <w:pStyle w:val="TeksCatatanKaki"/>
        <w:rPr>
          <w:lang w:val="id-ID"/>
        </w:rPr>
      </w:pPr>
      <w:r>
        <w:rPr>
          <w:rStyle w:val="ReferensiCatatanKaki"/>
        </w:rPr>
        <w:footnoteRef/>
      </w:r>
      <w:r w:rsidRPr="002E79FB">
        <w:rPr>
          <w:lang w:val="id-ID"/>
        </w:rPr>
        <w:t xml:space="preserve"> </w:t>
      </w:r>
      <w:r>
        <w:fldChar w:fldCharType="begin" w:fldLock="1"/>
      </w:r>
      <w:r w:rsidR="002D6216">
        <w:rPr>
          <w:lang w:val="id-ID"/>
        </w:rPr>
        <w:instrText>ADDIN CSL_CITATION {"citationItems":[{"id":"ITEM-1","itemData":{"author":[{"dropping-particle":"","family":"Wibi","given":"Christian","non-dropping-particle":"","parse-names":false,"suffix":""},{"dropping-particle":"","family":"Simanjuntak","given":"Nora Dolisna","non-dropping-particle":"","parse-names":false,"suffix":""}],"container-title":"IN VERITATE LUX: Jurnal Ilmu Kateketik Pastoral Teologi, Pendidikan, Antropologi, dan Budaya","id":"ITEM-1","issue":"1","issued":{"date-parts":[["2024"]]},"title":"Gereja Diaspora: Model Gerakan Sinodal Bagi Gereja Katolik Indonesia Pada Masa Kini","type":"article-journal","volume":"7"},"uris":["http://www.mendeley.com/documents/?uuid=d82e5072-a9c6-446d-b63d-8ae3dbfd3c76"]}],"mendeley":{"formattedCitation":"Christian Wibi and Nora Dolisna Simanjuntak, “Gereja Diaspora: Model Gerakan Sinodal Bagi Gereja Katolik Indonesia Pada Masa Kini,” &lt;i&gt;IN VERITATE LUX: Jurnal Ilmu Kateketik Pastoral Teologi, Pendidikan, Antropologi, dan Budaya&lt;/i&gt; 7, no. 1 (2024).","plainTextFormattedCitation":"Christian Wibi and Nora Dolisna Simanjuntak, “Gereja Diaspora: Model Gerakan Sinodal Bagi Gereja Katolik Indonesia Pada Masa Kini,” IN VERITATE LUX: Jurnal Ilmu Kateketik Pastoral Teologi, Pendidikan, Antropologi, dan Budaya 7, no. 1 (2024).","previouslyFormattedCitation":"Christian Wibi and Nora Dolisna Simanjuntak, “Gereja Diaspora: Model Gerakan Sinodal Bagi Gereja Katolik Indonesia Pada Masa Kini,” &lt;i&gt;IN VERITATE LUX: Jurnal Ilmu Kateketik Pastoral Teologi, Pendidikan, Antropologi, dan Budaya&lt;/i&gt; 7, no. 1 (2024)."},"properties":{"noteIndex":15},"schema":"https://github.com/citation-style-language/schema/raw/master/csl-citation.json"}</w:instrText>
      </w:r>
      <w:r>
        <w:fldChar w:fldCharType="separate"/>
      </w:r>
      <w:r w:rsidRPr="002E79FB">
        <w:rPr>
          <w:noProof/>
          <w:lang w:val="id-ID"/>
        </w:rPr>
        <w:t xml:space="preserve">Christian Wibi and Nora Dolisna Simanjuntak, “Gereja Diaspora: Model Gerakan Sinodal Bagi Gereja Katolik Indonesia Pada Masa Kini,” </w:t>
      </w:r>
      <w:r w:rsidRPr="002E79FB">
        <w:rPr>
          <w:i/>
          <w:noProof/>
          <w:lang w:val="id-ID"/>
        </w:rPr>
        <w:t>IN VERITATE LUX: Jurnal Ilmu Kateketik Pastoral Teologi, Pendidikan, Antropologi, dan Budaya</w:t>
      </w:r>
      <w:r w:rsidRPr="002E79FB">
        <w:rPr>
          <w:noProof/>
          <w:lang w:val="id-ID"/>
        </w:rPr>
        <w:t xml:space="preserve"> 7, no. 1 (2024).</w:t>
      </w:r>
      <w:r>
        <w:fldChar w:fldCharType="end"/>
      </w:r>
    </w:p>
  </w:footnote>
  <w:footnote w:id="16">
    <w:p w14:paraId="33AE15B1" w14:textId="3A952872" w:rsidR="00417E78" w:rsidRPr="00417E78" w:rsidRDefault="00417E78">
      <w:pPr>
        <w:pStyle w:val="TeksCatatanKaki"/>
        <w:rPr>
          <w:lang w:val="id-ID"/>
        </w:rPr>
      </w:pPr>
      <w:r>
        <w:rPr>
          <w:rStyle w:val="ReferensiCatatanKaki"/>
        </w:rPr>
        <w:footnoteRef/>
      </w:r>
      <w:r w:rsidRPr="00417E78">
        <w:rPr>
          <w:lang w:val="id-ID"/>
        </w:rPr>
        <w:t xml:space="preserve"> </w:t>
      </w:r>
      <w:r>
        <w:fldChar w:fldCharType="begin" w:fldLock="1"/>
      </w:r>
      <w:r w:rsidR="002D6216">
        <w:rPr>
          <w:lang w:val="id-ID"/>
        </w:rPr>
        <w:instrText>ADDIN CSL_CITATION {"citationItems":[{"id":"ITEM-1","itemData":{"author":[{"dropping-particle":"","family":"Eda","given":"Yohanes Ratu","non-dropping-particle":"","parse-names":false,"suffix":""}],"container-title":"Ekklesia: Jurnal Teologi dan Pendidikan Kristiani","id":"ITEM-1","issue":"2","issued":{"date-parts":[["2025"]]},"title":"Efektivitas Pendidikan Agama Kristen Bagi Pertumbuhan Rohani Remaja Di Gereja Kristus Rahmani Indonesia Jemaat Diaspora Cawang","type":"article-journal","volume":"3"},"uris":["http://www.mendeley.com/documents/?uuid=b1bd4317-6ba8-4da2-9f8b-0d9df6c31cda"]}],"mendeley":{"formattedCitation":"Yohanes Ratu Eda, “Efektivitas Pendidikan Agama Kristen Bagi Pertumbuhan Rohani Remaja Di Gereja Kristus Rahmani Indonesia Jemaat Diaspora Cawang,” &lt;i&gt;Ekklesia: Jurnal Teologi dan Pendidikan Kristiani&lt;/i&gt; 3, no. 2 (2025).","plainTextFormattedCitation":"Yohanes Ratu Eda, “Efektivitas Pendidikan Agama Kristen Bagi Pertumbuhan Rohani Remaja Di Gereja Kristus Rahmani Indonesia Jemaat Diaspora Cawang,” Ekklesia: Jurnal Teologi dan Pendidikan Kristiani 3, no. 2 (2025).","previouslyFormattedCitation":"Yohanes Ratu Eda, “Efektivitas Pendidikan Agama Kristen Bagi Pertumbuhan Rohani Remaja Di Gereja Kristus Rahmani Indonesia Jemaat Diaspora Cawang,” &lt;i&gt;Ekklesia: Jurnal Teologi dan Pendidikan Kristiani&lt;/i&gt; 3, no. 2 (2025)."},"properties":{"noteIndex":16},"schema":"https://github.com/citation-style-language/schema/raw/master/csl-citation.json"}</w:instrText>
      </w:r>
      <w:r>
        <w:fldChar w:fldCharType="separate"/>
      </w:r>
      <w:r w:rsidRPr="00417E78">
        <w:rPr>
          <w:noProof/>
          <w:lang w:val="id-ID"/>
        </w:rPr>
        <w:t xml:space="preserve">Yohanes Ratu Eda, “Efektivitas Pendidikan Agama Kristen Bagi Pertumbuhan Rohani Remaja Di Gereja Kristus Rahmani Indonesia Jemaat Diaspora Cawang,” </w:t>
      </w:r>
      <w:r w:rsidRPr="00417E78">
        <w:rPr>
          <w:i/>
          <w:noProof/>
          <w:lang w:val="id-ID"/>
        </w:rPr>
        <w:t>Ekklesia: Jurnal Teologi dan Pendidikan Kristiani</w:t>
      </w:r>
      <w:r w:rsidRPr="00417E78">
        <w:rPr>
          <w:noProof/>
          <w:lang w:val="id-ID"/>
        </w:rPr>
        <w:t xml:space="preserve"> 3, no. 2 (2025).</w:t>
      </w:r>
      <w:r>
        <w:fldChar w:fldCharType="end"/>
      </w:r>
    </w:p>
  </w:footnote>
  <w:footnote w:id="17">
    <w:p w14:paraId="1BD97EF5" w14:textId="52E5B88F" w:rsidR="00492C84" w:rsidRPr="00492C84" w:rsidRDefault="00492C84">
      <w:pPr>
        <w:pStyle w:val="TeksCatatanKaki"/>
        <w:rPr>
          <w:lang w:val="id-ID"/>
        </w:rPr>
      </w:pPr>
      <w:r>
        <w:rPr>
          <w:rStyle w:val="ReferensiCatatanKaki"/>
        </w:rPr>
        <w:footnoteRef/>
      </w:r>
      <w:r>
        <w:t xml:space="preserve"> </w:t>
      </w:r>
      <w:r>
        <w:fldChar w:fldCharType="begin" w:fldLock="1"/>
      </w:r>
      <w:r w:rsidR="002D6216">
        <w:instrText>ADDIN CSL_CITATION {"citationItems":[{"id":"ITEM-1","itemData":{"author":[{"dropping-particle":"","family":"Nacpil","given":"Marian","non-dropping-particle":"","parse-names":false,"suffix":""}],"container-title":"International Bulletin of Mission Research","id":"ITEM-1","issue":"1","issued":{"date-parts":[["2018"]]},"page":"68-75","title":"The Church in the Twenty-First-Century Diaspora: The Local Church on Mission","type":"article-journal","volume":"42"},"uris":["http://www.mendeley.com/documents/?uuid=0553471c-cd1f-4c2a-9186-9343106d8bf0"]}],"mendeley":{"formattedCitation":"Marian Nacpil, “The Church in the Twenty-First-Century Diaspora: The Local Church on Mission,” &lt;i&gt;International Bulletin of Mission Research&lt;/i&gt; 42, no. 1 (2018): 68–75.","plainTextFormattedCitation":"Marian Nacpil, “The Church in the Twenty-First-Century Diaspora: The Local Church on Mission,” International Bulletin of Mission Research 42, no. 1 (2018): 68–75.","previouslyFormattedCitation":"Marian Nacpil, “The Church in the Twenty-First-Century Diaspora: The Local Church on Mission,” &lt;i&gt;International Bulletin of Mission Research&lt;/i&gt; 42, no. 1 (2018): 68–75."},"properties":{"noteIndex":17},"schema":"https://github.com/citation-style-language/schema/raw/master/csl-citation.json"}</w:instrText>
      </w:r>
      <w:r>
        <w:fldChar w:fldCharType="separate"/>
      </w:r>
      <w:r w:rsidRPr="00492C84">
        <w:rPr>
          <w:noProof/>
        </w:rPr>
        <w:t xml:space="preserve">Marian Nacpil, “The Church in the Twenty-First-Century Diaspora: The Local Church on Mission,” </w:t>
      </w:r>
      <w:r w:rsidRPr="00492C84">
        <w:rPr>
          <w:i/>
          <w:noProof/>
        </w:rPr>
        <w:t>International Bulletin of Mission Research</w:t>
      </w:r>
      <w:r w:rsidRPr="00492C84">
        <w:rPr>
          <w:noProof/>
        </w:rPr>
        <w:t xml:space="preserve"> 42, no. 1 (2018): 68–75.</w:t>
      </w:r>
      <w:r>
        <w:fldChar w:fldCharType="end"/>
      </w:r>
    </w:p>
  </w:footnote>
  <w:footnote w:id="18">
    <w:p w14:paraId="1E73CD0B" w14:textId="7BB9212B" w:rsidR="00280DBE" w:rsidRPr="00280DBE" w:rsidRDefault="00280DBE">
      <w:pPr>
        <w:pStyle w:val="TeksCatatanKaki"/>
        <w:rPr>
          <w:lang w:val="id-ID"/>
        </w:rPr>
      </w:pPr>
      <w:r>
        <w:rPr>
          <w:rStyle w:val="ReferensiCatatanKaki"/>
        </w:rPr>
        <w:footnoteRef/>
      </w:r>
      <w:r w:rsidRPr="00280DBE">
        <w:rPr>
          <w:lang w:val="id-ID"/>
        </w:rPr>
        <w:t xml:space="preserve"> </w:t>
      </w:r>
      <w:r>
        <w:fldChar w:fldCharType="begin" w:fldLock="1"/>
      </w:r>
      <w:r w:rsidR="002D6216">
        <w:rPr>
          <w:lang w:val="id-ID"/>
        </w:rPr>
        <w:instrText>ADDIN CSL_CITATION {"citationItems":[{"id":"ITEM-1","itemData":{"DOI":"10.25278/jitpk.v1i2.487","ISSN":"2722-7553","abstract":"Kepemimpinan penggembalaan menghadapi banyak tantangan, terutama di dunia yang modern pada masa kini, baik dari dalam maupun dari luar gereja yang siap menghadang dan menggagalkan kepemimpinan seorang gembala jemaat. Karena itu, kepemimpinan penggembalaan harus menyadari perlunya menerapkan prinsip-prinsip tertentu dalam pelaksanaan tugas dan tanggung jawabnya. Prinsip-prinsip itu adalah prinsip-prinsip yang alkitabiah atau bersumber dari firman Allah. Penelitian ini bertujuan menggali prinsip-prinsip kepemimpinan penggembalaan berdasarkan pengajaran Yesus dalam Injil Yohanes 10:1-21 dan implementasinya dalam kepemimpinan gereja. Penelitian ini adalah penelitian kualitatif yang bersifat penelitian kepustakaan dengan menggunakan metode hermeneutik Alkitab. Berdasarkan pengajaran Yesus dalam Yohanes 10:1-21, dapat ditarik beberapa prinsip kepemimpinan penggembalaan yang dapat diimplementasikan pada kepemimpinan gereja. Beberapa prinsip itu adalah prinsip panggilan Allah, pemeliharaan, berpusat pada Yesus Kristus, pengorbanan, kesetaraan, dan perluasan kerajaan Allah. Kata kunci: kepemimpinan, gembala, penggembalaan, Yohanes 10:1-21","author":[{"dropping-particle":"","family":"Frederik","given":"Hanny","non-dropping-particle":"","parse-names":false,"suffix":""}],"container-title":"Jurnal Ilmu Teologi dan Pendidikan Agama Kristen","id":"ITEM-1","issue":"2","issued":{"date-parts":[["2020"]]},"page":"69","title":"Prinsip-Prinsip Kepemimpinan Penggembalaan Berdasarkan Yohanes 10:1-21 dan Implementasinya dalam Kepemimpinan Gereja","type":"article-journal","volume":"1"},"uris":["http://www.mendeley.com/documents/?uuid=1a16acbb-64b9-4a9b-9b84-c796e09328d2"]}],"mendeley":{"formattedCitation":"Hanny Frederik, “Prinsip-Prinsip Kepemimpinan Penggembalaan Berdasarkan Yohanes 10:1-21 Dan Implementasinya Dalam Kepemimpinan Gereja,” &lt;i&gt;Jurnal Ilmu Teologi dan Pendidikan Agama Kristen&lt;/i&gt; 1, no. 2 (2020): 69.","plainTextFormattedCitation":"Hanny Frederik, “Prinsip-Prinsip Kepemimpinan Penggembalaan Berdasarkan Yohanes 10:1-21 Dan Implementasinya Dalam Kepemimpinan Gereja,” Jurnal Ilmu Teologi dan Pendidikan Agama Kristen 1, no. 2 (2020): 69.","previouslyFormattedCitation":"Hanny Frederik, “Prinsip-Prinsip Kepemimpinan Penggembalaan Berdasarkan Yohanes 10:1-21 Dan Implementasinya Dalam Kepemimpinan Gereja,” &lt;i&gt;Jurnal Ilmu Teologi dan Pendidikan Agama Kristen&lt;/i&gt; 1, no. 2 (2020): 69."},"properties":{"noteIndex":18},"schema":"https://github.com/citation-style-language/schema/raw/master/csl-citation.json"}</w:instrText>
      </w:r>
      <w:r>
        <w:fldChar w:fldCharType="separate"/>
      </w:r>
      <w:r w:rsidRPr="00280DBE">
        <w:rPr>
          <w:noProof/>
          <w:lang w:val="id-ID"/>
        </w:rPr>
        <w:t xml:space="preserve">Hanny Frederik, “Prinsip-Prinsip Kepemimpinan Penggembalaan Berdasarkan Yohanes 10:1-21 Dan Implementasinya Dalam Kepemimpinan Gereja,” </w:t>
      </w:r>
      <w:r w:rsidRPr="00280DBE">
        <w:rPr>
          <w:i/>
          <w:noProof/>
          <w:lang w:val="id-ID"/>
        </w:rPr>
        <w:t>Jurnal Ilmu Teologi dan Pendidikan Agama Kristen</w:t>
      </w:r>
      <w:r w:rsidRPr="00280DBE">
        <w:rPr>
          <w:noProof/>
          <w:lang w:val="id-ID"/>
        </w:rPr>
        <w:t xml:space="preserve"> 1, no. 2 (2020): 69.</w:t>
      </w:r>
      <w:r>
        <w:fldChar w:fldCharType="end"/>
      </w:r>
    </w:p>
  </w:footnote>
  <w:footnote w:id="19">
    <w:p w14:paraId="0B419636" w14:textId="232D96D5" w:rsidR="00280DBE" w:rsidRPr="00280DBE" w:rsidRDefault="00280DBE">
      <w:pPr>
        <w:pStyle w:val="TeksCatatanKaki"/>
        <w:rPr>
          <w:lang w:val="id-ID"/>
        </w:rPr>
      </w:pPr>
      <w:r>
        <w:rPr>
          <w:rStyle w:val="ReferensiCatatanKaki"/>
        </w:rPr>
        <w:footnoteRef/>
      </w:r>
      <w:r w:rsidRPr="00280DBE">
        <w:rPr>
          <w:lang w:val="id-ID"/>
        </w:rPr>
        <w:t xml:space="preserve"> </w:t>
      </w:r>
      <w:r>
        <w:fldChar w:fldCharType="begin" w:fldLock="1"/>
      </w:r>
      <w:r w:rsidR="002D6216">
        <w:rPr>
          <w:lang w:val="id-ID"/>
        </w:rPr>
        <w:instrText>ADDIN CSL_CITATION {"citationItems":[{"id":"ITEM-1","itemData":{"DOI":"10.55076/didache.v3i1.46","abstract":"Teacher character is an important part that cannot be separated from the lives of students. Therefore, the need for good teacher characteristics is very important to forming good and commendable students. It should be realized that most students currently experience character crisis problems, whereas peseta students are not controlled by the influence of the development of science and technology. Seeing this, this study aims to explain the development of the Christian religious education teacher to the formation of the character of the club to recognize the Christ Jesus in accordance with the teachings of the Bible. The method used in this study is a descriptive qualitative research method. The results of this study show that Christian education teachers have the role of transferring knowledge and character to students, thus having an impact on the growth of students' faith.   Karakter guru merupakan bagian penting yang tidak bisa dipisahkan dari kehidupan peserta didik. Oleh karena itu perlunya karakter guru yang baik sangat berperan penting untuk membentuk karakter peserta didik yang baik dan terpuji. Perlu disadari bahwa saat ini sebagian besar peserta didik mengalami masalah krisis karakter, di mana peseta didik tidak terkontrol oleh pengaruh perkembangan ilmu pengetahuan dan teknologi. Melihat hal ini, penelitian ini bertujuan menjelaskan pembinaan guru Pendidikan Agama Kristen terhadap pembentukan karakter perserta didik untuk mengenal Kristus Yesus secara benar sesuai dengan ajaran Alkitab. Metode yang digunakan pada penelitian ini adalah metode penelitian kualitaif deskriptif. Hasil dari penelitian ini adalah guru Pendidikan Agama Kristen memiliki peran mentransfer pengetahuan dan karakter kepada peserta didik, sehingga memiliki dampak pada pertumbuhan iman peserta didik.","author":[{"dropping-particle":"","family":"Mbeo","given":"Ella Tesalonika","non-dropping-particle":"","parse-names":false,"suffix":""},{"dropping-particle":"","family":"Krisdiantoro","given":"Andreas Bayu","non-dropping-particle":"","parse-names":false,"suffix":""}],"container-title":"Didache: Jurnal Teologi dan Pendidikan Kristiani","id":"ITEM-1","issue":"1","issued":{"date-parts":[["2021"]]},"page":"17-29","title":"Pembinaan Guru Pendidikan Agama Kristen Dalam Pendidikan Karakter Peserta Didik Di Sekolah","type":"article-journal","volume":"3"},"uris":["http://www.mendeley.com/documents/?uuid=2a719c9b-a470-44fa-89b9-e47b997cd3cc"]}],"mendeley":{"formattedCitation":"Ella Tesalonika Mbeo and Andreas Bayu Krisdiantoro, “Pembinaan Guru Pendidikan Agama Kristen Dalam Pendidikan Karakter Peserta Didik Di Sekolah,” &lt;i&gt;Didache: Jurnal Teologi dan Pendidikan Kristiani&lt;/i&gt; 3, no. 1 (2021): 17–29.","plainTextFormattedCitation":"Ella Tesalonika Mbeo and Andreas Bayu Krisdiantoro, “Pembinaan Guru Pendidikan Agama Kristen Dalam Pendidikan Karakter Peserta Didik Di Sekolah,” Didache: Jurnal Teologi dan Pendidikan Kristiani 3, no. 1 (2021): 17–29.","previouslyFormattedCitation":"Ella Tesalonika Mbeo and Andreas Bayu Krisdiantoro, “Pembinaan Guru Pendidikan Agama Kristen Dalam Pendidikan Karakter Peserta Didik Di Sekolah,” &lt;i&gt;Didache: Jurnal Teologi dan Pendidikan Kristiani&lt;/i&gt; 3, no. 1 (2021): 17–29."},"properties":{"noteIndex":19},"schema":"https://github.com/citation-style-language/schema/raw/master/csl-citation.json"}</w:instrText>
      </w:r>
      <w:r>
        <w:fldChar w:fldCharType="separate"/>
      </w:r>
      <w:r w:rsidRPr="00280DBE">
        <w:rPr>
          <w:noProof/>
          <w:lang w:val="id-ID"/>
        </w:rPr>
        <w:t xml:space="preserve">Ella Tesalonika Mbeo and Andreas Bayu Krisdiantoro, “Pembinaan Guru Pendidikan Agama Kristen Dalam Pendidikan Karakter Peserta Didik Di Sekolah,” </w:t>
      </w:r>
      <w:r w:rsidRPr="00280DBE">
        <w:rPr>
          <w:i/>
          <w:noProof/>
          <w:lang w:val="id-ID"/>
        </w:rPr>
        <w:t>Didache: Jurnal Teologi dan Pendidikan Kristiani</w:t>
      </w:r>
      <w:r w:rsidRPr="00280DBE">
        <w:rPr>
          <w:noProof/>
          <w:lang w:val="id-ID"/>
        </w:rPr>
        <w:t xml:space="preserve"> 3, no. 1 (2021): 17–29.</w:t>
      </w:r>
      <w:r>
        <w:fldChar w:fldCharType="end"/>
      </w:r>
    </w:p>
  </w:footnote>
  <w:footnote w:id="20">
    <w:p w14:paraId="013CEEEF" w14:textId="1492C3FE" w:rsidR="00D82A41" w:rsidRPr="00D82A41" w:rsidRDefault="00D82A41">
      <w:pPr>
        <w:pStyle w:val="TeksCatatanKaki"/>
        <w:rPr>
          <w:lang w:val="id-ID"/>
        </w:rPr>
      </w:pPr>
      <w:r>
        <w:rPr>
          <w:rStyle w:val="ReferensiCatatanKaki"/>
        </w:rPr>
        <w:footnoteRef/>
      </w:r>
      <w:r w:rsidRPr="00D82A41">
        <w:rPr>
          <w:lang w:val="id-ID"/>
        </w:rPr>
        <w:t xml:space="preserve"> </w:t>
      </w:r>
      <w:r>
        <w:fldChar w:fldCharType="begin" w:fldLock="1"/>
      </w:r>
      <w:r w:rsidR="002D6216">
        <w:rPr>
          <w:lang w:val="id-ID"/>
        </w:rPr>
        <w:instrText>ADDIN CSL_CITATION {"citationItems":[{"id":"ITEM-1","itemData":{"DOI":"10.48125/jtb.v5i1.20","ISSN":"2355-1704","abstract":"Penelitian ini dimaksudkan untuk menganalisis secara mendalam dan obyektif pemahaman pemuda GKAI Sunter tentang kekudusan menurut 1Tesalonika 4:1-8). Penelitian ini menggunakan metode penelitian kualitatif analisis taksonomi, dengan menggunakan penelitian penafsiran Alkitab secara induktif didasarkan pada paradigma naturalistic. Data dikumpulkan melalui observasi partisipan menggunakan wawancara tertulis berdasarkan kekudusan menurut 1Tesalonika 4:1-8. Pertanyaan yang digunakan berdasarkan analisa dengan tiga sub focus (1) Hidup yang berkenan kepada Allah, (2) Hidup dalam kekudusan, (3) Hidup melakukan kehendak Tuhan. Sampel yang digunakan berjumlah 7 pemuda dari usia 16-23 tahun, jenis kelamin pria dan wanita. Hasil penelitian menunjukkan bahwa pemuda GKAI Sunter memiliki pemahaman yang baik tentang kekudusan. Pemahaman yang paling tinggi bahwa dalam pernikahan Kristen bersifat monogami dan tidak boleh ada perceraian, dilanjutkan dengan pemahaman bahwa menjaga kekudusan berarti tidak boleh melakukan seks di luar penikahan dan yang paling rendah adalah pemahaman tentang jenis percabulan yang harus dijauhi yaitu pembunuhan dan kata-kata kotor.","author":[{"dropping-particle":"","family":"Irawati","given":"Enny","non-dropping-particle":"","parse-names":false,"suffix":""}],"container-title":"Jurnal Teologi Biblika","id":"ITEM-1","issue":"1","issued":{"date-parts":[["2020"]]},"page":"3-12","title":"Kekudusan Hidup Menurut 1Tesalonika 4:1-8 Relevansinya Terhadap Pemahaman Pemuda Di Gkai Sunter","type":"article-journal","volume":"5"},"uris":["http://www.mendeley.com/documents/?uuid=4ad92cff-917b-40e6-b4a9-d7a122fa4330"]}],"mendeley":{"formattedCitation":"Enny Irawati, “Kekudusan Hidup Menurut 1Tesalonika 4:1-8 Relevansinya Terhadap Pemahaman Pemuda Di Gkai Sunter,” &lt;i&gt;Jurnal Teologi Biblika&lt;/i&gt; 5, no. 1 (2020): 3–12.","plainTextFormattedCitation":"Enny Irawati, “Kekudusan Hidup Menurut 1Tesalonika 4:1-8 Relevansinya Terhadap Pemahaman Pemuda Di Gkai Sunter,” Jurnal Teologi Biblika 5, no. 1 (2020): 3–12.","previouslyFormattedCitation":"Enny Irawati, “Kekudusan Hidup Menurut 1Tesalonika 4:1-8 Relevansinya Terhadap Pemahaman Pemuda Di Gkai Sunter,” &lt;i&gt;Jurnal Teologi Biblika&lt;/i&gt; 5, no. 1 (2020): 3–12."},"properties":{"noteIndex":20},"schema":"https://github.com/citation-style-language/schema/raw/master/csl-citation.json"}</w:instrText>
      </w:r>
      <w:r>
        <w:fldChar w:fldCharType="separate"/>
      </w:r>
      <w:r w:rsidRPr="00D82A41">
        <w:rPr>
          <w:noProof/>
          <w:lang w:val="id-ID"/>
        </w:rPr>
        <w:t xml:space="preserve">Enny Irawati, “Kekudusan Hidup Menurut 1Tesalonika 4:1-8 Relevansinya Terhadap Pemahaman Pemuda Di Gkai Sunter,” </w:t>
      </w:r>
      <w:r w:rsidRPr="00D82A41">
        <w:rPr>
          <w:i/>
          <w:noProof/>
          <w:lang w:val="id-ID"/>
        </w:rPr>
        <w:t>Jurnal Teologi Biblika</w:t>
      </w:r>
      <w:r w:rsidRPr="00D82A41">
        <w:rPr>
          <w:noProof/>
          <w:lang w:val="id-ID"/>
        </w:rPr>
        <w:t xml:space="preserve"> 5, no. 1 (2020): 3–12.</w:t>
      </w:r>
      <w:r>
        <w:fldChar w:fldCharType="end"/>
      </w:r>
    </w:p>
  </w:footnote>
  <w:footnote w:id="21">
    <w:p w14:paraId="00336FC0" w14:textId="59376E75" w:rsidR="00835049" w:rsidRPr="00835049" w:rsidRDefault="00835049">
      <w:pPr>
        <w:pStyle w:val="TeksCatatanKaki"/>
        <w:rPr>
          <w:lang w:val="id-ID"/>
        </w:rPr>
      </w:pPr>
      <w:r>
        <w:rPr>
          <w:rStyle w:val="ReferensiCatatanKaki"/>
        </w:rPr>
        <w:footnoteRef/>
      </w:r>
      <w:r w:rsidRPr="00835049">
        <w:rPr>
          <w:lang w:val="id-ID"/>
        </w:rPr>
        <w:t xml:space="preserve"> </w:t>
      </w:r>
      <w:r>
        <w:fldChar w:fldCharType="begin" w:fldLock="1"/>
      </w:r>
      <w:r>
        <w:rPr>
          <w:lang w:val="id-ID"/>
        </w:rPr>
        <w:instrText>ADDIN CSL_CITATION {"citationItems":[{"id":"ITEM-1","itemData":{"DOI":"10.48125/jtb.v5i1.20","ISSN":"2355-1704","abstract":"Penelitian ini dimaksudkan untuk menganalisis secara mendalam dan obyektif pemahaman pemuda GKAI Sunter tentang kekudusan menurut 1Tesalonika 4:1-8). Penelitian ini menggunakan metode penelitian kualitatif analisis taksonomi, dengan menggunakan penelitian penafsiran Alkitab secara induktif didasarkan pada paradigma naturalistic. Data dikumpulkan melalui observasi partisipan menggunakan wawancara tertulis berdasarkan kekudusan menurut 1Tesalonika 4:1-8. Pertanyaan yang digunakan berdasarkan analisa dengan tiga sub focus (1) Hidup yang berkenan kepada Allah, (2) Hidup dalam kekudusan, (3) Hidup melakukan kehendak Tuhan. Sampel yang digunakan berjumlah 7 pemuda dari usia 16-23 tahun, jenis kelamin pria dan wanita. Hasil penelitian menunjukkan bahwa pemuda GKAI Sunter memiliki pemahaman yang baik tentang kekudusan. Pemahaman yang paling tinggi bahwa dalam pernikahan Kristen bersifat monogami dan tidak boleh ada perceraian, dilanjutkan dengan pemahaman bahwa menjaga kekudusan berarti tidak boleh melakukan seks di luar penikahan dan yang paling rendah adalah pemahaman tentang jenis percabulan yang harus dijauhi yaitu pembunuhan dan kata-kata kotor.","author":[{"dropping-particle":"","family":"Irawati","given":"Enny","non-dropping-particle":"","parse-names":false,"suffix":""}],"container-title":"Jurnal Teologi Biblika","id":"ITEM-1","issue":"1","issued":{"date-parts":[["2020"]]},"page":"3-12","title":"Kekudusan Hidup Menurut 1Tesalonika 4:1-8 Relevansinya Terhadap Pemahaman Pemuda Di Gkai Sunter","type":"article-journal","volume":"5"},"uris":["http://www.mendeley.com/documents/?uuid=4ad92cff-917b-40e6-b4a9-d7a122fa4330"]}],"mendeley":{"formattedCitation":"Irawati, “Kekudusan Hidup Menurut 1Tesalonika 4:1-8 Relevansinya Terhadap Pemahaman Pemuda Di Gkai Sunter.”","plainTextFormattedCitation":"Irawati, “Kekudusan Hidup Menurut 1Tesalonika 4:1-8 Relevansinya Terhadap Pemahaman Pemuda Di Gkai Sunter.”","previouslyFormattedCitation":"Irawati, “Kekudusan Hidup Menurut 1Tesalonika 4:1-8 Relevansinya Terhadap Pemahaman Pemuda Di Gkai Sunter.”"},"properties":{"noteIndex":21},"schema":"https://github.com/citation-style-language/schema/raw/master/csl-citation.json"}</w:instrText>
      </w:r>
      <w:r>
        <w:fldChar w:fldCharType="separate"/>
      </w:r>
      <w:r w:rsidRPr="00835049">
        <w:rPr>
          <w:noProof/>
          <w:lang w:val="id-ID"/>
        </w:rPr>
        <w:t>Irawati, “Kekudusan Hidup Menurut 1Tesalonika 4:1-8 Relevansinya Terhadap Pemahaman Pemuda Di Gkai Sunter.”</w:t>
      </w:r>
      <w:r>
        <w:fldChar w:fldCharType="end"/>
      </w:r>
    </w:p>
  </w:footnote>
  <w:footnote w:id="22">
    <w:p w14:paraId="4B86E416" w14:textId="36E1F1F8" w:rsidR="00835049" w:rsidRPr="00835049" w:rsidRDefault="00835049">
      <w:pPr>
        <w:pStyle w:val="TeksCatatanKaki"/>
        <w:rPr>
          <w:lang w:val="id-ID"/>
        </w:rPr>
      </w:pPr>
      <w:r>
        <w:rPr>
          <w:rStyle w:val="ReferensiCatatanKaki"/>
        </w:rPr>
        <w:footnoteRef/>
      </w:r>
      <w:r>
        <w:t xml:space="preserve"> </w:t>
      </w:r>
      <w:r>
        <w:fldChar w:fldCharType="begin" w:fldLock="1"/>
      </w:r>
      <w:r w:rsidR="00880B22">
        <w:instrText>ADDIN CSL_CITATION {"citationItems":[{"id":"ITEM-1","itemData":{"DOI":"10.55606/semnaspa.v4i2.1224","ISSN":"2963-9344","abstract":"The gift of holiness manifested in Hebrews 12:28 is the essence of the inspiration that enriches and guides the Christian faith. This message teaches us about the urgency to live with deep respect for a holy God, not only in formal worship rituals, but also in everyday aspects. It encourages us to raise moral standards, pursue holiness, and live according to God's will. More than that, the gift of holiness reminds us of the power inherent in devotion to a holy God. When we realize that we serve a God of absolute power and unshakable holiness, we gain the confidence and perseverance necessary to face the trials and challenges of life. our life's journey It is a much-needed source of inspiration in a world that is often full of trials and uncertainty\r  ","author":[{"dropping-particle":"","family":"Ardianto Dua Asa","given":"","non-dropping-particle":"","parse-names":false,"suffix":""},{"dropping-particle":"","family":"Abad Jaya Zega","given":"","non-dropping-particle":"","parse-names":false,"suffix":""}],"container-title":"Prosiding Seminar Nasional Pendidikan Dan Agama","id":"ITEM-1","issue":"2","issued":{"date-parts":[["2023"]]},"page":"114-119","title":"Anugerah Kekudusan Dalam Surat Ibrani 12 : 28 : Inspirasi Untuk Iman Kristen","type":"article-journal","volume":"4"},"uris":["http://www.mendeley.com/documents/?uuid=ffca77fb-98d5-4d12-a9a3-27ca58785ff3"]}],"mendeley":{"formattedCitation":"Ardianto Dua Asa and Abad Jaya Zega, “Anugerah Kekudusan Dalam Surat Ibrani 12 : 28 : Inspirasi Untuk Iman Kristen,” &lt;i&gt;Prosiding Seminar Nasional Pendidikan Dan Agama&lt;/i&gt; 4, no. 2 (2023): 114–119.","plainTextFormattedCitation":"Ardianto Dua Asa and Abad Jaya Zega, “Anugerah Kekudusan Dalam Surat Ibrani 12 : 28 : Inspirasi Untuk Iman Kristen,” Prosiding Seminar Nasional Pendidikan Dan Agama 4, no. 2 (2023): 114–119.","previouslyFormattedCitation":"Ardianto Dua Asa and Abad Jaya Zega, “Anugerah Kekudusan Dalam Surat Ibrani 12 : 28 : Inspirasi Untuk Iman Kristen,” &lt;i&gt;Prosiding Seminar Nasional Pendidikan Dan Agama&lt;/i&gt; 4, no. 2 (2023): 114–119."},"properties":{"noteIndex":22},"schema":"https://github.com/citation-style-language/schema/raw/master/csl-citation.json"}</w:instrText>
      </w:r>
      <w:r>
        <w:fldChar w:fldCharType="separate"/>
      </w:r>
      <w:r w:rsidRPr="00835049">
        <w:rPr>
          <w:noProof/>
        </w:rPr>
        <w:t xml:space="preserve">Ardianto Dua Asa and Abad Jaya Zega, “Anugerah Kekudusan Dalam Surat Ibrani 12 : 28 : Inspirasi Untuk Iman Kristen,” </w:t>
      </w:r>
      <w:r w:rsidRPr="00835049">
        <w:rPr>
          <w:i/>
          <w:noProof/>
        </w:rPr>
        <w:t>Prosiding Seminar Nasional Pendidikan Dan Agama</w:t>
      </w:r>
      <w:r w:rsidRPr="00835049">
        <w:rPr>
          <w:noProof/>
        </w:rPr>
        <w:t xml:space="preserve"> 4, no. 2 (2023): 114–119.</w:t>
      </w:r>
      <w:r>
        <w:fldChar w:fldCharType="end"/>
      </w:r>
    </w:p>
  </w:footnote>
  <w:footnote w:id="23">
    <w:p w14:paraId="7F576F51" w14:textId="2CE1023E" w:rsidR="00880B22" w:rsidRPr="00880B22" w:rsidRDefault="00880B22">
      <w:pPr>
        <w:pStyle w:val="TeksCatatanKaki"/>
        <w:rPr>
          <w:lang w:val="id-ID"/>
        </w:rPr>
      </w:pPr>
      <w:r>
        <w:rPr>
          <w:rStyle w:val="ReferensiCatatanKaki"/>
        </w:rPr>
        <w:footnoteRef/>
      </w:r>
      <w:r w:rsidRPr="00880B22">
        <w:rPr>
          <w:lang w:val="id-ID"/>
        </w:rPr>
        <w:t xml:space="preserve"> </w:t>
      </w:r>
      <w:r>
        <w:fldChar w:fldCharType="begin" w:fldLock="1"/>
      </w:r>
      <w:r>
        <w:rPr>
          <w:lang w:val="id-ID"/>
        </w:rPr>
        <w:instrText>ADDIN CSL_CITATION {"citationItems":[{"id":"ITEM-1","itemData":{"DOI":"10.55649/skenoo.v3i1.47","abstract":"Perubahan dan perkembangan zaman memiliki pengaruh yang bersifat positif maupun negatif bagi pola pikir manusia, termasuk orang Kristen. Artikel ini bertujuan memaparkan tugas orang Kristen dalam menghadapi perubahan zaman berdasarkan refleksi teologis dari Injil Matius. Metode penelitian ini adalah pendekatan kualitatif dengan hermeneutik Alkitab. Penelitian ini menunjukkan hasil bahwa untuk menghadapi perubahan zaman, orang percaya diperlengkapi dengan pokok-pokok iman dan dilatih untuk melayani. Orang percaya diberi tugas untuk menjadi penjala manusia sehingga dapat menjadikan segala bangsa murid Kristus. Orang percaya dijadikan garam dan terang bagi dunia. Orang percaya yang telah diampuni di dalam Yesus Kristus harus memiliki perspektif bahwa kasih dapat memberikan tujuan hidup yang abadi. Kasih mestinya menjadi bagian paling utama yang harus dipraktekan. Selain itu, orang Kristen perlu hikmat Tuhan dan diikuti dengan keteladanan hidup yang benar. Oleh sebab itu setiap orang percaya harus menyadari identitas dirinya sendiri dalam menyikapi transformasi yang terjadi dalam masyarakat.","author":[{"dropping-particle":"","family":"Diana","given":"Ruat","non-dropping-particle":"","parse-names":false,"suffix":""},{"dropping-particle":"","family":"Monika","given":"Thia","non-dropping-particle":"","parse-names":false,"suffix":""},{"dropping-particle":"","family":"Efendi","given":"Jois","non-dropping-particle":"","parse-names":false,"suffix":""},{"dropping-particle":"","family":"Christiawan","given":"Afgrita Fendy","non-dropping-particle":"","parse-names":false,"suffix":""}],"container-title":"Skenoo : Jurnal Teologi dan Pendidikan Agama Kristen","id":"ITEM-1","issue":"1","issued":{"date-parts":[["2023"]]},"page":"27-40","title":"Tugas Orang Kristen Menghadapi Perubahan Zaman: Refleksi Teologis dari Injil Matius","type":"article-journal","volume":"3"},"uris":["http://www.mendeley.com/documents/?uuid=d7f65026-730f-42e1-85bc-2f5ec8e6532a"]}],"mendeley":{"formattedCitation":"Ruat Diana et al., “Tugas Orang Kristen Menghadapi Perubahan Zaman: Refleksi Teologis Dari Injil Matius,” &lt;i&gt;Skenoo : Jurnal Teologi dan Pendidikan Agama Kristen&lt;/i&gt; 3, no. 1 (2023): 27–40.","plainTextFormattedCitation":"Ruat Diana et al., “Tugas Orang Kristen Menghadapi Perubahan Zaman: Refleksi Teologis Dari Injil Matius,” Skenoo : Jurnal Teologi dan Pendidikan Agama Kristen 3, no. 1 (2023): 27–40.","previouslyFormattedCitation":"Ruat Diana et al., “Tugas Orang Kristen Menghadapi Perubahan Zaman: Refleksi Teologis Dari Injil Matius,” &lt;i&gt;Skenoo : Jurnal Teologi dan Pendidikan Agama Kristen&lt;/i&gt; 3, no. 1 (2023): 27–40."},"properties":{"noteIndex":23},"schema":"https://github.com/citation-style-language/schema/raw/master/csl-citation.json"}</w:instrText>
      </w:r>
      <w:r>
        <w:fldChar w:fldCharType="separate"/>
      </w:r>
      <w:r w:rsidRPr="00880B22">
        <w:rPr>
          <w:noProof/>
          <w:lang w:val="id-ID"/>
        </w:rPr>
        <w:t xml:space="preserve">Ruat Diana et al., “Tugas Orang Kristen Menghadapi Perubahan Zaman: Refleksi Teologis Dari Injil Matius,” </w:t>
      </w:r>
      <w:r w:rsidRPr="00880B22">
        <w:rPr>
          <w:i/>
          <w:noProof/>
          <w:lang w:val="id-ID"/>
        </w:rPr>
        <w:t>Skenoo : Jurnal Teologi dan Pendidikan Agama Kristen</w:t>
      </w:r>
      <w:r w:rsidRPr="00880B22">
        <w:rPr>
          <w:noProof/>
          <w:lang w:val="id-ID"/>
        </w:rPr>
        <w:t xml:space="preserve"> 3, no. 1 (2023): 27–40.</w:t>
      </w:r>
      <w:r>
        <w:fldChar w:fldCharType="end"/>
      </w:r>
    </w:p>
  </w:footnote>
  <w:footnote w:id="24">
    <w:p w14:paraId="61C5DF2C" w14:textId="7B97D595" w:rsidR="00880B22" w:rsidRPr="00880B22" w:rsidRDefault="00880B22">
      <w:pPr>
        <w:pStyle w:val="TeksCatatanKaki"/>
        <w:rPr>
          <w:lang w:val="id-ID"/>
        </w:rPr>
      </w:pPr>
      <w:r>
        <w:rPr>
          <w:rStyle w:val="ReferensiCatatanKaki"/>
        </w:rPr>
        <w:footnoteRef/>
      </w:r>
      <w:r>
        <w:t xml:space="preserve"> </w:t>
      </w:r>
      <w:r>
        <w:fldChar w:fldCharType="begin" w:fldLock="1"/>
      </w:r>
      <w:r w:rsidR="0016686D">
        <w:instrText>ADDIN CSL_CITATION {"citationItems":[{"id":"ITEM-1","itemData":{"DOI":"10.34150/jpak.v20i1.251","ISSN":"2085-0743","abstract":"Humans be created in the image of God.  All people are called to holiness, that is to perfection, just as the Father in heaven is perfect. The theme called to holiness is first placed in the frame of the Basic Diocese of Surabaya which deals with the great theme of the Disciples of Christ. The theme of holiness contains elements about:  what, when, where, who, why and how. The Kipling method or the 5W-1H method helps the writer in describing this holiness theme. Being called to holiness in context has the same meaning as being called to be holy. Holiness itself has a charge as perfect love. Holiness and love are two inseparable things, because God is both Holy and Love. Human union with God is the essence of holiness. Holiness has a relationship with the perfection of love, so holiness cannot be understood separately from one's attitude and actions towards God through his actions towards the poor who suffer. Holiness is a lifestyle that is connected with daily life according to the Beatitues that Jesus conveyed to His disciples.","author":[{"dropping-particle":"","family":"Supriyadi","given":"Agustinus","non-dropping-particle":"","parse-names":false,"suffix":""}],"container-title":"JPAK: Jurnal Pendidikan Agama Katolik","id":"ITEM-1","issue":"1","issued":{"date-parts":[["2020"]]},"page":"26-47","title":"Dipanggil Kepada Kekudusan","type":"article-journal","volume":"20"},"uris":["http://www.mendeley.com/documents/?uuid=da071ffd-3636-46ab-b2f9-b5f867aa31af"]}],"mendeley":{"formattedCitation":"Agustinus Supriyadi, “Dipanggil Kepada Kekudusan,” &lt;i&gt;JPAK: Jurnal Pendidikan Agama Katolik&lt;/i&gt; 20, no. 1 (2020): 26–47.","plainTextFormattedCitation":"Agustinus Supriyadi, “Dipanggil Kepada Kekudusan,” JPAK: Jurnal Pendidikan Agama Katolik 20, no. 1 (2020): 26–47.","previouslyFormattedCitation":"Agustinus Supriyadi, “Dipanggil Kepada Kekudusan,” &lt;i&gt;JPAK: Jurnal Pendidikan Agama Katolik&lt;/i&gt; 20, no. 1 (2020): 26–47."},"properties":{"noteIndex":24},"schema":"https://github.com/citation-style-language/schema/raw/master/csl-citation.json"}</w:instrText>
      </w:r>
      <w:r>
        <w:fldChar w:fldCharType="separate"/>
      </w:r>
      <w:r w:rsidRPr="00880B22">
        <w:rPr>
          <w:noProof/>
        </w:rPr>
        <w:t xml:space="preserve">Agustinus Supriyadi, “Dipanggil Kepada Kekudusan,” </w:t>
      </w:r>
      <w:r w:rsidRPr="00880B22">
        <w:rPr>
          <w:i/>
          <w:noProof/>
        </w:rPr>
        <w:t>JPAK: Jurnal Pendidikan Agama Katolik</w:t>
      </w:r>
      <w:r w:rsidRPr="00880B22">
        <w:rPr>
          <w:noProof/>
        </w:rPr>
        <w:t xml:space="preserve"> 20, no. 1 (2020): 26–47.</w:t>
      </w:r>
      <w:r>
        <w:fldChar w:fldCharType="end"/>
      </w:r>
    </w:p>
  </w:footnote>
  <w:footnote w:id="25">
    <w:p w14:paraId="54236B2B" w14:textId="5A039AF2" w:rsidR="0016686D" w:rsidRPr="0016686D" w:rsidRDefault="0016686D">
      <w:pPr>
        <w:pStyle w:val="TeksCatatanKaki"/>
        <w:rPr>
          <w:lang w:val="id-ID"/>
        </w:rPr>
      </w:pPr>
      <w:r>
        <w:rPr>
          <w:rStyle w:val="ReferensiCatatanKaki"/>
        </w:rPr>
        <w:footnoteRef/>
      </w:r>
      <w:r w:rsidRPr="0016686D">
        <w:rPr>
          <w:lang w:val="id-ID"/>
        </w:rPr>
        <w:t xml:space="preserve"> </w:t>
      </w:r>
      <w:r>
        <w:fldChar w:fldCharType="begin" w:fldLock="1"/>
      </w:r>
      <w:r w:rsidR="00354C8D">
        <w:rPr>
          <w:lang w:val="id-ID"/>
        </w:rPr>
        <w:instrText>ADDIN CSL_CITATION {"citationItems":[{"id":"ITEM-1","itemData":{"ISBN":"0243331940","ISSN":"23322039","PMID":"30499086","abstract":"It is not enough to just be a believer; God wants believers to be winners in the face of trials. The believer cannot defeat his enemies by physical strength alone. More power is needed than that, so Paul in his prayer in Ephesians 3:16-17, he alludes to the importance of the Holy Spirit in the lives of believers. In a brief description of this article the author will answer two existing problems, namely: What is the essence of Paul's prayer and the important role of the Holy Spirit in giving strength to believers based on Ephesians 3:16-17. This study uses a qualitative research approach by using a literature study. This literature review is used to find out the essence of Paul's prayer and the role of the Holy Spirit in giving strength to believers in the text of Ephesians 3:16-17. The conclusions of this study, namely; the essence of Paul's prayer there are two things, namely; First, that the church of Ephesus might be strengthened and strengthened through His Spirit through His abundant glory. Second, so that the Ephesians could be rooted and grounded in love. As for the importance of the role of the Holy Spirit, namely; The Holy Spirit gives the ability and strength to the inner man (spiritual), so that even though the physical man is getting worse or damaged, his inner man remains strong. The Holy Spirit also has an important role in dwelling in the hearts of believers and making them more deeply rooted","author":[{"dropping-particle":"","family":"Sunarto","given":"Theofilus","non-dropping-particle":"","parse-names":false,"suffix":""}],"container-title":"Jurnal Teologi Berita Hidup","id":"ITEM-1","issue":"2","issued":{"date-parts":[["2022"]]},"page":"470-479","title":"Peranan Roh Kudus Dalam Memberi Kekuatan bagi Orang Percaya Berdasarkan Efesus 3:16-17","type":"article-journal","volume":"4"},"uris":["http://www.mendeley.com/documents/?uuid=a11f75d0-6159-4df0-b175-4f75b9934ec0"]}],"mendeley":{"formattedCitation":"Theofilus Sunarto, “Peranan Roh Kudus Dalam Memberi Kekuatan Bagi Orang Percaya Berdasarkan Efesus 3:16-17,” &lt;i&gt;Jurnal Teologi Berita Hidup&lt;/i&gt; 4, no. 2 (2022): 470–479, http://www.ifpri.org/themes/gssp/gssp.htm%0Ahttp://files/171/Cardon - 2008 - Coaching d’équipe.pdf%0Ahttp://journal.um-surabaya.ac.id/index.php/JKM/article/view/2203%0Ahttp://mpoc.org.my/malaysian-palm-oil-industry/%0Ahttps://doi.org/10.1080/23322039.2017.","plainTextFormattedCitation":"Theofilus Sunarto, “Peranan Roh Kudus Dalam Memberi Kekuatan Bagi Orang Percaya Berdasarkan Efesus 3:16-17,” Jurnal Teologi Berita Hidup 4, no. 2 (2022): 470–479, http://www.ifpri.org/themes/gssp/gssp.htm%0Ahttp://files/171/Cardon - 2008 - Coaching d’équipe.pdf%0Ahttp://journal.um-surabaya.ac.id/index.php/JKM/article/view/2203%0Ahttp://mpoc.org.my/malaysian-palm-oil-industry/%0Ahttps://doi.org/10.1080/23322039.2017.","previouslyFormattedCitation":"Theofilus Sunarto, “Peranan Roh Kudus Dalam Memberi Kekuatan Bagi Orang Percaya Berdasarkan Efesus 3:16-17,” &lt;i&gt;Jurnal Teologi Berita Hidup&lt;/i&gt; 4, no. 2 (2022): 470–479, http://www.ifpri.org/themes/gssp/gssp.htm%0Ahttp://files/171/Cardon - 2008 - Coaching d’équipe.pdf%0Ahttp://journal.um-surabaya.ac.id/index.php/JKM/article/view/2203%0Ahttp://mpoc.org.my/malaysian-palm-oil-industry/%0Ahttps://doi.org/10.1080/23322039.2017."},"properties":{"noteIndex":25},"schema":"https://github.com/citation-style-language/schema/raw/master/csl-citation.json"}</w:instrText>
      </w:r>
      <w:r>
        <w:fldChar w:fldCharType="separate"/>
      </w:r>
      <w:r w:rsidRPr="0016686D">
        <w:rPr>
          <w:noProof/>
          <w:lang w:val="id-ID"/>
        </w:rPr>
        <w:t xml:space="preserve">Theofilus Sunarto, “Peranan Roh Kudus Dalam Memberi Kekuatan Bagi Orang Percaya Berdasarkan Efesus 3:16-17,” </w:t>
      </w:r>
      <w:r w:rsidRPr="0016686D">
        <w:rPr>
          <w:i/>
          <w:noProof/>
          <w:lang w:val="id-ID"/>
        </w:rPr>
        <w:t>Jurnal Teologi Berita Hidup</w:t>
      </w:r>
      <w:r w:rsidRPr="0016686D">
        <w:rPr>
          <w:noProof/>
          <w:lang w:val="id-ID"/>
        </w:rPr>
        <w:t xml:space="preserve"> 4, no. 2 (2022): 470–479, http://www.ifpri.org/themes/gssp/gssp.htm%0Ahttp://files/171/Cardon - 2008 - Coaching d’équipe.pdf%0Ahttp://journal.um-surabaya.ac.id/index.php/JKM/article/view/2203%0Ahttp://mpoc.org.my/malaysian-palm-oil-industry/%0Ahttps://doi.org/10.1080/23322039.2017.</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2FEA"/>
    <w:rsid w:val="00015C15"/>
    <w:rsid w:val="00023DEC"/>
    <w:rsid w:val="00025E67"/>
    <w:rsid w:val="00036347"/>
    <w:rsid w:val="00040666"/>
    <w:rsid w:val="00051BE4"/>
    <w:rsid w:val="00061351"/>
    <w:rsid w:val="00075BE0"/>
    <w:rsid w:val="00082889"/>
    <w:rsid w:val="00092F7F"/>
    <w:rsid w:val="00093DE6"/>
    <w:rsid w:val="000A50BE"/>
    <w:rsid w:val="000B3313"/>
    <w:rsid w:val="000C73EB"/>
    <w:rsid w:val="001022BF"/>
    <w:rsid w:val="001273CC"/>
    <w:rsid w:val="001278EB"/>
    <w:rsid w:val="00142177"/>
    <w:rsid w:val="0016686D"/>
    <w:rsid w:val="001669D8"/>
    <w:rsid w:val="00167E52"/>
    <w:rsid w:val="00186BB7"/>
    <w:rsid w:val="001B4CDC"/>
    <w:rsid w:val="001B674F"/>
    <w:rsid w:val="001D0A94"/>
    <w:rsid w:val="001D6078"/>
    <w:rsid w:val="001F5186"/>
    <w:rsid w:val="002218C5"/>
    <w:rsid w:val="002245F9"/>
    <w:rsid w:val="00225323"/>
    <w:rsid w:val="00236E6D"/>
    <w:rsid w:val="0027352C"/>
    <w:rsid w:val="00273E5A"/>
    <w:rsid w:val="00277BE4"/>
    <w:rsid w:val="00280DBE"/>
    <w:rsid w:val="00282694"/>
    <w:rsid w:val="0029356B"/>
    <w:rsid w:val="002A59B5"/>
    <w:rsid w:val="002A6919"/>
    <w:rsid w:val="002C434D"/>
    <w:rsid w:val="002C4A9C"/>
    <w:rsid w:val="002C4CFC"/>
    <w:rsid w:val="002C7153"/>
    <w:rsid w:val="002D6216"/>
    <w:rsid w:val="002E2BF8"/>
    <w:rsid w:val="002E4E6F"/>
    <w:rsid w:val="002E77DE"/>
    <w:rsid w:val="002E79FB"/>
    <w:rsid w:val="00302126"/>
    <w:rsid w:val="003255F0"/>
    <w:rsid w:val="003320A2"/>
    <w:rsid w:val="003362C9"/>
    <w:rsid w:val="00344D1E"/>
    <w:rsid w:val="00353E95"/>
    <w:rsid w:val="00354C8D"/>
    <w:rsid w:val="00362700"/>
    <w:rsid w:val="003724A8"/>
    <w:rsid w:val="00385CAC"/>
    <w:rsid w:val="00385D24"/>
    <w:rsid w:val="00396979"/>
    <w:rsid w:val="003A4350"/>
    <w:rsid w:val="003C346D"/>
    <w:rsid w:val="003F6A13"/>
    <w:rsid w:val="00410D8B"/>
    <w:rsid w:val="004157A7"/>
    <w:rsid w:val="00417E78"/>
    <w:rsid w:val="00422828"/>
    <w:rsid w:val="0042659C"/>
    <w:rsid w:val="004342CC"/>
    <w:rsid w:val="004642D2"/>
    <w:rsid w:val="00491C07"/>
    <w:rsid w:val="00492C84"/>
    <w:rsid w:val="00494F9D"/>
    <w:rsid w:val="004A4C61"/>
    <w:rsid w:val="004A7029"/>
    <w:rsid w:val="004B4C5A"/>
    <w:rsid w:val="004D50CA"/>
    <w:rsid w:val="004F32D5"/>
    <w:rsid w:val="00505D8F"/>
    <w:rsid w:val="00517DA7"/>
    <w:rsid w:val="0052261D"/>
    <w:rsid w:val="005253E3"/>
    <w:rsid w:val="005343BF"/>
    <w:rsid w:val="005359E8"/>
    <w:rsid w:val="00543914"/>
    <w:rsid w:val="0055079A"/>
    <w:rsid w:val="00555C1E"/>
    <w:rsid w:val="00565A01"/>
    <w:rsid w:val="00585976"/>
    <w:rsid w:val="00591FB1"/>
    <w:rsid w:val="005976FC"/>
    <w:rsid w:val="0059796D"/>
    <w:rsid w:val="005A5FB1"/>
    <w:rsid w:val="005B68C8"/>
    <w:rsid w:val="005C286C"/>
    <w:rsid w:val="005D62FE"/>
    <w:rsid w:val="005D648C"/>
    <w:rsid w:val="005E2E80"/>
    <w:rsid w:val="005F204F"/>
    <w:rsid w:val="006156DC"/>
    <w:rsid w:val="00645E19"/>
    <w:rsid w:val="0065462E"/>
    <w:rsid w:val="0066085C"/>
    <w:rsid w:val="00690E9A"/>
    <w:rsid w:val="006A2B36"/>
    <w:rsid w:val="006A73C1"/>
    <w:rsid w:val="006A7CAC"/>
    <w:rsid w:val="006C7CA3"/>
    <w:rsid w:val="006D1EF3"/>
    <w:rsid w:val="006E39CA"/>
    <w:rsid w:val="006E3C1A"/>
    <w:rsid w:val="006E7AD1"/>
    <w:rsid w:val="006F2364"/>
    <w:rsid w:val="007004B4"/>
    <w:rsid w:val="00732E24"/>
    <w:rsid w:val="00752594"/>
    <w:rsid w:val="007531DB"/>
    <w:rsid w:val="00754CF6"/>
    <w:rsid w:val="0075723B"/>
    <w:rsid w:val="00761B06"/>
    <w:rsid w:val="0077392F"/>
    <w:rsid w:val="007756C8"/>
    <w:rsid w:val="0078277B"/>
    <w:rsid w:val="0078706F"/>
    <w:rsid w:val="007B0E46"/>
    <w:rsid w:val="007B2D29"/>
    <w:rsid w:val="007B4135"/>
    <w:rsid w:val="007C6999"/>
    <w:rsid w:val="007D00C2"/>
    <w:rsid w:val="007D1215"/>
    <w:rsid w:val="007D40A6"/>
    <w:rsid w:val="007D7ACF"/>
    <w:rsid w:val="007F1DE1"/>
    <w:rsid w:val="007F5356"/>
    <w:rsid w:val="00801CAF"/>
    <w:rsid w:val="00803D47"/>
    <w:rsid w:val="008151AD"/>
    <w:rsid w:val="00820327"/>
    <w:rsid w:val="00827535"/>
    <w:rsid w:val="00835049"/>
    <w:rsid w:val="00845FFB"/>
    <w:rsid w:val="0086501C"/>
    <w:rsid w:val="00880B22"/>
    <w:rsid w:val="0088639E"/>
    <w:rsid w:val="00895DC1"/>
    <w:rsid w:val="008A541D"/>
    <w:rsid w:val="008A76B5"/>
    <w:rsid w:val="008C3639"/>
    <w:rsid w:val="008C791A"/>
    <w:rsid w:val="008D268F"/>
    <w:rsid w:val="008D3BBA"/>
    <w:rsid w:val="008E46AA"/>
    <w:rsid w:val="008E6708"/>
    <w:rsid w:val="008F71B4"/>
    <w:rsid w:val="009004ED"/>
    <w:rsid w:val="00916EA7"/>
    <w:rsid w:val="0092483A"/>
    <w:rsid w:val="00926D13"/>
    <w:rsid w:val="00935FCF"/>
    <w:rsid w:val="00936575"/>
    <w:rsid w:val="00937651"/>
    <w:rsid w:val="00944EC3"/>
    <w:rsid w:val="00947E32"/>
    <w:rsid w:val="009704F5"/>
    <w:rsid w:val="009836D1"/>
    <w:rsid w:val="009858BD"/>
    <w:rsid w:val="0099231E"/>
    <w:rsid w:val="009B4871"/>
    <w:rsid w:val="009F3F90"/>
    <w:rsid w:val="009F4195"/>
    <w:rsid w:val="00A2505A"/>
    <w:rsid w:val="00A25EC8"/>
    <w:rsid w:val="00A42303"/>
    <w:rsid w:val="00A44BA3"/>
    <w:rsid w:val="00A62ABE"/>
    <w:rsid w:val="00A66401"/>
    <w:rsid w:val="00A714BB"/>
    <w:rsid w:val="00A9384F"/>
    <w:rsid w:val="00AA55CF"/>
    <w:rsid w:val="00AB26D1"/>
    <w:rsid w:val="00AB2F9F"/>
    <w:rsid w:val="00AC76F9"/>
    <w:rsid w:val="00AD62D0"/>
    <w:rsid w:val="00AD706B"/>
    <w:rsid w:val="00AE12A4"/>
    <w:rsid w:val="00AE1527"/>
    <w:rsid w:val="00AE35FD"/>
    <w:rsid w:val="00AE59E0"/>
    <w:rsid w:val="00B0656B"/>
    <w:rsid w:val="00B0663B"/>
    <w:rsid w:val="00B32A7D"/>
    <w:rsid w:val="00B34614"/>
    <w:rsid w:val="00B40BE1"/>
    <w:rsid w:val="00B43B6A"/>
    <w:rsid w:val="00B462E5"/>
    <w:rsid w:val="00B54E28"/>
    <w:rsid w:val="00B651E8"/>
    <w:rsid w:val="00B66877"/>
    <w:rsid w:val="00B7186F"/>
    <w:rsid w:val="00B73C10"/>
    <w:rsid w:val="00B843F1"/>
    <w:rsid w:val="00B91FEC"/>
    <w:rsid w:val="00BA2590"/>
    <w:rsid w:val="00BB13E2"/>
    <w:rsid w:val="00BB39DE"/>
    <w:rsid w:val="00BB7664"/>
    <w:rsid w:val="00BC1C2A"/>
    <w:rsid w:val="00BD764E"/>
    <w:rsid w:val="00BF7425"/>
    <w:rsid w:val="00BF75CD"/>
    <w:rsid w:val="00C202AC"/>
    <w:rsid w:val="00C25285"/>
    <w:rsid w:val="00C26852"/>
    <w:rsid w:val="00C30472"/>
    <w:rsid w:val="00C407DF"/>
    <w:rsid w:val="00C43865"/>
    <w:rsid w:val="00C438A0"/>
    <w:rsid w:val="00C5146E"/>
    <w:rsid w:val="00C74528"/>
    <w:rsid w:val="00C87439"/>
    <w:rsid w:val="00C90AB6"/>
    <w:rsid w:val="00CC26AC"/>
    <w:rsid w:val="00CC64ED"/>
    <w:rsid w:val="00CE160E"/>
    <w:rsid w:val="00CF76AD"/>
    <w:rsid w:val="00D14BE6"/>
    <w:rsid w:val="00D206CE"/>
    <w:rsid w:val="00D215DF"/>
    <w:rsid w:val="00D339E9"/>
    <w:rsid w:val="00D47AC8"/>
    <w:rsid w:val="00D76C4D"/>
    <w:rsid w:val="00D80656"/>
    <w:rsid w:val="00D82A41"/>
    <w:rsid w:val="00D83823"/>
    <w:rsid w:val="00D86A63"/>
    <w:rsid w:val="00DA6BD9"/>
    <w:rsid w:val="00DB1E3A"/>
    <w:rsid w:val="00DB38C0"/>
    <w:rsid w:val="00DC2E3B"/>
    <w:rsid w:val="00DD5269"/>
    <w:rsid w:val="00DD5396"/>
    <w:rsid w:val="00DE1E54"/>
    <w:rsid w:val="00DE3421"/>
    <w:rsid w:val="00DE65D6"/>
    <w:rsid w:val="00DF2729"/>
    <w:rsid w:val="00DF3C72"/>
    <w:rsid w:val="00DF3D85"/>
    <w:rsid w:val="00E11A14"/>
    <w:rsid w:val="00E11A62"/>
    <w:rsid w:val="00E14060"/>
    <w:rsid w:val="00E22434"/>
    <w:rsid w:val="00E466BE"/>
    <w:rsid w:val="00E81F7E"/>
    <w:rsid w:val="00E903D2"/>
    <w:rsid w:val="00E94DF3"/>
    <w:rsid w:val="00E96470"/>
    <w:rsid w:val="00E97749"/>
    <w:rsid w:val="00EA0AE7"/>
    <w:rsid w:val="00EA0F5F"/>
    <w:rsid w:val="00EA33A3"/>
    <w:rsid w:val="00EA65EE"/>
    <w:rsid w:val="00EA7CAD"/>
    <w:rsid w:val="00EB7B79"/>
    <w:rsid w:val="00ED0966"/>
    <w:rsid w:val="00EE7D2E"/>
    <w:rsid w:val="00EF0924"/>
    <w:rsid w:val="00F03688"/>
    <w:rsid w:val="00F07F1A"/>
    <w:rsid w:val="00F340A4"/>
    <w:rsid w:val="00F407AA"/>
    <w:rsid w:val="00F42D31"/>
    <w:rsid w:val="00F51D81"/>
    <w:rsid w:val="00F55765"/>
    <w:rsid w:val="00F700F5"/>
    <w:rsid w:val="00F80E26"/>
    <w:rsid w:val="00F903B5"/>
    <w:rsid w:val="00FB045D"/>
    <w:rsid w:val="00FD677E"/>
    <w:rsid w:val="00FE297C"/>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rsid w:val="007D1215"/>
    <w:pPr>
      <w:keepNext/>
      <w:keepLines/>
      <w:spacing w:before="480" w:after="120"/>
      <w:outlineLvl w:val="0"/>
    </w:pPr>
    <w:rPr>
      <w:b/>
      <w:szCs w:val="48"/>
    </w:rPr>
  </w:style>
  <w:style w:type="paragraph" w:styleId="Judul2">
    <w:name w:val="heading 2"/>
    <w:basedOn w:val="Normal"/>
    <w:link w:val="Judul2KAR"/>
    <w:uiPriority w:val="9"/>
    <w:unhideWhenUsed/>
    <w:qFormat/>
    <w:rsid w:val="007D1215"/>
    <w:pPr>
      <w:spacing w:before="100" w:beforeAutospacing="1" w:after="100" w:afterAutospacing="1"/>
      <w:outlineLvl w:val="1"/>
    </w:pPr>
    <w:rPr>
      <w:rFonts w:eastAsia="Times New Roman"/>
      <w:b/>
      <w:bCs/>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7D1215"/>
    <w:rPr>
      <w:b/>
      <w:bCs/>
      <w:szCs w:val="36"/>
      <w:lang w:val="id-ID"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6156DC"/>
    <w:rPr>
      <w:color w:val="605E5C"/>
      <w:shd w:val="clear" w:color="auto" w:fill="E1DFDD"/>
    </w:rPr>
  </w:style>
  <w:style w:type="character" w:customStyle="1" w:styleId="apple-converted-space">
    <w:name w:val="apple-converted-space"/>
    <w:basedOn w:val="FontParagrafDefault"/>
    <w:rsid w:val="00EB7B79"/>
  </w:style>
  <w:style w:type="character" w:customStyle="1" w:styleId="whitespace-normal">
    <w:name w:val="whitespace-normal"/>
    <w:basedOn w:val="FontParagrafDefault"/>
    <w:rsid w:val="00EB7B79"/>
  </w:style>
  <w:style w:type="paragraph" w:styleId="TeksCatatanKaki">
    <w:name w:val="footnote text"/>
    <w:basedOn w:val="Normal"/>
    <w:link w:val="TeksCatatanKakiKAR"/>
    <w:uiPriority w:val="99"/>
    <w:semiHidden/>
    <w:unhideWhenUsed/>
    <w:rsid w:val="00F700F5"/>
    <w:rPr>
      <w:sz w:val="20"/>
      <w:szCs w:val="20"/>
    </w:rPr>
  </w:style>
  <w:style w:type="character" w:customStyle="1" w:styleId="TeksCatatanKakiKAR">
    <w:name w:val="Teks Catatan Kaki KAR"/>
    <w:basedOn w:val="FontParagrafDefault"/>
    <w:link w:val="TeksCatatanKaki"/>
    <w:uiPriority w:val="99"/>
    <w:semiHidden/>
    <w:rsid w:val="00F700F5"/>
    <w:rPr>
      <w:rFonts w:eastAsia="SimSun"/>
      <w:sz w:val="20"/>
      <w:szCs w:val="20"/>
      <w:lang w:eastAsia="zh-CN"/>
    </w:rPr>
  </w:style>
  <w:style w:type="character" w:styleId="ReferensiCatatanKaki">
    <w:name w:val="footnote reference"/>
    <w:basedOn w:val="FontParagrafDefault"/>
    <w:uiPriority w:val="99"/>
    <w:semiHidden/>
    <w:unhideWhenUsed/>
    <w:rsid w:val="00F700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im0426113753@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elvybtoming@gmail.com"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0B90254E-9D77-454B-90A4-80430769D40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9</Pages>
  <Words>3065</Words>
  <Characters>17475</Characters>
  <Application>Microsoft Office Word</Application>
  <DocSecurity>0</DocSecurity>
  <Lines>145</Lines>
  <Paragraphs>40</Paragraphs>
  <ScaleCrop>false</ScaleCrop>
  <Company/>
  <LinksUpToDate>false</LinksUpToDate>
  <CharactersWithSpaces>20500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Abraham Giovanni Immanuel</cp:lastModifiedBy>
  <cp:revision>208</cp:revision>
  <dcterms:created xsi:type="dcterms:W3CDTF">2026-02-25T07:50:00Z</dcterms:created>
  <dcterms:modified xsi:type="dcterms:W3CDTF">2026-02-27T08:24:00Z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http://www.zotero.org/styles/turabian-fullnote-bibliography-8th-edition</vt:lpwstr>
  </property>
  <property fmtid="{D5CDD505-2E9C-101B-9397-08002B2CF9AE}" pid="17" name="Mendeley Recent Style Name 7_1">
    <vt:lpwstr>Turabian 8th edition (full note)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34eeef60-477d-36d0-9477-2e9313f7eedf</vt:lpwstr>
  </property>
  <property fmtid="{D5CDD505-2E9C-101B-9397-08002B2CF9AE}" pid="25" name="Mendeley Citation Style_1">
    <vt:lpwstr>http://www.zotero.org/styles/turabian-fullnote-bibliography-no-ibid</vt:lpwstr>
  </property>
</Properties>
</file>