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A50DB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220E4945" w:rsidR="00C30472" w:rsidRDefault="009A6BA2"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Eklesiologi HKBP diperhadapkan dengan Oikodomein sebagai Vitalisasi Jemaat: Misi Gereja terhadap Pluralisme Agama</w:t>
            </w:r>
          </w:p>
          <w:p w14:paraId="191DB276" w14:textId="77777777" w:rsidR="009A6BA2" w:rsidRPr="00AE35FD" w:rsidRDefault="009A6BA2" w:rsidP="00F903B5">
            <w:pPr>
              <w:pBdr>
                <w:top w:val="nil"/>
                <w:left w:val="nil"/>
                <w:bottom w:val="nil"/>
                <w:right w:val="nil"/>
                <w:between w:val="nil"/>
              </w:pBdr>
              <w:spacing w:after="120" w:line="276" w:lineRule="auto"/>
              <w:jc w:val="center"/>
              <w:rPr>
                <w:rFonts w:eastAsia="Times New Roman"/>
                <w:b/>
                <w:color w:val="000000"/>
                <w:sz w:val="32"/>
                <w:szCs w:val="32"/>
              </w:rPr>
            </w:pPr>
          </w:p>
          <w:p w14:paraId="28AC2386" w14:textId="3291E516" w:rsidR="00C30472" w:rsidRPr="009A6BA2" w:rsidRDefault="009A6BA2" w:rsidP="009A6BA2">
            <w:pPr>
              <w:keepNext/>
              <w:pBdr>
                <w:top w:val="nil"/>
                <w:left w:val="nil"/>
                <w:bottom w:val="nil"/>
                <w:right w:val="nil"/>
                <w:between w:val="nil"/>
              </w:pBdr>
              <w:tabs>
                <w:tab w:val="center" w:pos="5189"/>
                <w:tab w:val="left" w:pos="9525"/>
              </w:tabs>
              <w:jc w:val="center"/>
              <w:rPr>
                <w:b/>
                <w:i/>
                <w:color w:val="000000"/>
                <w:sz w:val="28"/>
                <w:szCs w:val="28"/>
                <w:vertAlign w:val="superscript"/>
              </w:rPr>
            </w:pPr>
            <w:r>
              <w:rPr>
                <w:b/>
                <w:i/>
                <w:color w:val="000000"/>
                <w:sz w:val="28"/>
                <w:szCs w:val="28"/>
              </w:rPr>
              <w:t>Bona Ventro Simatupang</w:t>
            </w:r>
          </w:p>
          <w:p w14:paraId="6EDB9016" w14:textId="3443A909" w:rsidR="00C30472" w:rsidRDefault="00A50DB9">
            <w:pPr>
              <w:jc w:val="center"/>
            </w:pPr>
            <w:bookmarkStart w:id="0" w:name="_heading=h.gjdgxs" w:colFirst="0" w:colLast="0"/>
            <w:bookmarkEnd w:id="0"/>
            <w:r>
              <w:rPr>
                <w:i/>
                <w:color w:val="000000"/>
              </w:rPr>
              <w:t xml:space="preserve">Sekolah Tinggi Teologi </w:t>
            </w:r>
            <w:r w:rsidR="009A6BA2">
              <w:rPr>
                <w:i/>
                <w:color w:val="000000"/>
              </w:rPr>
              <w:t>HKBP Pematangsiantar</w:t>
            </w:r>
          </w:p>
          <w:p w14:paraId="783395F9" w14:textId="3D87735E" w:rsidR="00C30472" w:rsidRDefault="009A6BA2">
            <w:pPr>
              <w:jc w:val="center"/>
            </w:pPr>
            <w:hyperlink r:id="rId9" w:history="1">
              <w:r w:rsidRPr="00DC5989">
                <w:rPr>
                  <w:rStyle w:val="Hyperlink"/>
                  <w:i/>
                </w:rPr>
                <w:t>bonaventrosimatupang@gmail.com</w:t>
              </w:r>
            </w:hyperlink>
            <w:r>
              <w:rPr>
                <w:i/>
                <w:color w:val="000000"/>
              </w:rP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A50DB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1612A014" w:rsidR="00C30472" w:rsidRPr="009A6BA2" w:rsidRDefault="00A50DB9" w:rsidP="009A6BA2">
            <w:pPr>
              <w:jc w:val="both"/>
              <w:rPr>
                <w:sz w:val="22"/>
                <w:szCs w:val="22"/>
              </w:rPr>
            </w:pPr>
            <w:r>
              <w:rPr>
                <w:rFonts w:ascii="Lustria" w:eastAsia="Lustria" w:hAnsi="Lustria" w:cs="Lustria"/>
                <w:color w:val="000000"/>
                <w:sz w:val="20"/>
                <w:szCs w:val="20"/>
              </w:rPr>
              <w:t>_____________________________________________________________</w:t>
            </w:r>
            <w:bookmarkStart w:id="1" w:name="_Hlk222185434"/>
            <w:r w:rsidR="009A6BA2" w:rsidRPr="00437836">
              <w:rPr>
                <w:sz w:val="22"/>
                <w:szCs w:val="22"/>
              </w:rPr>
              <w:t xml:space="preserve"> 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Penelitian menunjukkan bahwa oikodomein menghadirkan paradigma integratif yang memadukan pembinaan rohani, partisipasi jemaat, dialog antaragama, serta tanggung jawab sosial tanpa kehilangan integritas teologis. Kerangka misi berbasis oikodomein memampukan HKBP hadir sebagai komunitas iman yang inklusif, tangguh, dan transformatif dalam masyarakat plural.</w:t>
            </w:r>
            <w:bookmarkEnd w:id="1"/>
          </w:p>
          <w:p w14:paraId="3A146C76" w14:textId="77777777" w:rsidR="003A4350"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Default="00A50DB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194AD5F2" w:rsidR="00C30472" w:rsidRDefault="009A6BA2">
            <w:pPr>
              <w:pBdr>
                <w:top w:val="nil"/>
                <w:left w:val="nil"/>
                <w:bottom w:val="nil"/>
                <w:right w:val="nil"/>
                <w:between w:val="nil"/>
              </w:pBdr>
              <w:rPr>
                <w:rFonts w:eastAsia="Times New Roman"/>
                <w:i/>
                <w:color w:val="000000"/>
                <w:sz w:val="22"/>
                <w:szCs w:val="22"/>
              </w:rPr>
            </w:pPr>
            <w:r>
              <w:rPr>
                <w:rFonts w:eastAsia="Times New Roman"/>
                <w:color w:val="000000"/>
                <w:sz w:val="22"/>
                <w:szCs w:val="22"/>
              </w:rPr>
              <w:t>Eklesiologi, HKBP, Misi, Oikodomein, Pluralisme, Vitalisasi Jemaat.</w:t>
            </w:r>
          </w:p>
          <w:p w14:paraId="71E2798F" w14:textId="77777777" w:rsidR="00C30472" w:rsidRDefault="00A50DB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9A6BA2">
            <w:pPr>
              <w:jc w:val="both"/>
              <w:rPr>
                <w:i/>
                <w:iCs/>
                <w:sz w:val="22"/>
                <w:szCs w:val="22"/>
              </w:rPr>
            </w:pPr>
            <w:r w:rsidRPr="009A6BA2">
              <w:rPr>
                <w:i/>
                <w:iCs/>
                <w:sz w:val="22"/>
                <w:szCs w:val="22"/>
              </w:rPr>
              <w:t xml:space="preserve">This study analyzes the ecclesiology of HKBP in dialogue with the concept of oikodomein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w:t>
            </w:r>
            <w:r w:rsidRPr="009A6BA2">
              <w:rPr>
                <w:i/>
                <w:iCs/>
                <w:sz w:val="22"/>
                <w:szCs w:val="22"/>
              </w:rPr>
              <w:lastRenderedPageBreak/>
              <w:t>formulate a contextual and transformative church mission strategy grounded in oikodomein as a dynamic and participatory process of church building. The findings indicate that oikodomein offers an integrative paradigm that combines spiritual formation, congregational participation, interreligious dialogue, and social responsibility without compromising theological integrity. A mission framework based on oikodomein enables HKBP to be present as an inclusive, resilient, and transformative faith community within a pluralistic society.</w:t>
            </w:r>
          </w:p>
          <w:p w14:paraId="44D1E0EB" w14:textId="77777777" w:rsidR="003A4350" w:rsidRDefault="003A4350">
            <w:pPr>
              <w:pBdr>
                <w:top w:val="nil"/>
                <w:left w:val="nil"/>
                <w:bottom w:val="nil"/>
                <w:right w:val="nil"/>
                <w:between w:val="nil"/>
              </w:pBdr>
              <w:rPr>
                <w:rFonts w:eastAsia="Times New Roman"/>
                <w:i/>
                <w:color w:val="000000"/>
                <w:sz w:val="22"/>
                <w:szCs w:val="22"/>
              </w:rPr>
            </w:pPr>
          </w:p>
          <w:p w14:paraId="61514CC2" w14:textId="2E8F26D7" w:rsidR="00C30472" w:rsidRDefault="00A50DB9">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pPr>
              <w:pBdr>
                <w:top w:val="nil"/>
                <w:left w:val="nil"/>
                <w:bottom w:val="nil"/>
                <w:right w:val="nil"/>
                <w:between w:val="nil"/>
              </w:pBdr>
              <w:rPr>
                <w:rFonts w:eastAsia="Times New Roman"/>
                <w:i/>
                <w:iCs/>
                <w:color w:val="000000"/>
                <w:sz w:val="22"/>
                <w:szCs w:val="22"/>
              </w:rPr>
            </w:pPr>
            <w:r w:rsidRPr="009A6BA2">
              <w:rPr>
                <w:rFonts w:eastAsia="Times New Roman"/>
                <w:i/>
                <w:iCs/>
                <w:color w:val="000000"/>
                <w:sz w:val="22"/>
                <w:szCs w:val="22"/>
              </w:rPr>
              <w:t>Ecclesiology, HKBP, Mission, Oikodomein, Pluralism, Congregational Revitalization.</w:t>
            </w:r>
          </w:p>
          <w:p w14:paraId="7A1C1A60" w14:textId="77777777" w:rsidR="00C30472" w:rsidRDefault="00A50DB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A50DB9">
      <w:pPr>
        <w:jc w:val="both"/>
        <w:rPr>
          <w:b/>
        </w:rPr>
      </w:pPr>
      <w:commentRangeStart w:id="2"/>
      <w:r>
        <w:rPr>
          <w:b/>
        </w:rPr>
        <w:t>PENDAHULUAN</w:t>
      </w:r>
      <w:commentRangeEnd w:id="2"/>
      <w:r w:rsidR="00DD07D1">
        <w:rPr>
          <w:rStyle w:val="ReferensiKomentar"/>
          <w:b/>
          <w:sz w:val="24"/>
          <w:szCs w:val="24"/>
        </w:rPr>
        <w:commentReference w:id="2"/>
      </w:r>
    </w:p>
    <w:p w14:paraId="4CBE1EDD" w14:textId="77777777" w:rsidR="0019775F" w:rsidRPr="009D64B5" w:rsidRDefault="0019775F" w:rsidP="0019775F">
      <w:pPr>
        <w:spacing w:line="360" w:lineRule="auto"/>
        <w:ind w:firstLine="720"/>
        <w:jc w:val="both"/>
        <w:rPr>
          <w:b/>
          <w:bCs/>
        </w:rPr>
      </w:pPr>
      <w:bookmarkStart w:id="3" w:name="_Hlk222233475"/>
      <w:r w:rsidRPr="009D64B5">
        <w:t>Di tengah dinamika masyarakat yang semakin kompleks saat ini, gereja menghadapi tantangan besar untuk tetap memelihara identitas. Hal ini tidak terkecuali bagi HKBP, yang sebagai institusi rohani sekaligus komunitas budaya, berada pada persimpangan kritis antara mempertahankan warisan iman Kristosentris dan menyesuaikan diri dengan realitas kehidupan yang majemuk. Gereja tidak lagi cukup berperan sebagai entitas yang terpisah dari masyarakat, melainkan harus hadir sebagai bagian integral dalam kehidupan sosial dan spiritual yang pluralistik. Gereja dituntut untuk mengembangkan pemahaman eklesiologis yang tidak hanya bersifat teoritis, tetapi diwujudkan secara praksis melalui sikap dan tindakan nyata yang mampu menjembatani tradisi iman dengan kebutuhan masyarakat kontemporer.</w:t>
      </w:r>
      <w:r w:rsidRPr="009D64B5">
        <w:rPr>
          <w:rStyle w:val="ReferensiCatatanKaki"/>
        </w:rPr>
        <w:footnoteReference w:id="1"/>
      </w:r>
      <w:r w:rsidRPr="009D64B5">
        <w:t xml:space="preserve"> Pendekatan ini menggeser paradigma gereja menjadi komunitas terbuka yang terus dibangun dan diperbaharui dalam kasih dan keterlibatan aktif oleh setiap anggota jemaat.</w:t>
      </w:r>
    </w:p>
    <w:p w14:paraId="34B2DB6E" w14:textId="77777777" w:rsidR="0019775F" w:rsidRPr="009D64B5" w:rsidRDefault="0019775F" w:rsidP="0019775F">
      <w:pPr>
        <w:spacing w:line="360" w:lineRule="auto"/>
        <w:ind w:firstLine="720"/>
        <w:jc w:val="both"/>
      </w:pPr>
      <w:r w:rsidRPr="009D64B5">
        <w:t>Dalam kerangka inilah, pendekatan eklesiologis berbasis oikodomein menawarkan landasan teologis. Semua gereja-gereja protestan memahami eklesiologi yang sama, sebagai tubuh Kristus dikumpulkan oleh-Nya dan dipimpin olehNya sendiri.</w:t>
      </w:r>
      <w:r w:rsidRPr="009D64B5">
        <w:rPr>
          <w:rStyle w:val="ReferensiCatatanKaki"/>
        </w:rPr>
        <w:footnoteReference w:id="2"/>
      </w:r>
      <w:r w:rsidRPr="009D64B5">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9D64B5">
        <w:rPr>
          <w:rStyle w:val="ReferensiCatatanKaki"/>
        </w:rPr>
        <w:footnoteReference w:id="3"/>
      </w:r>
    </w:p>
    <w:p w14:paraId="4C98C7F4" w14:textId="77777777" w:rsidR="0019775F" w:rsidRPr="009D64B5" w:rsidRDefault="0019775F" w:rsidP="0019775F">
      <w:pPr>
        <w:spacing w:line="360" w:lineRule="auto"/>
        <w:ind w:firstLine="720"/>
        <w:jc w:val="both"/>
      </w:pPr>
      <w:r w:rsidRPr="009D64B5">
        <w:t xml:space="preserve">Konsep oikodomein merepresentasikan gereja sebagai rumah spiritual yang terus dibentuk dan diperbarui melalui keberadaan dan peran setiap anggota jemaat. Dalam konteks pluralisme keagamaan, pendekatan ini menekankan kolaborasi, dialog dan pemahaman 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w:t>
      </w:r>
      <w:r w:rsidRPr="009D64B5">
        <w:lastRenderedPageBreak/>
        <w:t>paradigma baru dalam misi gereja yang tidak lagi terfokus pada konversi semata, tetapi pada pembentukan komunitas yang hidup dan berdaya saing dalam tanda-tanda zaman.</w:t>
      </w:r>
      <w:r w:rsidRPr="009D64B5">
        <w:rPr>
          <w:rStyle w:val="ReferensiCatatanKaki"/>
        </w:rPr>
        <w:footnoteReference w:id="4"/>
      </w:r>
    </w:p>
    <w:p w14:paraId="1C3BAFF0" w14:textId="77777777" w:rsidR="0019775F" w:rsidRPr="009D64B5" w:rsidRDefault="0019775F" w:rsidP="0019775F">
      <w:pPr>
        <w:spacing w:line="360" w:lineRule="auto"/>
        <w:ind w:firstLine="720"/>
        <w:jc w:val="both"/>
      </w:pPr>
      <w:r w:rsidRPr="009D64B5">
        <w:t>Pluralisme agama, yang kini menjadi ciri utama tatanan sosial Indonesia, merupakan realitas yang tidak dapat dihindari. Kondisi ini mengharuskan gereja untuk meninjau kembali strategi misinya, dari model yang mungkin terlalu internalistik dan eksklusif menjadi pendekatan yang lebih eksternal dan responsif.</w:t>
      </w:r>
      <w:r w:rsidRPr="009D64B5">
        <w:rPr>
          <w:rStyle w:val="ReferensiCatatanKaki"/>
        </w:rPr>
        <w:footnoteReference w:id="5"/>
      </w:r>
      <w:r w:rsidRPr="009D64B5">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injili yang dipegangnya.</w:t>
      </w:r>
    </w:p>
    <w:p w14:paraId="38D94AED" w14:textId="77777777" w:rsidR="0019775F" w:rsidRPr="009D64B5" w:rsidRDefault="0019775F" w:rsidP="0019775F">
      <w:pPr>
        <w:spacing w:line="360" w:lineRule="auto"/>
        <w:ind w:firstLine="720"/>
        <w:jc w:val="both"/>
      </w:pPr>
      <w:r w:rsidRPr="009D64B5">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31C3D8B" w14:textId="77777777" w:rsidR="0019775F" w:rsidRPr="009D64B5" w:rsidRDefault="0019775F" w:rsidP="0019775F">
      <w:pPr>
        <w:spacing w:line="360" w:lineRule="auto"/>
        <w:ind w:firstLine="720"/>
        <w:jc w:val="both"/>
      </w:pPr>
      <w:r w:rsidRPr="009D64B5">
        <w:t>Vitalisasi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teologis bagi jemaat, pelatihan kepemimpinan, serta penguatan budaya dialog di antara umat, sebagai bagian dari proses pembangunan rumah Allah yang kekal.</w:t>
      </w:r>
      <w:r w:rsidRPr="009D64B5">
        <w:rPr>
          <w:rStyle w:val="ReferensiCatatanKaki"/>
        </w:rPr>
        <w:footnoteReference w:id="6"/>
      </w:r>
    </w:p>
    <w:p w14:paraId="6D71AFFF" w14:textId="77777777" w:rsidR="0019775F" w:rsidRPr="009D64B5" w:rsidRDefault="0019775F" w:rsidP="0019775F">
      <w:pPr>
        <w:spacing w:line="360" w:lineRule="auto"/>
        <w:ind w:firstLine="720"/>
        <w:jc w:val="both"/>
      </w:pPr>
      <w:r w:rsidRPr="009D64B5">
        <w:t xml:space="preserve">Selain itu, kajian ini menelusuri sejauh mana HKBP telah menerapkan prinsip-prinsip oikodomein secara praktis, baik dalam struktur organisasi, program pelayanan, maupun </w:t>
      </w:r>
      <w:r w:rsidRPr="009D64B5">
        <w:lastRenderedPageBreak/>
        <w:t>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respon teologis terhadap realitas pluralisme.</w:t>
      </w:r>
      <w:r w:rsidRPr="009D64B5">
        <w:rPr>
          <w:rStyle w:val="ReferensiCatatanKaki"/>
        </w:rPr>
        <w:footnoteReference w:id="7"/>
      </w:r>
      <w:r w:rsidRPr="009D64B5">
        <w:t xml:space="preserve"> Vitalisasi akan berjalan ketika jemaat itu memahami tujuan yang akan dicapai dalam vitalisasi.</w:t>
      </w:r>
    </w:p>
    <w:p w14:paraId="3D79B3D0" w14:textId="77777777" w:rsidR="0019775F" w:rsidRPr="009D64B5" w:rsidRDefault="0019775F" w:rsidP="0019775F">
      <w:pPr>
        <w:spacing w:line="360" w:lineRule="auto"/>
        <w:ind w:firstLine="720"/>
        <w:jc w:val="both"/>
      </w:pPr>
      <w:r w:rsidRPr="009D64B5">
        <w:t>Kajian ini menghadirkan sebuah proposisi praktis yang dapat menjadi pedoman dalam merancang strategi misi yang kontekstual dan transformatif. Dengan menempatkan eklesiologi HKBP dalam kerangka oikodomein gereja tidak sekadar dipahami sebagai institusi yang bertahan di tengah arus pluralisme agama, melainkan sebagai komunitas iman yang secara aktif membangun kehidupan bersama. Gereja tidak hadir sebagai otoritas yang mendominasi, tetapi sebagai persekutuan yang membangun rumah bersama. Bertolak dari kerangka tersebut, penelitian ini bertujuan untuk menganalisis bagaimana konsep oikodomein dapat diaplikasikan secara konkret dalam eklesiologi HKBP di tengah konteks pluralisme agama. Selain itu, kajian ini juga berupaya mengidentifikasi serta merumuskan strategi misi gereja yang relevan dan kontekstual dalam mengaktualisasikan vitalisasi jemaat berdasarkan prinsip oikodomein. Lebih jauh lagi, penelitian ini mengkaji sejauh mana pluralisme agama memengaruhi implementasi oikodomein dalam kehidupan bergereja HKBP, sehingga dapat ditemukan model praksis yang tidak hanya teologis-reflektif, tetapi juga operasional dan transformatif dalam realitas sosial yang majemuk.</w:t>
      </w:r>
    </w:p>
    <w:bookmarkEnd w:id="3"/>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A50DB9">
      <w:pPr>
        <w:tabs>
          <w:tab w:val="left" w:pos="284"/>
        </w:tabs>
        <w:jc w:val="both"/>
        <w:rPr>
          <w:b/>
        </w:rPr>
      </w:pPr>
      <w:commentRangeStart w:id="4"/>
      <w:r>
        <w:rPr>
          <w:b/>
        </w:rPr>
        <w:t>METODE PENELITIAN</w:t>
      </w:r>
      <w:commentRangeEnd w:id="4"/>
      <w:r w:rsidR="00DD07D1">
        <w:rPr>
          <w:rStyle w:val="ReferensiKomentar"/>
          <w:b/>
          <w:sz w:val="24"/>
          <w:szCs w:val="24"/>
        </w:rPr>
        <w:commentReference w:id="4"/>
      </w:r>
    </w:p>
    <w:p w14:paraId="50551D0B" w14:textId="14E19529" w:rsidR="00C30472" w:rsidRPr="0019775F" w:rsidRDefault="0019775F" w:rsidP="0019775F">
      <w:pPr>
        <w:spacing w:line="360" w:lineRule="auto"/>
        <w:ind w:firstLine="720"/>
        <w:jc w:val="both"/>
        <w:rPr>
          <w:b/>
          <w:bCs/>
        </w:rPr>
      </w:pPr>
      <w:bookmarkStart w:id="5" w:name="_Hlk222233503"/>
      <w:r w:rsidRPr="009D64B5">
        <w:t>Penelitian ini menggunakan metode kualitatif dengan pendekatan studi pustaka. Pendekatan ini dipilih karena fokus penelitian adalah memahami dan menganalisis konsep eklesiologi Gereja HKBP dan penerapan Oikodomein sebagai upaya vitalisasi jemaat dalam konteks pluralisme agama melalui kajian literatur yang relevan.</w:t>
      </w:r>
      <w:r w:rsidRPr="009D64B5">
        <w:rPr>
          <w:b/>
          <w:bCs/>
        </w:rPr>
        <w:t xml:space="preserve"> </w:t>
      </w:r>
      <w:r w:rsidRPr="009D64B5">
        <w:t>Teknik pengumpulan data dilakukan dengan membaca, mencatat dan mengkaji sumber-sumber tertulis.</w:t>
      </w:r>
      <w:r w:rsidRPr="009D64B5">
        <w:rPr>
          <w:rStyle w:val="ReferensiCatatanKaki"/>
        </w:rPr>
        <w:footnoteReference w:id="8"/>
      </w:r>
      <w:bookmarkEnd w:id="5"/>
    </w:p>
    <w:p w14:paraId="6C4811C0" w14:textId="77777777" w:rsidR="00C30472" w:rsidRDefault="00C30472">
      <w:pPr>
        <w:jc w:val="both"/>
        <w:rPr>
          <w:b/>
        </w:rPr>
      </w:pPr>
    </w:p>
    <w:p w14:paraId="1C4AA62E" w14:textId="76D5E92E" w:rsidR="0019775F" w:rsidRDefault="00A50DB9">
      <w:pPr>
        <w:jc w:val="both"/>
        <w:rPr>
          <w:b/>
        </w:rPr>
      </w:pPr>
      <w:r>
        <w:rPr>
          <w:b/>
        </w:rPr>
        <w:t>HASIL DAN PEMBAHASAN</w:t>
      </w:r>
    </w:p>
    <w:p w14:paraId="38C4D65F" w14:textId="77777777" w:rsidR="0019775F" w:rsidRDefault="0019775F" w:rsidP="0019775F">
      <w:pPr>
        <w:spacing w:line="360" w:lineRule="auto"/>
        <w:jc w:val="both"/>
        <w:rPr>
          <w:b/>
          <w:bCs/>
          <w:i/>
          <w:iCs/>
        </w:rPr>
      </w:pPr>
      <w:bookmarkStart w:id="6" w:name="_Hlk222233572"/>
      <w:r w:rsidRPr="009D64B5">
        <w:rPr>
          <w:b/>
          <w:bCs/>
          <w:i/>
          <w:iCs/>
        </w:rPr>
        <w:t>Terminologi Eklesiologi HKBP, Oikodomein, Vitalisasi Jemaat dan Pluralisme Agama</w:t>
      </w:r>
    </w:p>
    <w:p w14:paraId="30F48AB7" w14:textId="4971E233" w:rsidR="00DD07D1" w:rsidRPr="00DD07D1" w:rsidRDefault="00DD07D1" w:rsidP="0019775F">
      <w:pPr>
        <w:spacing w:line="360" w:lineRule="auto"/>
        <w:jc w:val="both"/>
        <w:rPr>
          <w:color w:val="EE0000"/>
        </w:rPr>
      </w:pPr>
      <w:r>
        <w:rPr>
          <w:color w:val="EE0000"/>
        </w:rPr>
        <w:t>Antara judul poin, sub poin dan sub-sub poin harus ada pengantarnya.</w:t>
      </w:r>
    </w:p>
    <w:p w14:paraId="7260CDAE" w14:textId="77777777" w:rsidR="0019775F" w:rsidRPr="009D64B5" w:rsidRDefault="0019775F" w:rsidP="0019775F">
      <w:pPr>
        <w:spacing w:line="360" w:lineRule="auto"/>
        <w:jc w:val="both"/>
        <w:rPr>
          <w:b/>
          <w:bCs/>
          <w:i/>
          <w:iCs/>
        </w:rPr>
      </w:pPr>
      <w:r w:rsidRPr="009D64B5">
        <w:rPr>
          <w:i/>
          <w:iCs/>
        </w:rPr>
        <w:t>Eklesiologi HKBP</w:t>
      </w:r>
    </w:p>
    <w:p w14:paraId="06BF7DE2" w14:textId="77777777" w:rsidR="0019775F" w:rsidRPr="009D64B5" w:rsidRDefault="0019775F" w:rsidP="0019775F">
      <w:pPr>
        <w:spacing w:line="360" w:lineRule="auto"/>
        <w:ind w:firstLine="720"/>
        <w:jc w:val="both"/>
      </w:pPr>
      <w:r w:rsidRPr="009D64B5">
        <w:lastRenderedPageBreak/>
        <w:t xml:space="preserve">Pada masa Perjanjian Baru, istilah gereja belum digunakan, yang dipakai adalah kata </w:t>
      </w:r>
      <w:r w:rsidRPr="009D64B5">
        <w:rPr>
          <w:i/>
          <w:iCs/>
        </w:rPr>
        <w:t>ekklesia</w:t>
      </w:r>
      <w:r w:rsidRPr="009D64B5">
        <w:t>, yang berarti persekutuan atau pertemuan rakyat, baik dalam konteks duniawi 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9D64B5">
        <w:rPr>
          <w:rStyle w:val="ReferensiCatatanKaki"/>
        </w:rPr>
        <w:footnoteReference w:id="9"/>
      </w:r>
    </w:p>
    <w:p w14:paraId="7B4CE957" w14:textId="77777777" w:rsidR="0019775F" w:rsidRPr="009D64B5" w:rsidRDefault="0019775F" w:rsidP="0019775F">
      <w:pPr>
        <w:spacing w:line="360" w:lineRule="auto"/>
        <w:ind w:firstLine="720"/>
        <w:jc w:val="both"/>
      </w:pPr>
      <w:r w:rsidRPr="009D64B5">
        <w:t xml:space="preserve">Eklesiologi merupakan istilah yang berkaitan dengan pemahaman tentang </w:t>
      </w:r>
      <w:r w:rsidRPr="009D64B5">
        <w:rPr>
          <w:i/>
          <w:iCs/>
        </w:rPr>
        <w:t>ekklesia</w:t>
      </w:r>
      <w:r w:rsidRPr="009D64B5">
        <w:t xml:space="preserve">, yang berasal dari kata </w:t>
      </w:r>
      <w:r w:rsidRPr="009D64B5">
        <w:rPr>
          <w:i/>
          <w:iCs/>
        </w:rPr>
        <w:t>exkaleo</w:t>
      </w:r>
      <w:r w:rsidRPr="009D64B5">
        <w:t xml:space="preserve">, artinya “dipanggil keluar dari dunia” dan kemudian “diutus kembali masuk ke dalam dunia.” Dengan demikian, </w:t>
      </w:r>
      <w:r w:rsidRPr="009D64B5">
        <w:rPr>
          <w:i/>
          <w:iCs/>
        </w:rPr>
        <w:t>ekklesia</w:t>
      </w:r>
      <w:r w:rsidRPr="009D64B5">
        <w:t xml:space="preserve"> dipahami sebagai kelompok orang-orang yang dipanggil dan dikumpulkan untuk membentuk suatu persekutuan, yang kemudian dimaknai sebagai persekutuan umat di dalam gereja. Gereja atau </w:t>
      </w:r>
      <w:r w:rsidRPr="009D64B5">
        <w:rPr>
          <w:i/>
          <w:iCs/>
        </w:rPr>
        <w:t>ekklesia</w:t>
      </w:r>
      <w:r w:rsidRPr="009D64B5">
        <w:t xml:space="preserve"> didirikan oleh Yesus Kristus sendiri sebagai Pemilik dan Kepala Gereja. Dalam pengertian teologis, gereja digambarkan sebagai tubuh Kristus, di mana setiap anggota memiliki fungsi dan perannya masing-masing dalam mewujudkan kehendak Kristus di dunia.</w:t>
      </w:r>
      <w:r w:rsidRPr="009D64B5">
        <w:rPr>
          <w:rStyle w:val="ReferensiCatatanKaki"/>
        </w:rPr>
        <w:footnoteReference w:id="10"/>
      </w:r>
    </w:p>
    <w:p w14:paraId="50A0AF2F" w14:textId="77777777" w:rsidR="0019775F" w:rsidRPr="009D64B5" w:rsidRDefault="0019775F" w:rsidP="0019775F">
      <w:pPr>
        <w:spacing w:line="360" w:lineRule="auto"/>
        <w:ind w:firstLine="720"/>
        <w:jc w:val="both"/>
      </w:pPr>
      <w:r w:rsidRPr="009D64B5">
        <w:t>Menurut Roger Haight, eklesiologi merupakan refleksi teologis yang membahas hakikat gereja.</w:t>
      </w:r>
      <w:r w:rsidRPr="009D64B5">
        <w:rPr>
          <w:rStyle w:val="ReferensiCatatanKaki"/>
        </w:rPr>
        <w:footnoteReference w:id="11"/>
      </w:r>
      <w:r w:rsidRPr="009D64B5">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9D64B5">
        <w:rPr>
          <w:rStyle w:val="ReferensiCatatanKaki"/>
        </w:rPr>
        <w:footnoteReference w:id="12"/>
      </w:r>
      <w:r w:rsidRPr="009D64B5">
        <w:t xml:space="preserve"> Haight juga menegaskan bahwa gereja merupakan suatu kenyataan yang bersifa plural, dimana di dalamnya terdapat beragam bentuk eklesiologi yang bersifat kontekstual sesuai dengan situasi dan kebutuhan masing-masing.</w:t>
      </w:r>
      <w:r w:rsidRPr="009D64B5">
        <w:rPr>
          <w:rStyle w:val="ReferensiCatatanKaki"/>
        </w:rPr>
        <w:footnoteReference w:id="13"/>
      </w:r>
    </w:p>
    <w:p w14:paraId="3F6D6C3A" w14:textId="77777777" w:rsidR="0019775F" w:rsidRPr="009D64B5" w:rsidRDefault="0019775F" w:rsidP="0019775F">
      <w:pPr>
        <w:spacing w:line="360" w:lineRule="auto"/>
        <w:ind w:firstLine="720"/>
        <w:jc w:val="both"/>
      </w:pPr>
      <w:r w:rsidRPr="009D64B5">
        <w:t xml:space="preserve">Eklesiologi Gereja HKBP merupakan eklesiologi Kristosentris, dimana Kristus menjadi pusat kehidupan gereja dan seluruh jemaat dipahami sebagai tubuh-Nya. </w:t>
      </w:r>
      <w:r w:rsidRPr="009D64B5">
        <w:lastRenderedPageBreak/>
        <w:t>Pemahaman mengenai eklesiologi Kristosentris ini tidak dapat dipisahkan dari kajian kristologi.</w:t>
      </w:r>
      <w:r w:rsidRPr="009D64B5">
        <w:rPr>
          <w:rStyle w:val="ReferensiCatatanKaki"/>
        </w:rPr>
        <w:footnoteReference w:id="14"/>
      </w:r>
      <w:r w:rsidRPr="009D64B5">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9D64B5">
        <w:rPr>
          <w:rStyle w:val="ReferensiCatatanKaki"/>
        </w:rPr>
        <w:footnoteReference w:id="15"/>
      </w:r>
      <w:r w:rsidRPr="009D64B5">
        <w:t xml:space="preserve"> dan 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9D64B5">
        <w:rPr>
          <w:rStyle w:val="ReferensiCatatanKaki"/>
        </w:rPr>
        <w:footnoteReference w:id="16"/>
      </w:r>
    </w:p>
    <w:p w14:paraId="63DDB1DA" w14:textId="77777777" w:rsidR="0019775F" w:rsidRPr="009D64B5" w:rsidRDefault="0019775F" w:rsidP="0019775F">
      <w:pPr>
        <w:spacing w:line="360" w:lineRule="auto"/>
        <w:ind w:firstLine="720"/>
        <w:jc w:val="both"/>
      </w:pPr>
      <w:r w:rsidRPr="009D64B5">
        <w:t>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sebagai tubuh Kristus (1 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yang menegaskan bahwa seluruh kehidupan dan arah gereja harus berpusat pada Kristus. Ia berdaulat atas segala ciptaan dan memimpin gereja menuju tujuan Allah. Dengan demikian, gereja dipanggil untuk menampilkan kesatuan, kasih, dan ketaatan kepada Kristus sebagai kepala yang memimpin seluruh tubuh-Nya.</w:t>
      </w:r>
      <w:r w:rsidRPr="009D64B5">
        <w:rPr>
          <w:rStyle w:val="ReferensiCatatanKaki"/>
        </w:rPr>
        <w:footnoteReference w:id="17"/>
      </w:r>
    </w:p>
    <w:p w14:paraId="4AFCEEA8" w14:textId="77777777" w:rsidR="0019775F" w:rsidRPr="009D64B5" w:rsidRDefault="0019775F" w:rsidP="0019775F">
      <w:pPr>
        <w:spacing w:line="360" w:lineRule="auto"/>
        <w:jc w:val="both"/>
      </w:pPr>
      <w:r w:rsidRPr="009D64B5">
        <w:rPr>
          <w:i/>
          <w:iCs/>
        </w:rPr>
        <w:t>Oikodomein</w:t>
      </w:r>
    </w:p>
    <w:p w14:paraId="645C8389" w14:textId="77777777" w:rsidR="0019775F" w:rsidRPr="009D64B5" w:rsidRDefault="0019775F" w:rsidP="0019775F">
      <w:pPr>
        <w:spacing w:line="360" w:lineRule="auto"/>
        <w:ind w:firstLine="720"/>
        <w:jc w:val="both"/>
      </w:pPr>
      <w:r w:rsidRPr="009D64B5">
        <w:lastRenderedPageBreak/>
        <w:t xml:space="preserve">Konsep oikodomein dalam Perjanjian Lama memiliki akar kuat dalam teologi pembangunan umat Allah. Istilah ini secara etimologis berasal dari kata Yunani, yaitu dari kata </w:t>
      </w:r>
      <w:r w:rsidRPr="009D64B5">
        <w:rPr>
          <w:i/>
          <w:iCs/>
        </w:rPr>
        <w:t xml:space="preserve">oikodome </w:t>
      </w:r>
      <w:r w:rsidRPr="009D64B5">
        <w:t>yang artinya membangun.</w:t>
      </w:r>
      <w:r w:rsidRPr="009D64B5">
        <w:rPr>
          <w:rStyle w:val="ReferensiCatatanKaki"/>
        </w:rPr>
        <w:footnoteReference w:id="18"/>
      </w:r>
      <w:r w:rsidRPr="009D64B5">
        <w:t xml:space="preserve"> Kata ini memiliki paralel dengan konsep Ibrani </w:t>
      </w:r>
      <w:r w:rsidRPr="009D64B5">
        <w:rPr>
          <w:i/>
          <w:iCs/>
        </w:rPr>
        <w:t>banah</w:t>
      </w:r>
      <w:r w:rsidRPr="009D64B5">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 tetapi juga spiritual, mencerminkan hubungan antara Allah dan umat-Nya. Para nabi seperti Yesaya dan Yeremia kemudian mengembangkan konsep ini dengan menekankan pembangunan kembali umat setelah masa pembuangan, yang menjadi fondasi bagi eklesiologi modern.</w:t>
      </w:r>
    </w:p>
    <w:p w14:paraId="4C2F1D2C" w14:textId="77777777" w:rsidR="0019775F" w:rsidRPr="009D64B5" w:rsidRDefault="0019775F" w:rsidP="0019775F">
      <w:pPr>
        <w:spacing w:line="360" w:lineRule="auto"/>
        <w:ind w:firstLine="720"/>
        <w:jc w:val="both"/>
      </w:pPr>
      <w:r w:rsidRPr="009D64B5">
        <w:t>Konsep oikodome pada dasarnya adalah istilah gerejawi yang merujuk pada pertumbuhan rohani, baik bagi jemaat secara keseluruhan maupun bagi setiap orang percaya secara pribadi, dibawah kepemimpinan Kristus. Istilah ini mencerminkan beragam pemahaman gereja pada masa Kristen awal, yang mencakup dimensi rohani, teologis dan liturgis atau jemaat. Rasul Paulus memahami oikodome secara kristosentris (berpusat pada Kristus). Baginya, pertumbuhan ini harus dilandasi oleh kasih (</w:t>
      </w:r>
      <w:r w:rsidRPr="009D64B5">
        <w:rPr>
          <w:i/>
          <w:iCs/>
        </w:rPr>
        <w:t>agape</w:t>
      </w:r>
      <w:r w:rsidRPr="009D64B5">
        <w:t>) dan ditinggikan secara pneumatologis (berkaitan dengan Roh Kudus), menjadikannya unsur vital dalam kepemilikan Roh dan karunia-karunia rohani (</w:t>
      </w:r>
      <w:r w:rsidRPr="009D64B5">
        <w:rPr>
          <w:i/>
          <w:iCs/>
        </w:rPr>
        <w:t>charisma</w:t>
      </w:r>
      <w:r w:rsidRPr="009D64B5">
        <w:t>). Dalam konteks gereja, orang percaya menjalankan fungsi sebagai penatalayan atau pengurus (</w:t>
      </w:r>
      <w:r w:rsidRPr="009D64B5">
        <w:rPr>
          <w:i/>
          <w:iCs/>
        </w:rPr>
        <w:t>oikonomos</w:t>
      </w:r>
      <w:r w:rsidRPr="009D64B5">
        <w:t>). Istilah oikonomos ini sering dipertukarkan dengan doulos (hamba), seperti yang terlihat dalam Lukas 12:42-45. Hal ini menunjukkan bahwa seorang penatalayan adalah hamba yang dipercaya untuk mengurus seluruh isi rumah tangga (</w:t>
      </w:r>
      <w:r w:rsidRPr="009D64B5">
        <w:rPr>
          <w:i/>
          <w:iCs/>
        </w:rPr>
        <w:t>therapeia</w:t>
      </w:r>
      <w:r w:rsidRPr="009D64B5">
        <w:t>). Penatalayan ini mengemban peran sebagai penjaga, pendidik, dan pengelola warisan Injil. Tujuannya adalah demi kebaikan dan pertumbuhan sesama orang percaya.</w:t>
      </w:r>
      <w:r w:rsidRPr="009D64B5">
        <w:rPr>
          <w:rStyle w:val="ReferensiCatatanKaki"/>
        </w:rPr>
        <w:footnoteReference w:id="19"/>
      </w:r>
    </w:p>
    <w:p w14:paraId="467F0B3C" w14:textId="77777777" w:rsidR="0019775F" w:rsidRPr="009D64B5" w:rsidRDefault="0019775F" w:rsidP="0019775F">
      <w:pPr>
        <w:spacing w:line="360" w:lineRule="auto"/>
        <w:ind w:firstLine="720"/>
        <w:jc w:val="both"/>
      </w:pPr>
      <w:r w:rsidRPr="009D64B5">
        <w:t xml:space="preserve">Dalam Perjanjian Baru, konsep </w:t>
      </w:r>
      <w:r w:rsidRPr="009D64B5">
        <w:rPr>
          <w:i/>
          <w:iCs/>
        </w:rPr>
        <w:t>oikodomein</w:t>
      </w:r>
      <w:r w:rsidRPr="009D64B5">
        <w:t xml:space="preserve"> berkembang menjadi metafora sentral bagi gereja sebagai bangunan hidup. Kata oikodomein</w:t>
      </w:r>
      <w:r w:rsidRPr="009D64B5">
        <w:rPr>
          <w:i/>
          <w:iCs/>
        </w:rPr>
        <w:t xml:space="preserve"> </w:t>
      </w:r>
      <w:r w:rsidRPr="009D64B5">
        <w:t>dapat dijumpai dalam injil Matius: “Dan aku pun berkata padamu, Engkau adalah Petrus dan di atas batu karang ini Aku akan mendirikan (</w:t>
      </w:r>
      <w:r w:rsidRPr="009D64B5">
        <w:rPr>
          <w:i/>
          <w:iCs/>
        </w:rPr>
        <w:t>oikodomein</w:t>
      </w:r>
      <w:r w:rsidRPr="009D64B5">
        <w:t>) jemaatKu dan alam maut tidak akan menguasainya (Mat. 16:18).</w:t>
      </w:r>
      <w:r w:rsidRPr="009D64B5">
        <w:rPr>
          <w:rStyle w:val="ReferensiCatatanKaki"/>
        </w:rPr>
        <w:footnoteReference w:id="20"/>
      </w:r>
      <w:r w:rsidRPr="009D64B5">
        <w:t xml:space="preserve"> </w:t>
      </w:r>
      <w:r w:rsidRPr="009D64B5">
        <w:lastRenderedPageBreak/>
        <w:t>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77777777" w:rsidR="0019775F" w:rsidRPr="009D64B5" w:rsidRDefault="0019775F" w:rsidP="0019775F">
      <w:pPr>
        <w:spacing w:line="360" w:lineRule="auto"/>
        <w:ind w:firstLine="720"/>
        <w:jc w:val="both"/>
        <w:rPr>
          <w:shd w:val="clear" w:color="auto" w:fill="FFFFFF"/>
        </w:rPr>
      </w:pPr>
      <w:r w:rsidRPr="009D64B5">
        <w:t xml:space="preserve">Rick Warren dalam bukunya yang berjudul </w:t>
      </w:r>
      <w:r w:rsidRPr="009D64B5">
        <w:rPr>
          <w:i/>
          <w:iCs/>
        </w:rPr>
        <w:t>The Purpose Driven Church</w:t>
      </w:r>
      <w:r w:rsidRPr="009D64B5">
        <w:t xml:space="preserve"> mengemukakan teori pembangunan jemaat yang berfokus pada upaya membawa lebih banyak orang masuk ke dalam gereja.</w:t>
      </w:r>
      <w:r w:rsidRPr="009D64B5">
        <w:rPr>
          <w:rStyle w:val="ReferensiCatatanKaki"/>
        </w:rPr>
        <w:footnoteReference w:id="21"/>
      </w:r>
      <w:r w:rsidRPr="009D64B5">
        <w:t xml:space="preserve"> Waren membangun konsep </w:t>
      </w:r>
      <w:r w:rsidRPr="009D64B5">
        <w:rPr>
          <w:shd w:val="clear" w:color="auto" w:fill="FFFFFF"/>
        </w:rPr>
        <w:t>gereja secara eksklusif dengan menjadikan masyarakat sebagai objek kepentingan gereja, serta mengartikan pengutusan gereja hanya sebatas penginjilan untuk mendapatkan banyak jiwa baru. Namun, pengutusan gereja seharusnya tidak hanya terbatas pada penginjilan (memenangkan jiwa), melainkan gereja juga diutus untuk melaksanakan karya nyata dalam menyampaikan injil dan memberdayakan masyarakat secara konkret.</w:t>
      </w:r>
      <w:r w:rsidRPr="009D64B5">
        <w:rPr>
          <w:rStyle w:val="ReferensiCatatanKaki"/>
          <w:shd w:val="clear" w:color="auto" w:fill="FFFFFF"/>
        </w:rPr>
        <w:footnoteReference w:id="22"/>
      </w:r>
    </w:p>
    <w:p w14:paraId="075ED99A" w14:textId="77777777" w:rsidR="0019775F" w:rsidRPr="009D64B5" w:rsidRDefault="0019775F" w:rsidP="0019775F">
      <w:pPr>
        <w:spacing w:line="360" w:lineRule="auto"/>
        <w:jc w:val="both"/>
        <w:rPr>
          <w:i/>
          <w:iCs/>
        </w:rPr>
      </w:pPr>
      <w:r w:rsidRPr="009D64B5">
        <w:rPr>
          <w:i/>
          <w:iCs/>
        </w:rPr>
        <w:t>Vitalisasi Jemaat</w:t>
      </w:r>
    </w:p>
    <w:p w14:paraId="5CCE9620" w14:textId="77777777" w:rsidR="0019775F" w:rsidRPr="009D64B5" w:rsidRDefault="0019775F" w:rsidP="0019775F">
      <w:pPr>
        <w:spacing w:line="360" w:lineRule="auto"/>
        <w:ind w:firstLine="720"/>
        <w:jc w:val="both"/>
      </w:pPr>
      <w:r w:rsidRPr="009D64B5">
        <w:t>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memvitalkan. Jemaat vital adalah jemaat yang memberikan pengalaman positif dan transformatif bagi anggotanya.</w:t>
      </w:r>
      <w:r w:rsidRPr="009D64B5">
        <w:rPr>
          <w:rStyle w:val="ReferensiCatatanKaki"/>
        </w:rPr>
        <w:footnoteReference w:id="23"/>
      </w:r>
    </w:p>
    <w:p w14:paraId="7C6237C4" w14:textId="77777777" w:rsidR="0019775F" w:rsidRPr="009D64B5" w:rsidRDefault="0019775F" w:rsidP="0019775F">
      <w:pPr>
        <w:spacing w:line="360" w:lineRule="auto"/>
        <w:ind w:firstLine="720"/>
        <w:jc w:val="both"/>
      </w:pPr>
      <w:r w:rsidRPr="009D64B5">
        <w:t xml:space="preserve">Vitalisasi jemaat adalah proses menjadikan jemaat sebagai gereja yang hidup dan berdaya dan kreatif di tengah tantangan dunia saat ini. Vitalisasi jemaat tidak hanya sekadar bertambahnya jumlah anggota, tetapi lebih pada bagaimana jemaat itu dapat aktif </w:t>
      </w:r>
      <w:r w:rsidRPr="009D64B5">
        <w:lastRenderedPageBreak/>
        <w:t>berpartisipasi dalam seluruh karya Allah melalui pembinaan iman, pelayanan, kesaksian dan pewartaan yang nyata.</w:t>
      </w:r>
      <w:r w:rsidRPr="009D64B5">
        <w:rPr>
          <w:rStyle w:val="ReferensiCatatanKaki"/>
        </w:rPr>
        <w:footnoteReference w:id="24"/>
      </w:r>
      <w:r w:rsidRPr="009D64B5">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7777777" w:rsidR="0019775F" w:rsidRPr="009D64B5" w:rsidRDefault="0019775F" w:rsidP="0019775F">
      <w:pPr>
        <w:spacing w:line="360" w:lineRule="auto"/>
        <w:ind w:firstLine="720"/>
        <w:jc w:val="both"/>
      </w:pPr>
      <w:r w:rsidRPr="009D64B5">
        <w:t>Seperti yang telah dilakukan Allah melalui Kristus dalam mengampuni manusia, pentingnya selalu bersikap ramah, penuh kasih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antar anggota jemaat menjadi harmonis dan kuat Dengan demikian, jemaat dapat bersama-sama melayani dan menjadi berkat di tengah masyarakat. Maka dari itu, vitalisasi jemaat meliputi sikap saling mengasihi dan memaafkan yang memperkokoh persatuan dan kekuatan komunitas gereja.</w:t>
      </w:r>
    </w:p>
    <w:p w14:paraId="786458C0" w14:textId="77777777" w:rsidR="0019775F" w:rsidRPr="009D64B5" w:rsidRDefault="0019775F" w:rsidP="0019775F">
      <w:pPr>
        <w:spacing w:line="360" w:lineRule="auto"/>
        <w:jc w:val="both"/>
        <w:rPr>
          <w:i/>
          <w:iCs/>
        </w:rPr>
      </w:pPr>
      <w:r w:rsidRPr="009D64B5">
        <w:rPr>
          <w:i/>
          <w:iCs/>
        </w:rPr>
        <w:t>Pluralisme Agama</w:t>
      </w:r>
    </w:p>
    <w:p w14:paraId="3CADABBF" w14:textId="77777777" w:rsidR="0019775F" w:rsidRPr="009D64B5" w:rsidRDefault="0019775F" w:rsidP="0019775F">
      <w:pPr>
        <w:spacing w:line="360" w:lineRule="auto"/>
        <w:ind w:firstLine="720"/>
        <w:jc w:val="both"/>
      </w:pPr>
      <w:r w:rsidRPr="009D64B5">
        <w:t>Alkitab menunjukkan bahwa keberagaman agama adalah bagian dari realitas hidup manusia. Dalam Perjanjian Lama, Israel hidup berdampingan dengan bangsa-bangsa lain dan diperintahkan untuk mencari kesejahteraan kota tempat mereka tinggal, termasuk Babel yang berbeda iman (Yer. 29:7).</w:t>
      </w:r>
      <w:r w:rsidRPr="009D64B5">
        <w:rPr>
          <w:rStyle w:val="ReferensiCatatanKaki"/>
        </w:rPr>
        <w:footnoteReference w:id="25"/>
      </w:r>
      <w:r w:rsidRPr="009D64B5">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tetapi menegaskan hidup damai, kasih, dan dialog sebagai sikap iman yang benar terhadap pemeluk agama lain.</w:t>
      </w:r>
    </w:p>
    <w:p w14:paraId="6DA28ABC" w14:textId="151DE87D" w:rsidR="0019775F" w:rsidRDefault="0019775F" w:rsidP="0019775F">
      <w:pPr>
        <w:spacing w:line="360" w:lineRule="auto"/>
        <w:ind w:firstLine="720"/>
        <w:jc w:val="both"/>
      </w:pPr>
      <w:r w:rsidRPr="009D64B5">
        <w:t xml:space="preserve">Tokoh pluralisme agama, John Hick, mengembangkan sebuah model pluralisme yang bersifat hipotetis namun cukup kuat dan menyeluruh. Menurutnya, semua agama sebenarnya memiliki inti atau esensi yang sama, dan kesamaan itu dapat ditemukan melalui jejak historis dalam tradisi-tradisi mistik berbagai agama besar di dunia. Sulistino menyebut bahwa Hick mengakui bahwa setiap agama tetap memiliki perbedaan sejarah dan unsur </w:t>
      </w:r>
      <w:r w:rsidRPr="009D64B5">
        <w:lastRenderedPageBreak/>
        <w:t>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9D64B5">
        <w:rPr>
          <w:rStyle w:val="ReferensiCatatanKaki"/>
        </w:rPr>
        <w:footnoteReference w:id="26"/>
      </w:r>
    </w:p>
    <w:p w14:paraId="376CBF81" w14:textId="77777777" w:rsidR="0019775F" w:rsidRPr="009D64B5" w:rsidRDefault="0019775F" w:rsidP="0019775F">
      <w:pPr>
        <w:spacing w:line="360" w:lineRule="auto"/>
        <w:ind w:firstLine="720"/>
        <w:jc w:val="both"/>
      </w:pPr>
    </w:p>
    <w:p w14:paraId="0FB15206" w14:textId="77777777" w:rsidR="0019775F" w:rsidRPr="009D64B5" w:rsidRDefault="0019775F" w:rsidP="0019775F">
      <w:pPr>
        <w:spacing w:line="360" w:lineRule="auto"/>
        <w:jc w:val="both"/>
        <w:rPr>
          <w:b/>
          <w:bCs/>
          <w:i/>
          <w:iCs/>
        </w:rPr>
      </w:pPr>
      <w:r w:rsidRPr="009D64B5">
        <w:rPr>
          <w:b/>
          <w:bCs/>
          <w:i/>
          <w:iCs/>
        </w:rPr>
        <w:t>Oikodomein dan Eklesiologi HKBP di tengah Pluralisme Agama</w:t>
      </w:r>
    </w:p>
    <w:p w14:paraId="20A4703F" w14:textId="77777777" w:rsidR="0019775F" w:rsidRPr="009D64B5" w:rsidRDefault="0019775F" w:rsidP="0019775F">
      <w:pPr>
        <w:spacing w:line="360" w:lineRule="auto"/>
        <w:ind w:firstLine="720"/>
        <w:jc w:val="both"/>
        <w:rPr>
          <w:i/>
          <w:iCs/>
        </w:rPr>
      </w:pPr>
      <w:r w:rsidRPr="009D64B5">
        <w:t>Konsep oikodomein yang berarti membangun memiliki makna yang mendalam dalam eklesiologi HKBP. Gereja dipahami bukan sekadar sebagai lembaga keagamaan yang berdiri sendiri, melainkan sebagai komunitas hidup yang terus-menerus dibangun dan diperbarui melalui keterlibatan aktif jemaat di tengah masyarakat. Secara sederhana, eklesiologi kristosentris yang dihubungkan dengan oikodomein menggambarkan pembangunan sebuah rumah yang berpusat pada Kristus sebagai pondasi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5F72DFFA" w14:textId="77777777" w:rsidR="0019775F" w:rsidRPr="009D64B5" w:rsidRDefault="0019775F" w:rsidP="0019775F">
      <w:pPr>
        <w:spacing w:line="360" w:lineRule="auto"/>
        <w:ind w:firstLine="720"/>
        <w:jc w:val="both"/>
      </w:pPr>
      <w:r w:rsidRPr="009D64B5">
        <w:t xml:space="preserve">Istilah oikodomein menggambarkan proses pertumbuhan dan perkembangan komunitas yang berdasar pada dua dimensi utama. Pertama, dimensi inkarnasional, yaitu karya penebusan Kristus yang nyata dalam kehidupan umat. Kedua, dimensi inhabitasional, yaitu kehadiran Roh Allah yang tinggal dan bekerja dalam kehidupan setiap orang percaya. Istilah ini mencerminkan hubungan pastoral antar individu dan sesama, keterhubungan timbal balik antar anggota jemaat, serta sifat rohani dan karismatis dari pertumbuhan tersebut, yang bertujuan mencapai kepenuhan dan kesempurnaan secara rohani. Proses ini tidak boleh dibatasi hanya pada aspek moralitas, sentimental atau emosional semata. Oikodomein mengandung makna teologis bahwa setiap orang percaya memiliki peran aktif </w:t>
      </w:r>
      <w:r w:rsidRPr="009D64B5">
        <w:lastRenderedPageBreak/>
        <w:t>dalam membangun dan meneguhkan tubuh Kristus, karena sesungguhnya ini adalah karya Allah yang bekerja dalam dan melalui umat-Nya.</w:t>
      </w:r>
      <w:r w:rsidRPr="009D64B5">
        <w:rPr>
          <w:rStyle w:val="ReferensiCatatanKaki"/>
        </w:rPr>
        <w:footnoteReference w:id="27"/>
      </w:r>
    </w:p>
    <w:p w14:paraId="55075169" w14:textId="77777777" w:rsidR="0019775F" w:rsidRPr="009D64B5" w:rsidRDefault="0019775F" w:rsidP="0019775F">
      <w:pPr>
        <w:spacing w:line="360" w:lineRule="auto"/>
        <w:ind w:firstLine="720"/>
        <w:jc w:val="both"/>
      </w:pPr>
      <w:r w:rsidRPr="009D64B5">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9D64B5">
        <w:rPr>
          <w:rStyle w:val="ReferensiCatatanKaki"/>
        </w:rPr>
        <w:footnoteReference w:id="28"/>
      </w:r>
    </w:p>
    <w:p w14:paraId="14CB0FF3" w14:textId="54F74F6F" w:rsidR="0019775F" w:rsidRDefault="0019775F" w:rsidP="0019775F">
      <w:pPr>
        <w:spacing w:line="360" w:lineRule="auto"/>
        <w:ind w:firstLine="720"/>
        <w:jc w:val="both"/>
      </w:pPr>
      <w:r w:rsidRPr="009D64B5">
        <w:t>Ajaran tentang pentingnya mempersonalisasikan tujuan gereja menegaskan bahwa setiap tujuan memiliki hak istimewa dan tanggung jawab yang melekat pada setiap anggota jemaat. Hal ini sesuai dengan Kolose 3:15 yang menyatakan bahwa menjadi bagian dari tubuh Kristus memberikan tanggung jawab sekaligus hak istimewa bagi setiap anggota. 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9D64B5">
        <w:rPr>
          <w:rStyle w:val="ReferensiCatatanKaki"/>
        </w:rPr>
        <w:footnoteReference w:id="29"/>
      </w:r>
    </w:p>
    <w:p w14:paraId="2EAF4605" w14:textId="77777777" w:rsidR="0019775F" w:rsidRPr="009D64B5" w:rsidRDefault="0019775F" w:rsidP="0019775F">
      <w:pPr>
        <w:spacing w:line="360" w:lineRule="auto"/>
        <w:ind w:firstLine="720"/>
        <w:jc w:val="both"/>
      </w:pPr>
    </w:p>
    <w:p w14:paraId="4D2F98D8" w14:textId="77777777" w:rsidR="0019775F" w:rsidRPr="009D64B5" w:rsidRDefault="0019775F" w:rsidP="0019775F">
      <w:pPr>
        <w:spacing w:line="360" w:lineRule="auto"/>
        <w:jc w:val="both"/>
        <w:rPr>
          <w:i/>
          <w:iCs/>
        </w:rPr>
      </w:pPr>
      <w:r w:rsidRPr="009D64B5">
        <w:rPr>
          <w:b/>
          <w:bCs/>
          <w:i/>
          <w:iCs/>
        </w:rPr>
        <w:t>Misi Gereja berbasis Oikodomein untuk Vitalisasi Jemaat HKBP</w:t>
      </w:r>
    </w:p>
    <w:p w14:paraId="36077FD2" w14:textId="77777777" w:rsidR="0019775F" w:rsidRPr="009D64B5" w:rsidRDefault="0019775F" w:rsidP="0019775F">
      <w:pPr>
        <w:spacing w:line="360" w:lineRule="auto"/>
        <w:ind w:firstLine="720"/>
        <w:jc w:val="both"/>
      </w:pPr>
      <w:r w:rsidRPr="009D64B5">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dengan mencakup pembinaan iman yang mendalam, pemberdayaan sosial yang nyata, dan penguatan relasi lintas agama yang dialogis dan inklusif, bukan pendekatan yang bersifat dominatif. </w:t>
      </w:r>
    </w:p>
    <w:p w14:paraId="58BF5D99" w14:textId="77777777" w:rsidR="0019775F" w:rsidRPr="009D64B5" w:rsidRDefault="0019775F" w:rsidP="0019775F">
      <w:pPr>
        <w:spacing w:line="360" w:lineRule="auto"/>
        <w:ind w:firstLine="720"/>
        <w:jc w:val="both"/>
      </w:pPr>
      <w:r w:rsidRPr="009D64B5">
        <w:t xml:space="preserve">HKBP perlu mengembangkan pola misi yang kontekstual dan responsif terhadap realitas pluralisme yang ada, dengan menekankan pada kerjasama dan dialog sebagai dasar interaksi antar umat beragama. Pendidikan teologis yang kontekstual wajib diperkuat agar </w:t>
      </w:r>
      <w:r w:rsidRPr="009D64B5">
        <w:lastRenderedPageBreak/>
        <w:t xml:space="preserve">jemaat dapat memahami panggilan iman mereka secara kritis dan aplikatif dalam kehidupan sehari-hari. Selanjutnya, kepemimpinan gereja dituntut memiliki visi yang transformasional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61FB8543" w:rsidR="0019775F" w:rsidRDefault="0019775F" w:rsidP="0019775F">
      <w:pPr>
        <w:spacing w:line="360" w:lineRule="auto"/>
        <w:ind w:firstLine="720"/>
        <w:jc w:val="both"/>
      </w:pPr>
      <w:r w:rsidRPr="009D64B5">
        <w:t>Penulis berpendapat bahwa HKBP perlu memvitalisasi jemaatnya dengan peningkatan   kunjungan rumah tangga. Kunjungan ini bisa saja dibawakan oleh pemimpin gereja, atau jemaat. Hal ini membuat ada kedekatan, kehangatan yang dapat mempercepat perubahan dalam sebuah gereja. Sama seperti yang dikatakan Jan Hendriks, bahwa kunjungan rumah berpengaruh positif terhadap vitalitas jemaat. Paling sedikit dengan syarat bahwa bukan kepentingan gereja melainkan kepentingan person mengambi tempat yang sentral. Hendriks menegaskan jemaat yang vital itu dicirikan oleh kunjungan rumah dimana person yang dikunjungi mengambil tempat yang sentral.</w:t>
      </w:r>
      <w:r w:rsidRPr="009D64B5">
        <w:rPr>
          <w:rStyle w:val="ReferensiCatatanKaki"/>
        </w:rPr>
        <w:footnoteReference w:id="30"/>
      </w:r>
    </w:p>
    <w:p w14:paraId="09344D89" w14:textId="77777777" w:rsidR="0019775F" w:rsidRPr="009D64B5" w:rsidRDefault="0019775F" w:rsidP="0019775F">
      <w:pPr>
        <w:spacing w:line="360" w:lineRule="auto"/>
        <w:ind w:firstLine="720"/>
        <w:jc w:val="both"/>
      </w:pPr>
    </w:p>
    <w:p w14:paraId="23E1FF1E" w14:textId="77777777" w:rsidR="0019775F" w:rsidRPr="009D64B5" w:rsidRDefault="0019775F" w:rsidP="0019775F">
      <w:pPr>
        <w:spacing w:line="360" w:lineRule="auto"/>
        <w:jc w:val="both"/>
        <w:rPr>
          <w:b/>
          <w:bCs/>
          <w:i/>
          <w:iCs/>
        </w:rPr>
      </w:pPr>
      <w:r w:rsidRPr="009D64B5">
        <w:rPr>
          <w:b/>
          <w:bCs/>
          <w:i/>
          <w:iCs/>
        </w:rPr>
        <w:t>Implementasi Oikodomein di tengah Pluralisme Agama</w:t>
      </w:r>
    </w:p>
    <w:p w14:paraId="3004ED94" w14:textId="77777777" w:rsidR="0019775F" w:rsidRPr="009D64B5" w:rsidRDefault="0019775F" w:rsidP="0019775F">
      <w:pPr>
        <w:spacing w:line="360" w:lineRule="auto"/>
        <w:ind w:firstLine="720"/>
        <w:jc w:val="both"/>
      </w:pPr>
      <w:r w:rsidRPr="009D64B5">
        <w:t>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481B0BC6" w14:textId="77777777" w:rsidR="0019775F" w:rsidRPr="009D64B5" w:rsidRDefault="0019775F" w:rsidP="0019775F">
      <w:pPr>
        <w:spacing w:line="360" w:lineRule="auto"/>
        <w:ind w:firstLine="720"/>
        <w:jc w:val="both"/>
      </w:pPr>
      <w:r w:rsidRPr="009D64B5">
        <w:t xml:space="preserve">Setiap agama mempunyai caranya sendiri untuk memperkenalkan dan menyatakan dirinya, terutama menyangkut kekhasannya dengan ketidakterbandingkannya </w:t>
      </w:r>
      <w:r w:rsidRPr="009D64B5">
        <w:lastRenderedPageBreak/>
        <w:t>(</w:t>
      </w:r>
      <w:r w:rsidRPr="009D64B5">
        <w:rPr>
          <w:i/>
          <w:iCs/>
        </w:rPr>
        <w:t>incommensurability</w:t>
      </w:r>
      <w:r w:rsidRPr="009D64B5">
        <w:t>) dengan agama lain. Kenyataan ini sebenarnya terkait erat dengan apa 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9D64B5">
        <w:rPr>
          <w:rStyle w:val="ReferensiCatatanKaki"/>
        </w:rPr>
        <w:footnoteReference w:id="31"/>
      </w:r>
    </w:p>
    <w:p w14:paraId="509F8FEF" w14:textId="77777777" w:rsidR="0019775F" w:rsidRPr="009D64B5" w:rsidRDefault="0019775F" w:rsidP="0019775F">
      <w:pPr>
        <w:spacing w:line="360" w:lineRule="auto"/>
        <w:ind w:firstLine="720"/>
        <w:jc w:val="both"/>
      </w:pPr>
      <w:r w:rsidRPr="009D64B5">
        <w:t>Itu sebabnya ada inkulturasi, yaitu gerak dialogal antara budaya Kristen dan budaya lokal atau pribumi. Maksudnya tentu saja bukan memisahkan kekristenan lokal dari pemahaman universal yang berpusat di eropa, melainkan untuk membuat kristianisme lokal bisa tumbuh dan bertahan (</w:t>
      </w:r>
      <w:r w:rsidRPr="009D64B5">
        <w:rPr>
          <w:i/>
          <w:iCs/>
        </w:rPr>
        <w:t>survival</w:t>
      </w:r>
      <w:r w:rsidRPr="009D64B5">
        <w:t>)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actual perbedaan-perbedaan itu semakin disadari oleh para pemeluk agama masing-masing, dan itulah yang disebut pluralisme agama.</w:t>
      </w:r>
      <w:r w:rsidRPr="009D64B5">
        <w:rPr>
          <w:rStyle w:val="ReferensiCatatanKaki"/>
        </w:rPr>
        <w:footnoteReference w:id="32"/>
      </w:r>
    </w:p>
    <w:p w14:paraId="146197F9" w14:textId="77777777" w:rsidR="0019775F" w:rsidRPr="009D64B5" w:rsidRDefault="0019775F" w:rsidP="0019775F">
      <w:pPr>
        <w:spacing w:line="360" w:lineRule="auto"/>
        <w:ind w:firstLine="720"/>
        <w:jc w:val="both"/>
      </w:pPr>
      <w:r w:rsidRPr="009D64B5">
        <w:t>Ciri khas HKBP adalah dia merupakan Gereja Rakyat yang ditandai oleh inkulturasi identitas kultural Batak dengan identitas Kekristenan, hingga proses yang tidak bisa dihalangi adalah terjadinya rembesan atau pengambilalihan nilai-nilai dan pola-pola kultural dalam konteks perilaku adat ke dalam gereja. Proses yang tidak terhindarkan tersebut telah menjadikan HKBP selain sebagai suatu gereja persekutuan Kristen sekaligus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 hingga demikian HKBP dapat sebagai kekuatan transformatif dalam konteks pluralisme di Indonesia.</w:t>
      </w:r>
      <w:r w:rsidRPr="009D64B5">
        <w:rPr>
          <w:rStyle w:val="ReferensiCatatanKaki"/>
        </w:rPr>
        <w:footnoteReference w:id="33"/>
      </w:r>
    </w:p>
    <w:p w14:paraId="7F0FDE41" w14:textId="77777777" w:rsidR="0019775F" w:rsidRPr="009D64B5" w:rsidRDefault="0019775F" w:rsidP="0019775F">
      <w:pPr>
        <w:spacing w:line="360" w:lineRule="auto"/>
        <w:ind w:firstLine="720"/>
        <w:jc w:val="both"/>
      </w:pPr>
      <w:r w:rsidRPr="009D64B5">
        <w:t>Masyarakat majemuk (pluralis) adalah masyarakat yang terdiri atas dua atau lebih elemen atau tertib sosial yang hidup berdampingan satu sama lain tanpa membentuk suatu kesatuan politis yang utuh dan secara keseluruhan tidak memiliki permintaan sosial yang sama (</w:t>
      </w:r>
      <w:r w:rsidRPr="009D64B5">
        <w:rPr>
          <w:i/>
          <w:iCs/>
        </w:rPr>
        <w:t>common social demand</w:t>
      </w:r>
      <w:r w:rsidRPr="009D64B5">
        <w:t xml:space="preserve">). Salah satu kategori mayarakat majemuk yang secara </w:t>
      </w:r>
      <w:r w:rsidRPr="009D64B5">
        <w:lastRenderedPageBreak/>
        <w:t>kontekstual relevan dengan masyarakat Indonesia adalah apa yang disebut sebagai masyarakat majemuk dengan fragmentasi. Masyarakat sedemikian ini sangat kuat ditanda oleh kehidupan politik yang labil, rendahnya kemampuan untuk mengembangkan koalis yang diperlukan untuk mengakomodasi konflik-konflik yang pada umumnya cenderung bersifat anarkis sebagai akibat kecurigaan etnis bahkan agama.</w:t>
      </w:r>
      <w:r w:rsidRPr="009D64B5">
        <w:rPr>
          <w:rStyle w:val="ReferensiCatatanKaki"/>
        </w:rPr>
        <w:footnoteReference w:id="34"/>
      </w:r>
    </w:p>
    <w:p w14:paraId="1ECE69AA" w14:textId="77777777" w:rsidR="0019775F" w:rsidRPr="009D64B5" w:rsidRDefault="0019775F" w:rsidP="0019775F">
      <w:pPr>
        <w:spacing w:line="360" w:lineRule="auto"/>
        <w:ind w:firstLine="720"/>
        <w:jc w:val="both"/>
      </w:pPr>
      <w:r w:rsidRPr="009D64B5">
        <w:t>Meningkatkan peran transformatif HKBP dalam konteks kemajemukan di negeri in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ditengah pluralisme bangsa Indonesia ini, perlu dikembangkan paradigma multikulturalisme dengan sikap budaya emansipatoris dan partisipatoris sebagai wacana adaptasi dalam keterlibatan HKBP untuk melakukan konsolidasi demokrasi. Tawaran perspektif multikulturalisme ini juga didasarkan asumsi bahwa, dalam kenyataannya, memahami kemajemukan budaya Indonesia dengan perspektif pluralisme pada hakekatnya hanya mengukuhkan sikap di mana memahami keanekaragaman sebagai sesuatu yang mandiri, utuh, murni dan terpisah satu sama lain. Pandangan sedemikian ini pada dasarnya mengakibatkan semua tampak statis, sebabketika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9D64B5">
        <w:rPr>
          <w:rStyle w:val="ReferensiCatatanKaki"/>
        </w:rPr>
        <w:footnoteReference w:id="35"/>
      </w:r>
    </w:p>
    <w:p w14:paraId="6FB85095" w14:textId="368F2D5A" w:rsidR="0019775F" w:rsidRDefault="0019775F" w:rsidP="0019775F">
      <w:pPr>
        <w:spacing w:line="360" w:lineRule="auto"/>
        <w:ind w:firstLine="720"/>
        <w:jc w:val="both"/>
      </w:pPr>
      <w:r w:rsidRPr="009D64B5">
        <w:t>Pluralisme agama bukan hanya keberagaman keyakinan, tetapi juga kesadaran akan perbedaan yang tak selalu dapat dijembatani. Dalam dunia modern, hidup berdampingan dengan pemeluk agama lain menjadi keniscayaan. Namun, ketidaktahuan terhadap ajaran 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menghadirkan kasih, keadilan, dan perdamaian bagi semua.</w:t>
      </w:r>
      <w:r w:rsidRPr="009D64B5">
        <w:rPr>
          <w:rStyle w:val="ReferensiCatatanKaki"/>
        </w:rPr>
        <w:footnoteReference w:id="36"/>
      </w:r>
    </w:p>
    <w:p w14:paraId="2DCBB275" w14:textId="77777777" w:rsidR="0019775F" w:rsidRPr="009D64B5" w:rsidRDefault="0019775F" w:rsidP="0019775F">
      <w:pPr>
        <w:spacing w:line="360" w:lineRule="auto"/>
        <w:ind w:firstLine="720"/>
        <w:jc w:val="both"/>
      </w:pPr>
    </w:p>
    <w:p w14:paraId="0CF85C51" w14:textId="77777777" w:rsidR="0019775F" w:rsidRPr="009D64B5" w:rsidRDefault="0019775F" w:rsidP="0019775F">
      <w:pPr>
        <w:spacing w:line="360" w:lineRule="auto"/>
        <w:jc w:val="both"/>
        <w:rPr>
          <w:b/>
          <w:bCs/>
          <w:i/>
          <w:iCs/>
        </w:rPr>
      </w:pPr>
      <w:r w:rsidRPr="009D64B5">
        <w:rPr>
          <w:b/>
          <w:bCs/>
          <w:i/>
          <w:iCs/>
        </w:rPr>
        <w:lastRenderedPageBreak/>
        <w:t>Selayang Pandang Solusi dan Rekomendasi</w:t>
      </w:r>
    </w:p>
    <w:p w14:paraId="2EFA5064" w14:textId="77777777" w:rsidR="0019775F" w:rsidRPr="009D64B5" w:rsidRDefault="0019775F" w:rsidP="0019775F">
      <w:pPr>
        <w:spacing w:line="360" w:lineRule="auto"/>
        <w:ind w:firstLine="720"/>
        <w:jc w:val="both"/>
        <w:rPr>
          <w:b/>
          <w:bCs/>
        </w:rPr>
      </w:pPr>
      <w:r w:rsidRPr="009D64B5">
        <w:t>Penelitian dapat difokuskan pada penguatan pendidikan teologis yang kontekstual agar jemaat mampu memahami panggilan iman di tengah pluralisme tanpa kehilangan identitas Kristosentris. Pendidikan ini penting untuk membangun kesadaran kolektif bahwa gereja adalah komunitas hidup yang terus dibentuk bersama, bukan sekadar institusi tertutup. Selain itu, pendekatan partisipatif seperti kunjungan rumah tangga dapat meningkatkan kehangatan dan keterlibatan jemaat secara personal, mempererat ikatan sosial dan spiritual. Strategi misi gereja harus mengedepankan dialog antaragama dan kolaborasi sosial, sehingga HKBP menjadi jembatan perdamaian yang inklusif, aktif, dan empatik dalam masyarakat yang beragam.</w:t>
      </w:r>
    </w:p>
    <w:p w14:paraId="53EAD24F" w14:textId="77777777" w:rsidR="0019775F" w:rsidRPr="009D64B5" w:rsidRDefault="0019775F" w:rsidP="0019775F">
      <w:pPr>
        <w:spacing w:line="360" w:lineRule="auto"/>
        <w:ind w:firstLine="720"/>
        <w:jc w:val="both"/>
        <w:rPr>
          <w:b/>
          <w:bCs/>
        </w:rPr>
      </w:pPr>
      <w:r w:rsidRPr="009D64B5">
        <w:t xml:space="preserve">Rekomendasi lainnya adalah pembentukan kepemimpinan gerejawi yang visioner dan responsif terhadap dinamika pluralisme serta pengembangan program pelatihan multikulturalisme bagi jemaat. Hal ini penting untuk menumbuhkan sikap terbuka dan toleransi yang kuat dalam menghadapi keberagaman. HKBP juga perlu memperkuat inkulturasi nilai budaya Batak dengan ajaran kekristenan agar identitas gereja tetap kokoh dan relevan. Pemberdayaan jemaat melalui pelayanan sosial yang nyata harus didorong agar gereja bukan hanya bertumbuh secara kuantitatif, tetapi juga memberikan dampak positif sosial. </w:t>
      </w:r>
    </w:p>
    <w:bookmarkEnd w:id="6"/>
    <w:p w14:paraId="135ABFC8" w14:textId="77777777" w:rsidR="00C30472" w:rsidRDefault="00C30472">
      <w:pPr>
        <w:jc w:val="both"/>
      </w:pPr>
    </w:p>
    <w:p w14:paraId="1B7C2636" w14:textId="77777777" w:rsidR="00C30472" w:rsidRDefault="00A50DB9">
      <w:pPr>
        <w:tabs>
          <w:tab w:val="left" w:pos="284"/>
        </w:tabs>
        <w:jc w:val="both"/>
        <w:rPr>
          <w:b/>
        </w:rPr>
      </w:pPr>
      <w:r>
        <w:rPr>
          <w:b/>
        </w:rPr>
        <w:t>KESIMPULAN</w:t>
      </w:r>
    </w:p>
    <w:p w14:paraId="27B9A39F" w14:textId="417839B0" w:rsidR="0019775F" w:rsidRPr="009D64B5" w:rsidRDefault="00A50DB9" w:rsidP="0019775F">
      <w:pPr>
        <w:spacing w:line="360" w:lineRule="auto"/>
        <w:jc w:val="both"/>
      </w:pPr>
      <w:r>
        <w:tab/>
      </w:r>
      <w:bookmarkStart w:id="7" w:name="_Hlk222233583"/>
      <w:r w:rsidR="0019775F" w:rsidRPr="009D64B5">
        <w:t>Pendekatan eklesiologi HKBP melalui konsep oikodomein menawarkan paradigma yang relevan dan transformatif dalam menghadapi tantangan pluralisme agama di Indonesia. Konsep ini tidak hanya menegaskan pentingnya keterlibatan aktif setiap anggota jemaat dalam pembangunan gereja sebagai komunitas yang hidup dan inklusif, tetapi juga menuntut gereja untuk bersikap terbuka dan dialogis dalam hubungan antaragama tanpa kehilangan identitas Kristosentrisnya. Pendekatan ini menggarisbawahi kebutuhan bagi HKBP untuk mengintegrasikan nilai-nilai kekristenan dengan realitas sosial majemuk secara dinamis dan kontekstual, menjadikan gereja sebagai rumah rohani yang mampu menjadi agen perdamaian dan transformasi sosial. Oleh karena itu, pengembangan strategi misi yang menyeluruh dan pelayanan yang inklusif sangat esensial agar HKBP tetap relevan dan berdaya di tengah keragaman budaya dan agama, sekaligus menjadi saksi kasih Kristus yang hidup dalam masyarakat pluralistik.</w:t>
      </w:r>
    </w:p>
    <w:bookmarkEnd w:id="7"/>
    <w:p w14:paraId="04D2B532" w14:textId="17C6E14F"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A50DB9">
      <w:pPr>
        <w:rPr>
          <w:b/>
        </w:rPr>
      </w:pPr>
      <w:commentRangeStart w:id="8"/>
      <w:r>
        <w:rPr>
          <w:b/>
        </w:rPr>
        <w:t xml:space="preserve">DAFTAR PUSTAKA </w:t>
      </w:r>
      <w:commentRangeEnd w:id="8"/>
      <w:r w:rsidR="00DD07D1">
        <w:rPr>
          <w:rStyle w:val="ReferensiKomentar"/>
          <w:b/>
          <w:sz w:val="24"/>
          <w:szCs w:val="24"/>
        </w:rPr>
        <w:commentReference w:id="8"/>
      </w:r>
    </w:p>
    <w:bookmarkStart w:id="9" w:name="_Hlk222233601"/>
    <w:p w14:paraId="0803F28D" w14:textId="77777777" w:rsidR="0019775F" w:rsidRPr="009D64B5" w:rsidRDefault="0019775F" w:rsidP="0019775F">
      <w:pPr>
        <w:pStyle w:val="Bibliografi"/>
        <w:spacing w:line="360" w:lineRule="auto"/>
        <w:ind w:left="720" w:hanging="720"/>
        <w:jc w:val="both"/>
      </w:pPr>
      <w:r w:rsidRPr="009D64B5">
        <w:fldChar w:fldCharType="begin"/>
      </w:r>
      <w:r w:rsidRPr="009D64B5">
        <w:instrText xml:space="preserve"> ADDIN ZOTERO_BIBL {"uncited":[],"omitted":[],"custom":[]} CSL_BIBLIOGRAPHY </w:instrText>
      </w:r>
      <w:r w:rsidRPr="009D64B5">
        <w:fldChar w:fldCharType="separate"/>
      </w:r>
      <w:r w:rsidRPr="009D64B5">
        <w:t xml:space="preserve">Berkhof, H. </w:t>
      </w:r>
      <w:r w:rsidRPr="009D64B5">
        <w:rPr>
          <w:i/>
          <w:iCs/>
        </w:rPr>
        <w:t>The Doctrine of the Holy Spirit</w:t>
      </w:r>
      <w:r w:rsidRPr="009D64B5">
        <w:t>. 2nd printing. Atlanta: John Knox Press, 1977.</w:t>
      </w:r>
    </w:p>
    <w:p w14:paraId="1A7CCE36" w14:textId="77777777" w:rsidR="0019775F" w:rsidRPr="009D64B5" w:rsidRDefault="0019775F" w:rsidP="0019775F">
      <w:pPr>
        <w:pStyle w:val="Bibliografi"/>
        <w:spacing w:line="360" w:lineRule="auto"/>
        <w:ind w:left="720" w:hanging="720"/>
        <w:jc w:val="both"/>
      </w:pPr>
      <w:r w:rsidRPr="009D64B5">
        <w:t xml:space="preserve">Bevans, Stephen B., and Roger Schroeder. </w:t>
      </w:r>
      <w:r w:rsidRPr="009D64B5">
        <w:rPr>
          <w:i/>
          <w:iCs/>
        </w:rPr>
        <w:t>Constants in Context: A Theology of Mission for Today</w:t>
      </w:r>
      <w:r w:rsidRPr="009D64B5">
        <w:t>. 5. printing. American Society of Missiology Series 30. Maryknoll, NY: Orbis Books, 2009.</w:t>
      </w:r>
    </w:p>
    <w:p w14:paraId="40FFAFEE" w14:textId="77777777" w:rsidR="0019775F" w:rsidRPr="009D64B5" w:rsidRDefault="0019775F" w:rsidP="0019775F">
      <w:pPr>
        <w:pStyle w:val="Bibliografi"/>
        <w:spacing w:line="360" w:lineRule="auto"/>
        <w:ind w:left="720" w:hanging="720"/>
        <w:jc w:val="both"/>
      </w:pPr>
      <w:r w:rsidRPr="009D64B5">
        <w:t xml:space="preserve">Bosch, David J. </w:t>
      </w:r>
      <w:r w:rsidRPr="009D64B5">
        <w:rPr>
          <w:i/>
          <w:iCs/>
        </w:rPr>
        <w:t>Transforming Mission: Paradigm Shifts in Theology of Mission</w:t>
      </w:r>
      <w:r w:rsidRPr="009D64B5">
        <w:t>. Twentieth anniversary edition. Maryknoll, New York: Orbis Books, 2011.</w:t>
      </w:r>
    </w:p>
    <w:p w14:paraId="2C0D0DC9" w14:textId="77777777" w:rsidR="0019775F" w:rsidRPr="009D64B5" w:rsidRDefault="0019775F" w:rsidP="0019775F">
      <w:pPr>
        <w:pStyle w:val="Bibliografi"/>
        <w:spacing w:line="360" w:lineRule="auto"/>
        <w:ind w:left="720" w:hanging="720"/>
        <w:jc w:val="both"/>
      </w:pPr>
      <w:r w:rsidRPr="009D64B5">
        <w:t xml:space="preserve">Dulles, Avery. </w:t>
      </w:r>
      <w:r w:rsidRPr="009D64B5">
        <w:rPr>
          <w:i/>
          <w:iCs/>
        </w:rPr>
        <w:t>Models of the Church</w:t>
      </w:r>
      <w:r w:rsidRPr="009D64B5">
        <w:t>. 2nd ed. Image Classics Ser, v. 13. New York: The Crown Publishing Group, 2002.</w:t>
      </w:r>
    </w:p>
    <w:p w14:paraId="0BD6A713" w14:textId="77777777" w:rsidR="0019775F" w:rsidRPr="009D64B5" w:rsidRDefault="0019775F" w:rsidP="0019775F">
      <w:pPr>
        <w:pStyle w:val="Bibliografi"/>
        <w:spacing w:line="360" w:lineRule="auto"/>
        <w:ind w:left="720" w:hanging="720"/>
        <w:jc w:val="both"/>
      </w:pPr>
      <w:r w:rsidRPr="009D64B5">
        <w:t xml:space="preserve">Haight, Roger. “On Systematic Ecclesiology.” </w:t>
      </w:r>
      <w:r w:rsidRPr="009D64B5">
        <w:rPr>
          <w:i/>
          <w:iCs/>
        </w:rPr>
        <w:t>Toronto Journal of Theology</w:t>
      </w:r>
      <w:r w:rsidRPr="009D64B5">
        <w:t xml:space="preserve"> 8, no. 2 (September 1992): 220–38. https://doi.org/10.3138/tjt.8.2.220.</w:t>
      </w:r>
    </w:p>
    <w:p w14:paraId="44D42937" w14:textId="77777777" w:rsidR="0019775F" w:rsidRPr="009D64B5" w:rsidRDefault="0019775F" w:rsidP="0019775F">
      <w:pPr>
        <w:pStyle w:val="Bibliografi"/>
        <w:spacing w:line="360" w:lineRule="auto"/>
        <w:ind w:left="720" w:hanging="720"/>
        <w:jc w:val="both"/>
      </w:pPr>
      <w:r w:rsidRPr="009D64B5">
        <w:t xml:space="preserve">Harefa, Jul Imantris, and Yunelis Ndraha. “Membangun Jemaat Yang Kontekstual Menurut Teori Pembangunan Jemaat Jan Hendriks.” </w:t>
      </w:r>
      <w:r w:rsidRPr="009D64B5">
        <w:rPr>
          <w:i/>
          <w:iCs/>
        </w:rPr>
        <w:t>SUNDERMANN: Jurnal Ilmiah Teologi, Pendidikan, Sains, Humaniora Dan Kebudayaan</w:t>
      </w:r>
      <w:r w:rsidRPr="009D64B5">
        <w:t xml:space="preserve"> 14, no. 1 (October 2021): 39–47. https://doi.org/10.36588/sundermann.v14i1.62.</w:t>
      </w:r>
    </w:p>
    <w:p w14:paraId="1A3E0E5B" w14:textId="77777777" w:rsidR="0019775F" w:rsidRPr="009D64B5" w:rsidRDefault="0019775F" w:rsidP="0019775F">
      <w:pPr>
        <w:pStyle w:val="Bibliografi"/>
        <w:spacing w:line="360" w:lineRule="auto"/>
        <w:ind w:left="720" w:hanging="720"/>
        <w:jc w:val="both"/>
      </w:pPr>
      <w:r w:rsidRPr="009D64B5">
        <w:t xml:space="preserve">Hendriks, Jan. </w:t>
      </w:r>
      <w:r w:rsidRPr="009D64B5">
        <w:rPr>
          <w:i/>
          <w:iCs/>
        </w:rPr>
        <w:t>Jemaat Vital Dan Menarik: Mambangun Jemaat Dengan Menggunakan Metode Lima Faktor</w:t>
      </w:r>
      <w:r w:rsidRPr="009D64B5">
        <w:t>. Yogyakarta: Kanisius, 2002.</w:t>
      </w:r>
    </w:p>
    <w:p w14:paraId="59B977B3" w14:textId="77777777" w:rsidR="0019775F" w:rsidRPr="009D64B5" w:rsidRDefault="0019775F" w:rsidP="0019775F">
      <w:pPr>
        <w:pStyle w:val="Bibliografi"/>
        <w:spacing w:line="360" w:lineRule="auto"/>
        <w:ind w:left="720" w:hanging="720"/>
        <w:jc w:val="both"/>
      </w:pPr>
      <w:r w:rsidRPr="009D64B5">
        <w:t>Louw, Daniel J. “‘</w:t>
      </w:r>
      <w:r w:rsidRPr="009D64B5">
        <w:rPr>
          <w:i/>
          <w:iCs/>
        </w:rPr>
        <w:t>Ekhaya</w:t>
      </w:r>
      <w:r w:rsidRPr="009D64B5">
        <w:t>: Human Displacement and the Yearning for Familial Homecoming. From Throne (Cathedra) to Home (</w:t>
      </w:r>
      <w:r w:rsidRPr="009D64B5">
        <w:rPr>
          <w:i/>
          <w:iCs/>
        </w:rPr>
        <w:t>Oikos</w:t>
      </w:r>
      <w:r w:rsidRPr="009D64B5">
        <w:t xml:space="preserve">) in a Grassroots Ecclesiology of Place and Space: </w:t>
      </w:r>
      <w:r w:rsidRPr="009D64B5">
        <w:rPr>
          <w:i/>
          <w:iCs/>
        </w:rPr>
        <w:t>Fides Quaerens Domum et Locum</w:t>
      </w:r>
      <w:r w:rsidRPr="009D64B5">
        <w:t xml:space="preserve"> [Faith Seeking Home and Space].” </w:t>
      </w:r>
      <w:r w:rsidRPr="009D64B5">
        <w:rPr>
          <w:i/>
          <w:iCs/>
        </w:rPr>
        <w:t>HTS Teologiese Studies / Theological Studies</w:t>
      </w:r>
      <w:r w:rsidRPr="009D64B5">
        <w:t xml:space="preserve"> 73, no. 4 (April 2017): 11 pages. https://doi.org/10.4102/hts.v73i4.4484.</w:t>
      </w:r>
    </w:p>
    <w:p w14:paraId="3B31E22C" w14:textId="77777777" w:rsidR="0019775F" w:rsidRPr="009D64B5" w:rsidRDefault="0019775F" w:rsidP="0019775F">
      <w:pPr>
        <w:pStyle w:val="Bibliografi"/>
        <w:spacing w:line="360" w:lineRule="auto"/>
        <w:ind w:left="720" w:hanging="720"/>
        <w:jc w:val="both"/>
      </w:pPr>
      <w:r w:rsidRPr="009D64B5">
        <w:t xml:space="preserve">Lumbantobing, Darwin. </w:t>
      </w:r>
      <w:r w:rsidRPr="009D64B5">
        <w:rPr>
          <w:i/>
          <w:iCs/>
        </w:rPr>
        <w:t>HKBP Do HKBP, HKBP Is HKBP</w:t>
      </w:r>
      <w:r w:rsidRPr="009D64B5">
        <w:t>. Jakarta: BPK Gunung Mulia, 2017.</w:t>
      </w:r>
    </w:p>
    <w:p w14:paraId="03BE8B27" w14:textId="77777777" w:rsidR="0019775F" w:rsidRPr="009D64B5" w:rsidRDefault="0019775F" w:rsidP="0019775F">
      <w:pPr>
        <w:pStyle w:val="Bibliografi"/>
        <w:spacing w:line="360" w:lineRule="auto"/>
        <w:ind w:left="720" w:hanging="720"/>
        <w:jc w:val="both"/>
      </w:pPr>
      <w:r w:rsidRPr="009D64B5">
        <w:t xml:space="preserve">Pattipeilohy, Stella Y. E. “Eklesiologi Dalam Konteks Mayarakat Multikultural: Sebuah Sumbangan Roger Haight.” In </w:t>
      </w:r>
      <w:r w:rsidRPr="009D64B5">
        <w:rPr>
          <w:i/>
          <w:iCs/>
        </w:rPr>
        <w:t>Identitas Gereja Di Persimpangan</w:t>
      </w:r>
      <w:r w:rsidRPr="009D64B5">
        <w:t>. Jakarta: BPK Gunung Mulia, 2025.</w:t>
      </w:r>
    </w:p>
    <w:p w14:paraId="3FED107D" w14:textId="77777777" w:rsidR="0019775F" w:rsidRPr="009D64B5" w:rsidRDefault="0019775F" w:rsidP="0019775F">
      <w:pPr>
        <w:pStyle w:val="Bibliografi"/>
        <w:spacing w:line="360" w:lineRule="auto"/>
        <w:ind w:left="720" w:hanging="720"/>
        <w:jc w:val="both"/>
      </w:pPr>
      <w:r w:rsidRPr="009D64B5">
        <w:lastRenderedPageBreak/>
        <w:t xml:space="preserve">Prasetya, Didimus Sutanto B., Abraham Marsal Sakati, and Dewi Lidya Sidabutar. “REVITALISASI PERAN JEMAAT DIASPORA BCM DALAM MENGIMPLEMENTASIKAN YEREMIA 29:7 MELALUI MALAM BUDAYA DI JOHOR BAHRU, MALAYSIA.” </w:t>
      </w:r>
      <w:r w:rsidRPr="009D64B5">
        <w:rPr>
          <w:i/>
          <w:iCs/>
        </w:rPr>
        <w:t>Didache: Jurnal Teologi Dan Pendidikan Kristen</w:t>
      </w:r>
      <w:r w:rsidRPr="009D64B5">
        <w:t xml:space="preserve"> 6, no. 2 (June 2025): 72–84. https://doi.org/DOI:%252010.55076/didache.v6i2.380.</w:t>
      </w:r>
    </w:p>
    <w:p w14:paraId="049E6388" w14:textId="77777777" w:rsidR="0019775F" w:rsidRPr="009D64B5" w:rsidRDefault="0019775F" w:rsidP="0019775F">
      <w:pPr>
        <w:pStyle w:val="Bibliografi"/>
        <w:spacing w:line="360" w:lineRule="auto"/>
        <w:ind w:left="720" w:hanging="720"/>
        <w:jc w:val="both"/>
      </w:pPr>
      <w:r w:rsidRPr="009D64B5">
        <w:t xml:space="preserve">Siahaan, Hotman M. “Gereja (HKBP) Dalam Masyarakat Majemuk.” In </w:t>
      </w:r>
      <w:r w:rsidRPr="009D64B5">
        <w:rPr>
          <w:i/>
          <w:iCs/>
        </w:rPr>
        <w:t>Ngapain Peduli Yang Lain? Gereja Agen Perubahan Di Tengah Budaya Masyarakat Majemuk Dan Global</w:t>
      </w:r>
      <w:r w:rsidRPr="009D64B5">
        <w:t>. Siborongborong: Lembaga Bina Warga HKBP, 2017.</w:t>
      </w:r>
    </w:p>
    <w:p w14:paraId="4B5CFCE5" w14:textId="77777777" w:rsidR="0019775F" w:rsidRPr="009D64B5" w:rsidRDefault="0019775F" w:rsidP="0019775F">
      <w:pPr>
        <w:pStyle w:val="Bibliografi"/>
        <w:spacing w:line="360" w:lineRule="auto"/>
        <w:ind w:left="720" w:hanging="720"/>
        <w:jc w:val="both"/>
      </w:pPr>
      <w:r w:rsidRPr="009D64B5">
        <w:t xml:space="preserve">Simanjuntak, Joksan. “Membangun Partisipasi Jemaat Dalam Pendampingan Empatis (Sebagai Refleksi Atas ‘Imanmu Telah Menyelamatkanmu’ Perspektif Teologi Praksis).” In </w:t>
      </w:r>
      <w:r w:rsidRPr="009D64B5">
        <w:rPr>
          <w:i/>
          <w:iCs/>
        </w:rPr>
        <w:t>Menyimak Dan Mengalami: “Imanmu Telah Menyelamatkan Engkau.”</w:t>
      </w:r>
      <w:r w:rsidRPr="009D64B5">
        <w:t xml:space="preserve"> Bandung: Widina, 2025.</w:t>
      </w:r>
    </w:p>
    <w:p w14:paraId="495EC8A3" w14:textId="77777777" w:rsidR="0019775F" w:rsidRPr="009D64B5" w:rsidRDefault="0019775F" w:rsidP="0019775F">
      <w:pPr>
        <w:pStyle w:val="Bibliografi"/>
        <w:spacing w:line="360" w:lineRule="auto"/>
        <w:ind w:left="720" w:hanging="720"/>
        <w:jc w:val="both"/>
      </w:pPr>
      <w:r w:rsidRPr="009D64B5">
        <w:t xml:space="preserve">Simanjuntak, PWT. </w:t>
      </w:r>
      <w:r w:rsidRPr="009D64B5">
        <w:rPr>
          <w:i/>
          <w:iCs/>
        </w:rPr>
        <w:t>Dari Parau Sorat Ke Mancanegara</w:t>
      </w:r>
      <w:r w:rsidRPr="009D64B5">
        <w:t>. Jakarta: Burung Gagak Indonesia, 2018.</w:t>
      </w:r>
    </w:p>
    <w:p w14:paraId="54440130" w14:textId="77777777" w:rsidR="0019775F" w:rsidRPr="009D64B5" w:rsidRDefault="0019775F" w:rsidP="0019775F">
      <w:pPr>
        <w:pStyle w:val="Bibliografi"/>
        <w:spacing w:line="360" w:lineRule="auto"/>
        <w:ind w:left="720" w:hanging="720"/>
        <w:jc w:val="both"/>
      </w:pPr>
      <w:r w:rsidRPr="009D64B5">
        <w:t xml:space="preserve">Sudiarja, A. </w:t>
      </w:r>
      <w:r w:rsidRPr="009D64B5">
        <w:rPr>
          <w:i/>
          <w:iCs/>
        </w:rPr>
        <w:t>Agama (Di Zaman) Yang Berubah</w:t>
      </w:r>
      <w:r w:rsidRPr="009D64B5">
        <w:t>. Yogyakarta: Kanisius, 2006.</w:t>
      </w:r>
    </w:p>
    <w:p w14:paraId="4FEE5E76" w14:textId="77777777" w:rsidR="0019775F" w:rsidRPr="009D64B5" w:rsidRDefault="0019775F" w:rsidP="0019775F">
      <w:pPr>
        <w:pStyle w:val="Bibliografi"/>
        <w:spacing w:line="360" w:lineRule="auto"/>
        <w:ind w:left="720" w:hanging="720"/>
        <w:jc w:val="both"/>
      </w:pPr>
      <w:r w:rsidRPr="009D64B5">
        <w:t xml:space="preserve">Sugiyono. </w:t>
      </w:r>
      <w:r w:rsidRPr="009D64B5">
        <w:rPr>
          <w:i/>
          <w:iCs/>
        </w:rPr>
        <w:t>Metode Penelitian Kuantitatif, Kualitatif Dan R &amp; D</w:t>
      </w:r>
      <w:r w:rsidRPr="009D64B5">
        <w:t>. Bandung: Alfabeta, 2013.</w:t>
      </w:r>
    </w:p>
    <w:p w14:paraId="06AAAE69" w14:textId="77777777" w:rsidR="0019775F" w:rsidRPr="009D64B5" w:rsidRDefault="0019775F" w:rsidP="0019775F">
      <w:pPr>
        <w:pStyle w:val="Bibliografi"/>
        <w:spacing w:line="360" w:lineRule="auto"/>
        <w:ind w:left="720" w:hanging="720"/>
        <w:jc w:val="both"/>
      </w:pPr>
      <w:r w:rsidRPr="009D64B5">
        <w:t xml:space="preserve">Sulistio, Thio Christian. “Teologi Pluralisme Agama John Hick : Sebuah Dialog Kritis Dari Perspektif Partikularis.” </w:t>
      </w:r>
      <w:r w:rsidRPr="009D64B5">
        <w:rPr>
          <w:i/>
          <w:iCs/>
        </w:rPr>
        <w:t>Veritas: Jurnal Teologi Dan Pelayanan</w:t>
      </w:r>
      <w:r w:rsidRPr="009D64B5">
        <w:t xml:space="preserve"> 2, no. 1 (April 2001): 51–69. https://doi.org/10.36421/veritas.v2i1.51.</w:t>
      </w:r>
    </w:p>
    <w:p w14:paraId="5CF1A7F1" w14:textId="77777777" w:rsidR="0019775F" w:rsidRPr="009D64B5" w:rsidRDefault="0019775F" w:rsidP="0019775F">
      <w:pPr>
        <w:pStyle w:val="Bibliografi"/>
        <w:spacing w:line="360" w:lineRule="auto"/>
        <w:ind w:left="720" w:hanging="720"/>
        <w:jc w:val="both"/>
      </w:pPr>
      <w:r w:rsidRPr="009D64B5">
        <w:t xml:space="preserve">Turnip, Ricardo Sisco, Jordan Humala Pakpahan, Gressya Huriany Manullang, and Raulina Siagian. “Pemahaman Eklesiologi HKBP: Kajian Dogmatis Tentang Eklesiologi Martin Luther Dalam Pemahaman Eklesiologi HKBP.” </w:t>
      </w:r>
      <w:r w:rsidRPr="009D64B5">
        <w:rPr>
          <w:i/>
          <w:iCs/>
        </w:rPr>
        <w:t>Innovative: Journal Of Social Science Research</w:t>
      </w:r>
      <w:r w:rsidRPr="009D64B5">
        <w:t xml:space="preserve"> 2, no. 2 (2022): 373–83. https://doi.org/10.31004/innovative.v2i2.7869.</w:t>
      </w:r>
    </w:p>
    <w:p w14:paraId="3DC4B26D" w14:textId="77777777" w:rsidR="0019775F" w:rsidRPr="009D64B5" w:rsidRDefault="0019775F" w:rsidP="0019775F">
      <w:pPr>
        <w:pStyle w:val="Bibliografi"/>
        <w:spacing w:line="360" w:lineRule="auto"/>
        <w:ind w:left="720" w:hanging="720"/>
        <w:jc w:val="both"/>
      </w:pPr>
      <w:r w:rsidRPr="009D64B5">
        <w:t xml:space="preserve">Warren, Rick. </w:t>
      </w:r>
      <w:r w:rsidRPr="009D64B5">
        <w:rPr>
          <w:i/>
          <w:iCs/>
        </w:rPr>
        <w:t>The Purpose Driven Church: Growth Without Compromising Your Message and Mission</w:t>
      </w:r>
      <w:r w:rsidRPr="009D64B5">
        <w:t>. Grand Rapids: Zondervan, 2007.</w:t>
      </w:r>
    </w:p>
    <w:p w14:paraId="6B71F03F" w14:textId="3DFDCC53" w:rsidR="00C30472" w:rsidRDefault="0019775F" w:rsidP="0019775F">
      <w:pPr>
        <w:ind w:left="360" w:hanging="360"/>
        <w:jc w:val="both"/>
      </w:pPr>
      <w:r w:rsidRPr="009D64B5">
        <w:fldChar w:fldCharType="end"/>
      </w:r>
      <w:bookmarkEnd w:id="9"/>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enulis" w:initials="A">
    <w:p w14:paraId="1A790E95" w14:textId="77777777" w:rsidR="00DD07D1" w:rsidRDefault="00DD07D1" w:rsidP="00DD07D1">
      <w:pPr>
        <w:pStyle w:val="TeksKomentar"/>
      </w:pPr>
      <w:r>
        <w:rPr>
          <w:rStyle w:val="ReferensiKomentar"/>
        </w:rPr>
        <w:annotationRef/>
      </w:r>
      <w:r>
        <w:t>Pemaparan Pendahuluannya sudah dijelaskan latar belakang dan permasalahan yang ada secara rinci. Namun, padapendahuluan ini belum ditemukan bahasan tentang penelitian terdahulu sehubungan dengan penelitian ini. Oleh karena itu, perlu untuk dilengkapi dengan penelitian terdahulu, minimal 3 dan maksimal 5 penelitian terdahulu.</w:t>
      </w:r>
    </w:p>
    <w:p w14:paraId="31312267" w14:textId="77777777" w:rsidR="00DD07D1" w:rsidRDefault="00DD07D1" w:rsidP="00DD07D1">
      <w:pPr>
        <w:pStyle w:val="TeksKomentar"/>
      </w:pPr>
    </w:p>
    <w:p w14:paraId="18BCE955" w14:textId="77777777" w:rsidR="00DD07D1" w:rsidRDefault="00DD07D1" w:rsidP="00DD07D1">
      <w:pPr>
        <w:pStyle w:val="TeksKomentar"/>
      </w:pPr>
      <w:r>
        <w:t xml:space="preserve">Juga belum ditemukan unsur kabaharuan atau </w:t>
      </w:r>
      <w:r>
        <w:rPr>
          <w:i/>
          <w:iCs/>
        </w:rPr>
        <w:t>novelty</w:t>
      </w:r>
      <w:r>
        <w:t xml:space="preserve"> dari penelitian ini, untuk itu, penulis diminta untuk melengkapinya terlebih dahulu.</w:t>
      </w:r>
    </w:p>
  </w:comment>
  <w:comment w:id="4" w:author="Penulis" w:initials="A">
    <w:p w14:paraId="2918F49B" w14:textId="77777777" w:rsidR="00DD07D1" w:rsidRDefault="00DD07D1" w:rsidP="00DD07D1">
      <w:pPr>
        <w:pStyle w:val="TeksKomentar"/>
      </w:pPr>
      <w:r>
        <w:rPr>
          <w:rStyle w:val="ReferensiKomentar"/>
        </w:rPr>
        <w:annotationRef/>
      </w:r>
      <w:r>
        <w:t>Silakan dijelaskan secara terperinci langkah-langkah yang digunakan atau dilalui hingga terselesainya penelitian atau penulisan artikel ini dengan referensi yang jelas, minimal 2 referensi dengan mengutamakan buku metodologi penelitian.</w:t>
      </w:r>
    </w:p>
  </w:comment>
  <w:comment w:id="8" w:author="Penulis" w:initials="A">
    <w:p w14:paraId="30FF92D3" w14:textId="77777777" w:rsidR="00DD07D1" w:rsidRDefault="00DD07D1" w:rsidP="00DD07D1">
      <w:pPr>
        <w:pStyle w:val="TeksKomentar"/>
      </w:pPr>
      <w:r>
        <w:rPr>
          <w:rStyle w:val="ReferensiKomentar"/>
        </w:rPr>
        <w:annotationRef/>
      </w:r>
      <w:r>
        <w:t>Beberapa referensi didapati tahunnya sudah melampaui batas toleransi Jurnal Arrabona. Jurnal Arrabona menoleransikan referensi 10 tahun terakhir. Untuk itu, referensi di atas 10 tahun agar dapat diganti dengan referensi teraktual di bawah 10 tahunan.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BCE955" w15:done="0"/>
  <w15:commentEx w15:paraId="2918F49B" w15:done="0"/>
  <w15:commentEx w15:paraId="30FF92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BCE955" w16cid:durableId="5FC742A0"/>
  <w16cid:commentId w16cid:paraId="2918F49B" w16cid:durableId="2C4F5787"/>
  <w16cid:commentId w16cid:paraId="30FF92D3" w16cid:durableId="76CD40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FA622" w14:textId="77777777" w:rsidR="00A177FF" w:rsidRDefault="00A177FF">
      <w:r>
        <w:separator/>
      </w:r>
    </w:p>
  </w:endnote>
  <w:endnote w:type="continuationSeparator" w:id="0">
    <w:p w14:paraId="2DA7C7D9" w14:textId="77777777" w:rsidR="00A177FF" w:rsidRDefault="00A1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93A5773-7975-48D9-A208-8E167F5146A1}"/>
    <w:embedBold r:id="rId2" w:fontKey="{A8629AF4-BCC2-47A9-81A5-72296EB6D0E0}"/>
  </w:font>
  <w:font w:name="Calibri">
    <w:panose1 w:val="020F0502020204030204"/>
    <w:charset w:val="00"/>
    <w:family w:val="swiss"/>
    <w:pitch w:val="variable"/>
    <w:sig w:usb0="E4002EFF" w:usb1="C200247B" w:usb2="00000009" w:usb3="00000000" w:csb0="000001FF" w:csb1="00000000"/>
    <w:embedRegular r:id="rId3" w:fontKey="{324CF376-B724-40A3-AC53-7992915855CB}"/>
    <w:embedBold r:id="rId4" w:fontKey="{880FA2DF-E7CF-4B5B-8060-996B97AFFE62}"/>
  </w:font>
  <w:font w:name="Calisto MT">
    <w:panose1 w:val="02040603050505030304"/>
    <w:charset w:val="00"/>
    <w:family w:val="roman"/>
    <w:pitch w:val="variable"/>
    <w:sig w:usb0="00000003" w:usb1="00000000" w:usb2="00000000" w:usb3="00000000" w:csb0="00000001" w:csb1="00000000"/>
    <w:embedRegular r:id="rId5" w:fontKey="{00CF0B24-C3F1-4A8F-A98F-BA280996FEF8}"/>
    <w:embedBold r:id="rId6" w:fontKey="{27169744-8824-4501-B3E3-3B61DAC8227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50D626CF-1EBE-4C25-BC9C-F7C03B78A50A}"/>
    <w:embedItalic r:id="rId8" w:fontKey="{9EC74322-EE7F-48C9-878A-825CA757A28C}"/>
  </w:font>
  <w:font w:name="Lustria">
    <w:altName w:val="Cambria"/>
    <w:charset w:val="00"/>
    <w:family w:val="auto"/>
    <w:pitch w:val="default"/>
    <w:embedRegular r:id="rId9" w:fontKey="{6C32C7E2-B77A-438E-8AB6-A976B32C9CB1}"/>
    <w:embedBold r:id="rId10" w:fontKey="{EDFB849D-2752-4E83-B306-4E93400629B7}"/>
    <w:embedItalic r:id="rId11" w:fontKey="{2A40C10F-3114-4C05-B27E-30382C804395}"/>
  </w:font>
  <w:font w:name="EB Garamond">
    <w:altName w:val="Calibri"/>
    <w:charset w:val="00"/>
    <w:family w:val="auto"/>
    <w:pitch w:val="variable"/>
    <w:sig w:usb0="E00002FF" w:usb1="02000413" w:usb2="00000000" w:usb3="00000000" w:csb0="0000019F" w:csb1="00000000"/>
    <w:embedRegular r:id="rId12" w:fontKey="{C702B20F-4D13-490B-8214-8823A87C1E64}"/>
  </w:font>
  <w:font w:name="Cambria">
    <w:panose1 w:val="02040503050406030204"/>
    <w:charset w:val="00"/>
    <w:family w:val="roman"/>
    <w:pitch w:val="variable"/>
    <w:sig w:usb0="E00006FF" w:usb1="420024FF" w:usb2="02000000" w:usb3="00000000" w:csb0="0000019F" w:csb1="00000000"/>
    <w:embedRegular r:id="rId13" w:fontKey="{1E3D843F-C999-4E35-93B6-3BA28F426FD3}"/>
    <w:embedBoldItalic r:id="rId14" w:fontKey="{BCBC1530-C53D-4052-9BF4-190800106FFE}"/>
  </w:font>
  <w:font w:name="Garamond">
    <w:panose1 w:val="02020404030301010803"/>
    <w:charset w:val="00"/>
    <w:family w:val="roman"/>
    <w:pitch w:val="variable"/>
    <w:sig w:usb0="00000287" w:usb1="00000000" w:usb2="00000000" w:usb3="00000000" w:csb0="0000009F" w:csb1="00000000"/>
    <w:embedRegular r:id="rId15" w:fontKey="{D64BBB97-E2FD-4761-8D23-708A5D893729}"/>
  </w:font>
  <w:font w:name="Corben">
    <w:charset w:val="00"/>
    <w:family w:val="auto"/>
    <w:pitch w:val="default"/>
    <w:embedRegular r:id="rId16" w:fontKey="{0D97EE71-3373-4547-A023-A9CC9BD7F201}"/>
  </w:font>
  <w:font w:name="Verdana">
    <w:panose1 w:val="020B0604030504040204"/>
    <w:charset w:val="00"/>
    <w:family w:val="swiss"/>
    <w:pitch w:val="variable"/>
    <w:sig w:usb0="A00006FF" w:usb1="4000205B" w:usb2="00000010" w:usb3="00000000" w:csb0="0000019F" w:csb1="00000000"/>
    <w:embedRegular r:id="rId17" w:fontKey="{E4B40CDE-0EDE-4F56-A4EA-9F2316364D85}"/>
    <w:embedBold r:id="rId18" w:fontKey="{0E95EA89-AB5A-444F-8FFB-E1E6438069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3D50" w14:textId="77777777" w:rsidR="00A177FF" w:rsidRDefault="00A177FF">
      <w:r>
        <w:separator/>
      </w:r>
    </w:p>
  </w:footnote>
  <w:footnote w:type="continuationSeparator" w:id="0">
    <w:p w14:paraId="27AE1ADE" w14:textId="77777777" w:rsidR="00A177FF" w:rsidRDefault="00A177FF">
      <w:r>
        <w:continuationSeparator/>
      </w:r>
    </w:p>
  </w:footnote>
  <w:footnote w:id="1">
    <w:p w14:paraId="00F40BCE"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198–201.","noteIndex":2},"citationItems":[{"id":792,"uris":["http://zotero.org/users/local/q9G6HF8J/items/WEH7WN2N"],"itemData":{"id":792,"type":"book","collection-number":"v.13","collection-title":"Image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112–16.","noteIndex":7},"citationItems":[{"id":800,"uris":["http://zotero.org/users/local/q9G6HF8J/items/ZCS4D7PS"],"itemData":{"id":800,"type":"book","edition":"2nd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{"citationID":"h9wBblLJ","properties":{"formattedCitation":"Bevans and Schroeder, {\\i{}Constants in Context}, 86\\uc0\\u8211{}90.","plainCitation":"Bevans and Schroeder, Constants in Context, 86–90.","noteIndex":8},"citationItems":[{"id":786,"uris":["http://zotero.org/users/local/q9G6HF8J/items/HFNJ83LL"],"itemData":{"id":786,"type":"book","collection-number":"30","collection-title":"American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19–20.","noteIndex":9},"citationItems":[{"id":1007,"uris":["http://zotero.org/users/local/q9G6HF8J/items/7WVE572V"],"itemData":{"id":1007,"type":"book","publisher":"Alfabeta","publisher-place":"Bandung","title":"Metode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r w:rsidRPr="00896577">
        <w:rPr>
          <w:szCs w:val="24"/>
        </w:rPr>
        <w:t xml:space="preserve">Sugiyono,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72931390"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https://doi.org/10.31004/innovative.v2i2.7869.","plainCitation":"Ricardo Sisco Turnip et al., “Pemahaman Eklesiologi HKBP: Kajian Dogmatis Tentang Eklesiologi Martin Luther Dalam Pemahaman Eklesiologi HKBP,” Innovative: Journal Of Social Science Research 2, no. 2 (2022): 374, https://doi.org/10.31004/innovative.v2i2.7869.","noteIndex":9},"citationItems":[{"id":828,"uris":["http://zotero.org/users/local/q9G6HF8J/items/F763X8X4"],"itemData":{"id":828,"type":"article-journal","container-title":"Innovative: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Pr="00896577">
        <w:rPr>
          <w:szCs w:val="24"/>
        </w:rPr>
        <w:t xml:space="preserve">Ricardo Sisco Turnip et al., “Pemahaman Eklesiologi HKBP: Kajian Dogmatis Tentang Eklesiologi Martin Luther Dalam Pemahaman Eklesiologi HKBP,” </w:t>
      </w:r>
      <w:r w:rsidRPr="00896577">
        <w:rPr>
          <w:i/>
          <w:iCs/>
          <w:szCs w:val="24"/>
        </w:rPr>
        <w:t>Innovative: Journal Of Social Science Research</w:t>
      </w:r>
      <w:r w:rsidRPr="00896577">
        <w:rPr>
          <w:szCs w:val="24"/>
        </w:rPr>
        <w:t xml:space="preserve"> 2, no. 2 (2022): 374, https://doi.org/10.31004/innovative.v2i2.7869.</w:t>
      </w:r>
      <w:r>
        <w:fldChar w:fldCharType="end"/>
      </w:r>
    </w:p>
  </w:footnote>
  <w:footnote w:id="10">
    <w:p w14:paraId="0F62669D"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{"citationID":"Jn5uMOb6","properties":{"formattedCitation":"Simanjuntak, {\\i{}Dari Parau Sorat Ke Mancanegara}, 187.","plainCitation":"Simanjuntak, Dari Parau Sorat Ke Mancanegara, 187.","noteIndex":10},"citationItems":[{"id":873,"uris":["http://zotero.org/users/local/q9G6HF8J/items/HK3MUBEU"],"itemData":{"id":873,"type":"book","publisher":"Burung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1">
    <w:p w14:paraId="4D074CB5"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https://doi.org/10.3138/tjt.8.2.220.","noteIndex":11},"citationItems":[{"id":886,"uris":["http://zotero.org/users/local/q9G6HF8J/items/A4JHWY9E"],"itemData":{"id":886,"type":"article-journal","abstract":"Since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2">
    <w:p w14:paraId="2C169405"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3">
    <w:p w14:paraId="79395C9A"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4">
    <w:p w14:paraId="28A28984"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376.","noteIndex":14},"citationItems":[{"id":828,"uris":["http://zotero.org/users/local/q9G6HF8J/items/F763X8X4"],"itemData":{"id":828,"type":"article-journal","container-title":"Innovative: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5">
    <w:p w14:paraId="7E82534F" w14:textId="77777777" w:rsidR="0019775F" w:rsidRPr="00896577" w:rsidRDefault="0019775F" w:rsidP="0019775F">
      <w:pPr>
        <w:pStyle w:val="TeksCatatanKaki"/>
        <w:jc w:val="both"/>
        <w:rPr>
          <w:lang w:val="en-US"/>
        </w:rPr>
      </w:pPr>
      <w:r>
        <w:rPr>
          <w:rStyle w:val="ReferensiCatatanKaki"/>
        </w:rPr>
        <w:footnoteRef/>
      </w:r>
      <w:r>
        <w:t xml:space="preserve"> </w:t>
      </w:r>
      <w:r>
        <w:fldChar w:fldCharType="begin"/>
      </w:r>
      <w:r>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113.","noteIndex":15},"citationItems":[{"id":393,"uris":["http://zotero.org/users/local/q9G6HF8J/items/ZDDENZHN"],"itemData":{"id":393,"type":"book","publisher":"BPK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yang berbeda dan khas. Eklesiologi HKBP, yaitu eklesiologi Kristosentris adalah berdasarkan rumusan-rumusan dogmatis HKBP, seperti yang terdapat dalam Konfesi HKBP 1951, Aturan Peraturan HKBP setelah Amandemen II, Ruhut Parmahanion dohot Paminsangon (RPP HKBP), Agenda HKBP dan Buku Ende HKBP.</w:t>
      </w:r>
    </w:p>
  </w:footnote>
  <w:footnote w:id="16">
    <w:p w14:paraId="68C2ED0A"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{"citationID":"eKbqItH2","properties":{"formattedCitation":"Lumbantobing, {\\i{}HKBP Do HKBP, HKBP Is HKBP}, 114.","plainCitation":"Lumbantobing, HKBP Do HKBP, HKBP Is HKBP, 114.","noteIndex":16},"citationItems":[{"id":393,"uris":["http://zotero.org/users/local/q9G6HF8J/items/ZDDENZHN"],"itemData":{"id":393,"type":"book","publisher":"BPK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7">
    <w:p w14:paraId="190C95D7"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378.","noteIndex":17},"citationItems":[{"id":828,"uris":["http://zotero.org/users/local/q9G6HF8J/items/F763X8X4"],"itemData":{"id":828,"type":"article-journal","container-title":"Innovative: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8">
    <w:p w14:paraId="12DD2097"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212.","noteIndex":18},"citationItems":[{"id":819,"uris":["http://zotero.org/users/local/q9G6HF8J/items/ABDX4UEY"],"itemData":{"id":819,"type":"chapter","container-title":"Menyimak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19">
    <w:p w14:paraId="4837FF45"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https://doi.org/10.4102/hts.v73i4.4484.","noteIndex":19},"citationItems":[{"id":894,"uris":["http://zotero.org/users/local/q9G6HF8J/items/TPK6I3P3"],"itemData":{"id":894,"type":"article-journal","abstract":"The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0">
    <w:p w14:paraId="2748DFAC"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212.","noteIndex":20},"citationItems":[{"id":819,"uris":["http://zotero.org/users/local/q9G6HF8J/items/ABDX4UEY"],"itemData":{"id":819,"type":"chapter","container-title":"Menyimak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1">
    <w:p w14:paraId="31B988A6"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112.","noteIndex":21},"citationItems":[{"id":874,"uris":["http://zotero.org/users/local/q9G6HF8J/items/5XLU3TID"],"itemData":{"id":874,"type":"book","ISBN":"978-0-310-29408-5","language":"eng","number-of-pages":"1","publisher":"Zondervan","publisher-place":"Grand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2">
    <w:p w14:paraId="35BC26DD"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https://doi.org/10.36588/sundermann.v14i1.62.","noteIndex":22},"citationItems":[{"id":758,"uris":["http://zotero.org/users/local/q9G6HF8J/items/Z5G42C2L"],"itemData":{"id":758,"type":"article-journal","abstract":"Artikel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3">
    <w:p w14:paraId="0E2BCEF8"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{"citationID":"HpotcoE2","properties":{"formattedCitation":"Jan Hendriks, {\\i{}Jemaat Vital Dan Menarik: Mambangun Jemaat Dengan Menggunakan Metode Lima Faktor} (Yogyakarta: Kanisius, 2002), 28\\uc0\\u8211{}29.","plainCitation":"Jan Hendriks, Jemaat Vital Dan Menarik: Mambangun Jemaat Dengan Menggunakan Metode Lima Faktor (Yogyakarta: Kanisius, 2002), 28–29.","noteIndex":23},"citationItems":[{"id":877,"uris":["http://zotero.org/users/local/q9G6HF8J/items/L5T5LDRK"],"itemData":{"id":877,"type":"book","publisher":"Kanisius","publisher-place":"Yogyakarta","title":"Jemaat Vital dan Menarik: Mambangun Jemaat dengan Menggunakan Metode Lima Faktor","author":[{"family":"Hendriks","given":"Jan"}],"issued":{"date-parts":[["2002"]]}},"locator":"28-29"}],"schema":"https://github.com/citation-style-language/schema/raw/master/csl-citation.json"} </w:instrText>
      </w:r>
      <w:r>
        <w:fldChar w:fldCharType="separate"/>
      </w:r>
      <w:r w:rsidRPr="00A332BA">
        <w:rPr>
          <w:szCs w:val="24"/>
        </w:rPr>
        <w:t xml:space="preserve">Jan Hendriks, </w:t>
      </w:r>
      <w:r w:rsidRPr="00A332BA">
        <w:rPr>
          <w:i/>
          <w:iCs/>
          <w:szCs w:val="24"/>
        </w:rPr>
        <w:t>Jemaat Vital Dan Menarik: Mambangun Jemaat Dengan Menggunakan Metode Lima Faktor</w:t>
      </w:r>
      <w:r w:rsidRPr="00A332BA">
        <w:rPr>
          <w:szCs w:val="24"/>
        </w:rPr>
        <w:t xml:space="preserve"> (Yogyakarta: Kanisius, 2002), 28–29.</w:t>
      </w:r>
      <w:r>
        <w:fldChar w:fldCharType="end"/>
      </w:r>
    </w:p>
  </w:footnote>
  <w:footnote w:id="24">
    <w:p w14:paraId="41AFBC09"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41.","noteIndex":24},"citationItems":[{"id":758,"uris":["http://zotero.org/users/local/q9G6HF8J/items/Z5G42C2L"],"itemData":{"id":758,"type":"article-journal","abstract":"Artikel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5">
    <w:p w14:paraId="0DCD8B1A"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https://doi.org/DOI:%252010.55076/didache.v6i2.380.","plainCitation":"Didimus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https://doi.org/DOI:%252010.55076/didache.v6i2.380.","noteIndex":26},"citationItems":[{"id":942,"uris":["http://zotero.org/users/local/q9G6HF8J/items/49K3ESY9"],"itemData":{"id":942,"type":"article-journal","container-title":"Didache: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Pr="00524757">
        <w:rPr>
          <w:szCs w:val="24"/>
        </w:rPr>
        <w:t xml:space="preserve">Didimus Sutanto B. Prasetya, Abraham Marsal Sakati, and Dewi Lidya Sidabutar, “REVITALISASI PERAN JEMAAT DIASPORA BCM DALAM MENGIMPLEMENTASIKAN YEREMIA 29:7 MELALUI MALAM BUDAYA DI JOHOR BAHRU, MALAYSIA,” </w:t>
      </w:r>
      <w:r w:rsidRPr="00524757">
        <w:rPr>
          <w:i/>
          <w:iCs/>
          <w:szCs w:val="24"/>
        </w:rPr>
        <w:t>Didache: Jurnal Teologi Dan Pendidikan Kristen</w:t>
      </w:r>
      <w:r w:rsidRPr="00524757">
        <w:rPr>
          <w:szCs w:val="24"/>
        </w:rPr>
        <w:t xml:space="preserve"> 6, no. 2 (June 2025): 77, https://doi.org/DOI:%252010.55076/didache.v6i2.380.</w:t>
      </w:r>
      <w:r>
        <w:fldChar w:fldCharType="end"/>
      </w:r>
    </w:p>
  </w:footnote>
  <w:footnote w:id="26">
    <w:p w14:paraId="215E1227"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7">
    <w:p w14:paraId="30EB345E"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{"citationID":"dHSoJ8y0","properties":{"formattedCitation":"Louw, \\uc0\\u8220{}\\uc0\\u8216{}{\\i{}Ekhaya},\\uc0\\u8221{} 9.","plainCitation":"Louw, “‘Ekhaya,” 9.","noteIndex":27},"citationItems":[{"id":894,"uris":["http://zotero.org/users/local/q9G6HF8J/items/TPK6I3P3"],"itemData":{"id":894,"type":"article-journal","abstract":"The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28">
    <w:p w14:paraId="4A44B797"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42.","noteIndex":28},"citationItems":[{"id":758,"uris":["http://zotero.org/users/local/q9G6HF8J/items/Z5G42C2L"],"itemData":{"id":758,"type":"article-journal","abstract":"Artikel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29">
    <w:p w14:paraId="4943F399"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{"citationID":"1WLsHLFG","properties":{"formattedCitation":"Warren, {\\i{}The Purpose Driven Church}, 114.","plainCitation":"Warren, The Purpose Driven Church, 114.","noteIndex":29},"citationItems":[{"id":874,"uris":["http://zotero.org/users/local/q9G6HF8J/items/5XLU3TID"],"itemData":{"id":874,"type":"book","ISBN":"978-0-310-29408-5","language":"eng","number-of-pages":"1","publisher":"Zondervan","publisher-place":"Grand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0">
    <w:p w14:paraId="4EE502F5"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{"citationID":"8QDmxuAe","properties":{"formattedCitation":"Hendriks, {\\i{}Jemaat Vital Dan Menarik: Mambangun Jemaat Dengan Menggunakan Metode Lima Faktor}, 109\\uc0\\u8211{}10.","plainCitation":"Hendriks, Jemaat Vital Dan Menarik: Mambangun Jemaat Dengan Menggunakan Metode Lima Faktor, 109–10.","noteIndex":30},"citationItems":[{"id":877,"uris":["http://zotero.org/users/local/q9G6HF8J/items/L5T5LDRK"],"itemData":{"id":877,"type":"book","publisher":"Kanisius","publisher-place":"Yogyakarta","title":"Jemaat Vital dan Menarik: Mambangun Jemaat dengan Menggunakan Metode Lima Faktor","author":[{"family":"Hendriks","given":"Jan"}],"issued":{"date-parts":[["2002"]]}},"locator":"109-110"}],"schema":"https://github.com/citation-style-language/schema/raw/master/csl-citation.json"} </w:instrText>
      </w:r>
      <w:r>
        <w:fldChar w:fldCharType="separate"/>
      </w:r>
      <w:r w:rsidRPr="00A332BA">
        <w:rPr>
          <w:szCs w:val="24"/>
        </w:rPr>
        <w:t xml:space="preserve">Hendriks, </w:t>
      </w:r>
      <w:r w:rsidRPr="00A332BA">
        <w:rPr>
          <w:i/>
          <w:iCs/>
          <w:szCs w:val="24"/>
        </w:rPr>
        <w:t>Jemaat Vital Dan Menarik: Mambangun Jemaat Dengan Menggunakan Metode Lima Faktor</w:t>
      </w:r>
      <w:r w:rsidRPr="00A332BA">
        <w:rPr>
          <w:szCs w:val="24"/>
        </w:rPr>
        <w:t>, 109–10.</w:t>
      </w:r>
      <w:r>
        <w:fldChar w:fldCharType="end"/>
      </w:r>
    </w:p>
  </w:footnote>
  <w:footnote w:id="31">
    <w:p w14:paraId="42AF4AB1"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{"citationID":"eIRUbkzr","properties":{"formattedCitation":"A. Sudiarja, {\\i{}Agama (Di Zaman) Yang Berubah} (Yogyakarta: Kanisius, 2006), 149\\uc0\\u8211{}50.","plainCitation":"A. Sudiarja, Agama (Di Zaman) Yang Berubah (Yogyakarta: Kanisius, 2006), 149–50.","noteIndex":31},"citationItems":[{"id":880,"uris":["http://zotero.org/users/local/q9G6HF8J/items/6NGYTML6"],"itemData":{"id":880,"type":"book","publisher":"Kanisius","publisher-place":"Yogyakarta","title":"Agama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2">
    <w:p w14:paraId="59D15266"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{"citationID":"mEnT4TQT","properties":{"formattedCitation":"Sudiarja, {\\i{}Agama (Di Zaman) Yang Berubah}, 151.","plainCitation":"Sudiarja, Agama (Di Zaman) Yang Berubah, 151.","noteIndex":32},"citationItems":[{"id":880,"uris":["http://zotero.org/users/local/q9G6HF8J/items/6NGYTML6"],"itemData":{"id":880,"type":"book","publisher":"Kanisius","publisher-place":"Yogyakarta","title":"Agama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3">
    <w:p w14:paraId="4E52F4B0"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182.","noteIndex":33},"citationItems":[{"id":882,"uris":["http://zotero.org/users/local/q9G6HF8J/items/2LYDAJ3S"],"itemData":{"id":882,"type":"chapter","container-title":"Ngapain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4">
    <w:p w14:paraId="5F81D169"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{"citationID":"hIU5TOae","properties":{"formattedCitation":"Siahaan, \\uc0\\u8220{}Gereja (HKBP) Dalam Masyarakat Majemuk,\\uc0\\u8221{} 182.","plainCitation":"Siahaan, “Gereja (HKBP) Dalam Masyarakat Majemuk,”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5">
    <w:p w14:paraId="124BA24F"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{"citationID":"JpDhE3lM","properties":{"formattedCitation":"Siahaan, \\uc0\\u8220{}Gereja (HKBP) Dalam Masyarakat Majemuk,\\uc0\\u8221{} 182\\uc0\\u8211{}83.","plainCitation":"Siahaan, “Gereja (HKBP) Dalam Masyarakat Majemuk,” 182–83.","noteIndex":35},"citationItems":[{"id":882,"uris":["http://zotero.org/users/local/q9G6HF8J/items/2LYDAJ3S"],"itemData":{"id":882,"type":"chapter","container-title":"Ngapain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6">
    <w:p w14:paraId="7A9E5928" w14:textId="77777777" w:rsidR="0019775F" w:rsidRPr="00A332BA"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{"citationID":"rH8sI0Si","properties":{"formattedCitation":"Sudiarja, {\\i{}Agama (Di Zaman) Yang Berubah}, 152\\uc0\\u8211{}53.","plainCitation":"Sudiarja, Agama (Di Zaman) Yang Berubah, 152–53.","noteIndex":36},"citationItems":[{"id":880,"uris":["http://zotero.org/users/local/q9G6HF8J/items/6NGYTML6"],"itemData":{"id":880,"type":"book","publisher":"Kanisius","publisher-place":"Yogyakarta","title":"Agama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9775F"/>
    <w:rsid w:val="00273E5A"/>
    <w:rsid w:val="00341D69"/>
    <w:rsid w:val="00353E95"/>
    <w:rsid w:val="003A4350"/>
    <w:rsid w:val="009A6BA2"/>
    <w:rsid w:val="009F4195"/>
    <w:rsid w:val="00A177FF"/>
    <w:rsid w:val="00A50DB9"/>
    <w:rsid w:val="00AE35FD"/>
    <w:rsid w:val="00B434DD"/>
    <w:rsid w:val="00B66877"/>
    <w:rsid w:val="00C30472"/>
    <w:rsid w:val="00DD07D1"/>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9A6BA2"/>
    <w:rPr>
      <w:color w:val="605E5C"/>
      <w:shd w:val="clear" w:color="auto" w:fill="E1DFDD"/>
    </w:rPr>
  </w:style>
  <w:style w:type="paragraph" w:styleId="TeksCatatanKaki">
    <w:name w:val="footnote text"/>
    <w:basedOn w:val="Normal"/>
    <w:link w:val="TeksCatatanKakiKAR"/>
    <w:uiPriority w:val="99"/>
    <w:rsid w:val="0019775F"/>
    <w:pPr>
      <w:ind w:hanging="1"/>
    </w:pPr>
    <w:rPr>
      <w:rFonts w:eastAsia="Times New Roman"/>
      <w:sz w:val="20"/>
      <w:szCs w:val="20"/>
      <w:lang w:val="en" w:eastAsia="en-ID"/>
    </w:rPr>
  </w:style>
  <w:style w:type="character" w:customStyle="1" w:styleId="TeksCatatanKakiKAR">
    <w:name w:val="Teks Catatan Kaki KAR"/>
    <w:basedOn w:val="FontParagrafDefault"/>
    <w:link w:val="TeksCatatanKaki"/>
    <w:uiPriority w:val="99"/>
    <w:rsid w:val="0019775F"/>
    <w:rPr>
      <w:sz w:val="20"/>
      <w:szCs w:val="20"/>
      <w:lang w:val="en"/>
    </w:rPr>
  </w:style>
  <w:style w:type="character" w:styleId="ReferensiCatatanKaki">
    <w:name w:val="footnote reference"/>
    <w:uiPriority w:val="99"/>
    <w:rsid w:val="0019775F"/>
    <w:rPr>
      <w:w w:val="100"/>
      <w:position w:val="-1"/>
      <w:effect w:val="none"/>
      <w:vertAlign w:val="superscript"/>
      <w:cs w:val="0"/>
      <w:em w:val="none"/>
    </w:rPr>
  </w:style>
  <w:style w:type="paragraph" w:styleId="Bibliografi">
    <w:name w:val="Bibliography"/>
    <w:basedOn w:val="Normal"/>
    <w:next w:val="Normal"/>
    <w:uiPriority w:val="37"/>
    <w:unhideWhenUsed/>
    <w:rsid w:val="0019775F"/>
    <w:pPr>
      <w:spacing w:after="200" w:line="276" w:lineRule="auto"/>
      <w:ind w:hanging="1"/>
    </w:pPr>
    <w:rPr>
      <w:rFonts w:eastAsia="Times New Roman"/>
      <w:lang w:val="en" w:eastAsia="en-ID"/>
    </w:rPr>
  </w:style>
  <w:style w:type="character" w:styleId="ReferensiKomentar">
    <w:name w:val="annotation reference"/>
    <w:basedOn w:val="FontParagrafDefault"/>
    <w:uiPriority w:val="99"/>
    <w:semiHidden/>
    <w:unhideWhenUsed/>
    <w:rsid w:val="00DD07D1"/>
    <w:rPr>
      <w:sz w:val="16"/>
      <w:szCs w:val="16"/>
    </w:rPr>
  </w:style>
  <w:style w:type="paragraph" w:styleId="TeksKomentar">
    <w:name w:val="annotation text"/>
    <w:basedOn w:val="Normal"/>
    <w:link w:val="TeksKomentarKAR"/>
    <w:uiPriority w:val="99"/>
    <w:unhideWhenUsed/>
    <w:rsid w:val="00DD07D1"/>
    <w:rPr>
      <w:sz w:val="20"/>
      <w:szCs w:val="20"/>
    </w:rPr>
  </w:style>
  <w:style w:type="character" w:customStyle="1" w:styleId="TeksKomentarKAR">
    <w:name w:val="Teks Komentar KAR"/>
    <w:basedOn w:val="FontParagrafDefault"/>
    <w:link w:val="TeksKomentar"/>
    <w:uiPriority w:val="99"/>
    <w:rsid w:val="00DD07D1"/>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DD07D1"/>
    <w:rPr>
      <w:b/>
      <w:bCs/>
    </w:rPr>
  </w:style>
  <w:style w:type="character" w:customStyle="1" w:styleId="SubjekKomentarKAR">
    <w:name w:val="Subjek Komentar KAR"/>
    <w:basedOn w:val="TeksKomentarKAR"/>
    <w:link w:val="SubjekKomentar"/>
    <w:uiPriority w:val="99"/>
    <w:semiHidden/>
    <w:rsid w:val="00DD07D1"/>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onaventrosimatupang@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5805</Words>
  <Characters>33095</Characters>
  <Application>Microsoft Office Word</Application>
  <DocSecurity>0</DocSecurity>
  <Lines>275</Lines>
  <Paragraphs>77</Paragraphs>
  <ScaleCrop>false</ScaleCrop>
  <Company/>
  <LinksUpToDate>false</LinksUpToDate>
  <CharactersWithSpaces>38823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2026-05-09T11:10:00Z</dcterms:created>
  <dcterms:modified xsi:type="dcterms:W3CDTF">2026-05-09T11:10:00Z</dcterms:modified>
</cp:coreProperties>
</file>