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06EF0630" w14:textId="3CCB007D" w:rsidR="00C241DB" w:rsidRPr="00C241DB" w:rsidRDefault="00C241DB" w:rsidP="00C241DB">
            <w:pPr>
              <w:pBdr>
                <w:top w:val="nil"/>
                <w:left w:val="nil"/>
                <w:bottom w:val="nil"/>
                <w:right w:val="nil"/>
                <w:between w:val="nil"/>
              </w:pBdr>
              <w:spacing w:after="360" w:line="276" w:lineRule="auto"/>
              <w:jc w:val="center"/>
              <w:rPr>
                <w:rFonts w:eastAsia="Times New Roman"/>
                <w:b/>
                <w:color w:val="000000"/>
                <w:sz w:val="32"/>
                <w:szCs w:val="32"/>
              </w:rPr>
            </w:pPr>
            <w:r w:rsidRPr="00C241DB">
              <w:rPr>
                <w:b/>
                <w:bCs/>
                <w:sz w:val="32"/>
                <w:szCs w:val="32"/>
              </w:rPr>
              <w:t>Dialektika Kitab Apokaliptik Dalam Narasi Perjanjian Baru Dan Implikasinya Terhadap Relasi Sejarah Agama Kristen</w:t>
            </w:r>
          </w:p>
          <w:p w14:paraId="28AC2386" w14:textId="04F9E55C" w:rsidR="00C30472" w:rsidRPr="00C241DB" w:rsidRDefault="00C241DB" w:rsidP="00C241DB">
            <w:pPr>
              <w:jc w:val="center"/>
              <w:rPr>
                <w:b/>
                <w:bCs/>
                <w:sz w:val="22"/>
                <w:szCs w:val="22"/>
              </w:rPr>
            </w:pPr>
            <w:r w:rsidRPr="00EC40A5">
              <w:rPr>
                <w:b/>
                <w:bCs/>
                <w:sz w:val="22"/>
                <w:szCs w:val="22"/>
              </w:rPr>
              <w:t>Dicky Welly Kansil</w:t>
            </w:r>
          </w:p>
          <w:p w14:paraId="6EDB9016" w14:textId="509783DF" w:rsidR="00C30472" w:rsidRPr="00C241DB" w:rsidRDefault="00000000">
            <w:pPr>
              <w:jc w:val="center"/>
            </w:pPr>
            <w:bookmarkStart w:id="0" w:name="_heading=h.gjdgxs" w:colFirst="0" w:colLast="0"/>
            <w:bookmarkEnd w:id="0"/>
            <w:r w:rsidRPr="00C241DB">
              <w:rPr>
                <w:i/>
                <w:color w:val="000000"/>
              </w:rPr>
              <w:t xml:space="preserve">Sekolah Tinggi Teologi </w:t>
            </w:r>
            <w:r w:rsidR="00C241DB" w:rsidRPr="00C241DB">
              <w:rPr>
                <w:i/>
                <w:color w:val="000000"/>
              </w:rPr>
              <w:t>Moriah Tangerang</w:t>
            </w:r>
          </w:p>
          <w:p w14:paraId="6E0D6691" w14:textId="6EEEBA16" w:rsidR="00C30472" w:rsidRPr="00C241DB" w:rsidRDefault="00000000" w:rsidP="00C241DB">
            <w:pPr>
              <w:jc w:val="center"/>
              <w:rPr>
                <w:b/>
                <w:bCs/>
                <w:sz w:val="22"/>
                <w:szCs w:val="22"/>
              </w:rP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C241DB" w:rsidRPr="00EC40A5">
              <w:rPr>
                <w:sz w:val="22"/>
                <w:szCs w:val="22"/>
              </w:rPr>
              <w:t>dickykansil@gmail.com</w:t>
            </w:r>
            <w:r w:rsidR="00C241DB" w:rsidRPr="00EC40A5">
              <w:rPr>
                <w:b/>
                <w:bCs/>
                <w:sz w:val="22"/>
                <w:szCs w:val="22"/>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40B6432"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273E5A" w:rsidRPr="00C241DB">
              <w:rPr>
                <w:rFonts w:eastAsia="Times New Roman"/>
                <w:color w:val="000000"/>
                <w:sz w:val="36"/>
                <w:szCs w:val="36"/>
                <w:vertAlign w:val="subscript"/>
                <w:lang w:val="de-DE"/>
              </w:rPr>
              <w:t>00/11/</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C241DB" w:rsidRDefault="00000000">
            <w:pPr>
              <w:pBdr>
                <w:top w:val="nil"/>
                <w:left w:val="nil"/>
                <w:bottom w:val="nil"/>
                <w:right w:val="nil"/>
                <w:between w:val="nil"/>
              </w:pBdr>
              <w:spacing w:line="276" w:lineRule="auto"/>
              <w:rPr>
                <w:rFonts w:ascii="Lustria" w:eastAsia="Lustria" w:hAnsi="Lustria" w:cs="Lustria"/>
                <w:color w:val="000000"/>
                <w:lang w:val="de-DE"/>
              </w:rPr>
            </w:pPr>
            <w:r w:rsidRPr="00C241DB">
              <w:rPr>
                <w:rFonts w:ascii="Lustria" w:eastAsia="Lustria" w:hAnsi="Lustria" w:cs="Lustria"/>
                <w:b/>
                <w:color w:val="000000"/>
                <w:sz w:val="36"/>
                <w:szCs w:val="36"/>
                <w:vertAlign w:val="subscript"/>
                <w:lang w:val="de-DE"/>
              </w:rPr>
              <w:t>ABSTRAK</w:t>
            </w:r>
          </w:p>
          <w:p w14:paraId="3A146C76" w14:textId="03D80F34" w:rsidR="003A4350" w:rsidRPr="00C241DB" w:rsidRDefault="00000000">
            <w:pPr>
              <w:pBdr>
                <w:top w:val="nil"/>
                <w:left w:val="nil"/>
                <w:bottom w:val="nil"/>
                <w:right w:val="nil"/>
                <w:between w:val="nil"/>
              </w:pBdr>
              <w:jc w:val="both"/>
              <w:rPr>
                <w:rFonts w:eastAsia="Times New Roman"/>
                <w:color w:val="000000"/>
                <w:sz w:val="22"/>
                <w:szCs w:val="22"/>
                <w:lang w:val="de-DE"/>
              </w:rPr>
            </w:pPr>
            <w:r w:rsidRPr="00C241DB">
              <w:rPr>
                <w:rFonts w:ascii="Lustria" w:eastAsia="Lustria" w:hAnsi="Lustria" w:cs="Lustria"/>
                <w:color w:val="000000"/>
                <w:sz w:val="20"/>
                <w:szCs w:val="20"/>
                <w:lang w:val="de-DE"/>
              </w:rPr>
              <w:t>_____________________________________________________________</w:t>
            </w:r>
            <w:r w:rsidR="00C241DB" w:rsidRPr="000B162E">
              <w:rPr>
                <w:sz w:val="22"/>
                <w:szCs w:val="22"/>
                <w:lang w:val="de-DE"/>
              </w:rPr>
              <w:t>Penelitian ini mengkaji dialektika narasi apokaliptik dalam Perjanjian Baru serta implikasinya terhadap rekonstruksi historiografi agama Kristen. Narasi apokaliptik tidak dipahami sebagai wacana eskatologis yang terpisah, tetapi sebagai kerangka interpretatif yang berinteraksi dengan narasi historis. Analisis menunjukkan adanya struktur dialektika antara dimensi historis dan eskatologis yang membentuk paradigma waktu non-linear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7E6481" w14:textId="7D93BED0" w:rsidR="00C30472" w:rsidRPr="00C241DB" w:rsidRDefault="00C241DB" w:rsidP="00C241DB">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4D2772B1" w:rsidR="003A4350" w:rsidRDefault="00C241DB" w:rsidP="00C241DB">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its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social critique against hegemonic power while opening possibilities for historical transformation. The apocalyptic perspective constructs history as a process directed toward </w:t>
            </w:r>
            <w:r w:rsidRPr="000B162E">
              <w:rPr>
                <w:i/>
                <w:iCs/>
                <w:sz w:val="22"/>
                <w:szCs w:val="22"/>
              </w:rPr>
              <w:lastRenderedPageBreak/>
              <w:t>cosmic restoration. These findings indicate the need for an integrative historiographical approach that accommodates narrative, symbolic, and theological dimensions in understanding Christian history.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C241DB">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100AA81D"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89C5AC8" w14:textId="77777777" w:rsidR="00C241DB" w:rsidRDefault="00C241DB" w:rsidP="00C241DB">
      <w:pPr>
        <w:ind w:firstLine="720"/>
        <w:jc w:val="both"/>
        <w:rPr>
          <w:lang w:val="de-DE"/>
        </w:rPr>
      </w:pPr>
      <w:r w:rsidRPr="00C241DB">
        <w:t xml:space="preserve">Kajian mengenai tradisi apokaliptik dalam Perjanjian Baru telah berkembang secara signifikan dalam literatur teologi biblika kontemporer. </w:t>
      </w:r>
      <w:r w:rsidRPr="00C241DB">
        <w:rPr>
          <w:lang w:val="de-DE"/>
        </w:rPr>
        <w:t xml:space="preserve">Sejumlah penelitian menunjukkan bahwa apokaliptik tidak dapat diposisikan sebagai elemen marginal, melainkan sebagai salah satu fondasi konseptual yang membentuk struktur teologis Kekristenan awal. Penelitian Davies membahas hubungan antara apokaliptik dan </w:t>
      </w:r>
      <w:r w:rsidRPr="00C241DB">
        <w:rPr>
          <w:i/>
          <w:iCs/>
          <w:lang w:val="de-DE"/>
        </w:rPr>
        <w:t>salvation history</w:t>
      </w:r>
      <w:r w:rsidRPr="00C241DB">
        <w:rPr>
          <w:lang w:val="de-DE"/>
        </w:rPr>
        <w:t xml:space="preserve"> dalam teologi Paulus menunjukkan bahwa apokaliptik tidak berdiri sebagai kategori yang terpisah dari sejarah, melainkan terintegrasi secara inheren dalam kerangka sejarah keselamatan menolak dikotomi antara dimensi eskatologis dan historis, serta memperlihatkan bahwa masa depan eskatologis menjadi kunci hermeneutik dalam memahami peristiwa sejarah.</w:t>
      </w:r>
      <w:r>
        <w:rPr>
          <w:rStyle w:val="FootnoteReference"/>
        </w:rPr>
        <w:footnoteReference w:id="1"/>
      </w:r>
      <w:r w:rsidRPr="00C241DB">
        <w:rPr>
          <w:lang w:val="de-DE"/>
        </w:rPr>
        <w:t xml:space="preserve"> Shively mengkaji apokaliptik sebagai diskursus sosial dalam Injil Markus, memperluas pemahaman apokaliptik dari sekadar konstruksi teologis menjadi instrumen pembentukan identitas komunitas Kristen awal. Dalam situasi marginalisasi dan tekanan politik, narasi apokaliptik berfungsi sebagai medium simbolik yang memungkinkan komunitas untuk mereinterpretasi realitas historis dalam kerangka kosmik.</w:t>
      </w:r>
      <w:r>
        <w:rPr>
          <w:rStyle w:val="FootnoteReference"/>
        </w:rPr>
        <w:footnoteReference w:id="2"/>
      </w:r>
      <w:r w:rsidRPr="00C241DB">
        <w:rPr>
          <w:lang w:val="de-DE"/>
        </w:rPr>
        <w:t xml:space="preserve"> Dulk menganalisis simbolisme dalam Kitab Wahyu, khususnya Wahyu 11:1–2 memberikan bukti empiris bahwa simbol-simbol apokaliptik tidak bersifat ahistoris, melainkan memiliki referensi konkret terhadap peristiwa sejarah tertentu. Kontribusi utama dari penelitian ini terletak pada kemampuannya menunjukkan hubungan erat antara simbolisme apokaliptik dan konteks sejarah, sehingga memperkuat argumen bahwa terdapat interaksi dialektis antara teks dan realitas historis.</w:t>
      </w:r>
      <w:r>
        <w:rPr>
          <w:rStyle w:val="FootnoteReference"/>
        </w:rPr>
        <w:footnoteReference w:id="3"/>
      </w:r>
      <w:r w:rsidRPr="00C241DB">
        <w:rPr>
          <w:lang w:val="de-DE"/>
        </w:rPr>
        <w:t xml:space="preserve"> Dengan demikian, narasi apokaliptik tidak hanya berfungsi sebagai representasi simbolik, tetapi juga sebagai interpretasi teologis terhadap realitas historis.</w:t>
      </w:r>
    </w:p>
    <w:p w14:paraId="28ACD547" w14:textId="77777777" w:rsidR="00C241DB" w:rsidRDefault="00C241DB" w:rsidP="00C241DB">
      <w:pPr>
        <w:ind w:firstLine="720"/>
        <w:jc w:val="both"/>
        <w:rPr>
          <w:lang w:val="de-DE"/>
        </w:rPr>
      </w:pPr>
      <w:r w:rsidRPr="00C241DB">
        <w:rPr>
          <w:lang w:val="de-DE"/>
        </w:rPr>
        <w:t>Berbagai penelitian tersebut telah memberikan kontribusi yang signifikan, namun terdapat kesenjangan yang cukup jelas pada fokus analisis tekstual, historis, atau teologis secara terpisah, tanpa mengembangkan kerangka dialektis yang mampu mengintegrasikan berbagai dimensi tersebut. 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Meskipun beberapa penelitian telah mengidentifikasi adanya integrasi antara kedua bentuk narasi tersebut, belum terdapat model konseptual yang secara sistematis menjelaskan bagaimana dialektika ini bekerja dalam membentuk pemahaman tentang sejarah.</w:t>
      </w:r>
    </w:p>
    <w:p w14:paraId="63CDB555" w14:textId="77777777" w:rsidR="00C241DB" w:rsidRDefault="00C241DB" w:rsidP="00C241DB">
      <w:pPr>
        <w:ind w:firstLine="720"/>
        <w:jc w:val="both"/>
        <w:rPr>
          <w:lang w:val="de-DE"/>
        </w:rPr>
      </w:pPr>
      <w:r w:rsidRPr="00C241DB">
        <w:rPr>
          <w:lang w:val="de-DE"/>
        </w:rPr>
        <w:lastRenderedPageBreak/>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terintegrasi dengan narasi biografis tentang Yesus.</w:t>
      </w:r>
      <w:r>
        <w:rPr>
          <w:rStyle w:val="FootnoteReference"/>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FootnoteReference"/>
        </w:rPr>
        <w:footnoteReference w:id="5"/>
      </w:r>
      <w:r w:rsidRPr="00C241DB">
        <w:rPr>
          <w:lang w:val="de-DE"/>
        </w:rPr>
        <w:t xml:space="preserve"> Kemudian kitab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genre dalam Perjanjian Baru.</w:t>
      </w:r>
      <w:r>
        <w:rPr>
          <w:rStyle w:val="FootnoteReference"/>
        </w:rPr>
        <w:footnoteReference w:id="6"/>
      </w:r>
    </w:p>
    <w:p w14:paraId="320AD5B7" w14:textId="77777777" w:rsidR="00C241DB" w:rsidRDefault="00C241DB" w:rsidP="00C241DB">
      <w:pPr>
        <w:ind w:firstLine="720"/>
        <w:jc w:val="both"/>
        <w:rPr>
          <w:lang w:val="de-DE"/>
        </w:rPr>
      </w:pPr>
      <w:r w:rsidRPr="00C241DB">
        <w:rPr>
          <w:lang w:val="de-DE"/>
        </w:rPr>
        <w:t>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konkret, 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linear,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p>
    <w:p w14:paraId="10C3D802" w14:textId="77777777" w:rsidR="00C241DB" w:rsidRDefault="00C241DB" w:rsidP="00C241DB">
      <w:pPr>
        <w:ind w:firstLine="720"/>
        <w:jc w:val="both"/>
        <w:rPr>
          <w:lang w:val="de-DE"/>
        </w:rPr>
      </w:pPr>
      <w:r w:rsidRPr="00C241DB">
        <w:rPr>
          <w:lang w:val="de-DE"/>
        </w:rPr>
        <w:t xml:space="preserve">Dalam ranah historiografi agama Kristen, persoalan ini berdampak pada kecenderungan penulisan sejarah yang bersifat linear,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w:t>
      </w:r>
      <w:r w:rsidRPr="00C241DB">
        <w:rPr>
          <w:lang w:val="de-DE"/>
        </w:rPr>
        <w:lastRenderedPageBreak/>
        <w:t>periode Bait Kedua.</w:t>
      </w:r>
      <w:r>
        <w:rPr>
          <w:rStyle w:val="FootnoteReference"/>
        </w:rPr>
        <w:footnoteReference w:id="7"/>
      </w:r>
      <w:r w:rsidRPr="00C241DB">
        <w:rPr>
          <w:lang w:val="de-DE"/>
        </w:rPr>
        <w:t xml:space="preserve"> Argumen ini diperkuat oleh pemikiran Käsemann sebagaimana di kutip </w:t>
      </w:r>
      <w:r w:rsidRPr="00C241DB">
        <w:rPr>
          <w:noProof/>
          <w:lang w:val="de-DE"/>
        </w:rPr>
        <w:t>Siggelkow</w:t>
      </w:r>
      <w:r w:rsidRPr="00C241DB">
        <w:rPr>
          <w:lang w:val="de-DE"/>
        </w:rPr>
        <w:t xml:space="preserve"> menyatakan bahwa apokaliptik menjadi inti dari teologi Perjanjian Baru, khususnya dalam memahami relasi antara sejarah keselamatan dan intervensi ilahi.</w:t>
      </w:r>
      <w:r>
        <w:rPr>
          <w:rStyle w:val="FootnoteReference"/>
        </w:rPr>
        <w:footnoteReference w:id="8"/>
      </w:r>
      <w:r w:rsidRPr="00C241DB">
        <w:rPr>
          <w:lang w:val="de-DE"/>
        </w:rPr>
        <w:t xml:space="preserve"> Reynolds menegaskan bahwa definisi apokaliptik tidak cukup hanya bertumpu pada dimensi eskatologis, tetapi juga harus mempertimbangkan bentuk literer dan struktur spasial teks. Pendekatan ini memperluas cakupan analisis dengan memasukkan aspek naratif dan simbolik sebagai bagian integral dari konstruksi makna.</w:t>
      </w:r>
      <w:r>
        <w:rPr>
          <w:rStyle w:val="FootnoteReference"/>
        </w:rPr>
        <w:footnoteReference w:id="9"/>
      </w:r>
      <w:r w:rsidRPr="00C241DB">
        <w:rPr>
          <w:lang w:val="de-DE"/>
        </w:rPr>
        <w:t xml:space="preserve"> Dengan demikian, apokaliptik tidak hanya dipahami sebagai prediksi akhir zaman, tetapi sebagai sistem representasi realitas yang kompleks dan multidimensional.</w:t>
      </w:r>
    </w:p>
    <w:p w14:paraId="45821505" w14:textId="382F4F4A" w:rsidR="00C241DB" w:rsidRPr="00C241DB" w:rsidRDefault="00C241DB" w:rsidP="00C241DB">
      <w:pPr>
        <w:ind w:firstLine="720"/>
        <w:jc w:val="both"/>
        <w:rPr>
          <w:lang w:val="de-DE"/>
        </w:rPr>
      </w:pPr>
      <w:r w:rsidRPr="00C241DB">
        <w:rPr>
          <w:lang w:val="de-DE"/>
        </w:rPr>
        <w:t>Berdasarkan permasalahan tersebut, kebutuhan akan pendekatan dialektis menjadi semakin jelas. Pendekatan ini memungkinkan analisis terhadap hubungan timbal balik antara narasi apokaliptik dan narasi historis, baik dalam dimensi teologis, simbolik, maupun historis. Melalui kerangka dialektis, teks apokaliptik tidak lagi diposisikan sebagai entitas yang terpisah, tetapi sebagai bagian integral dari narasi Perjanjian Baru yang berkontribusi dalam membentuk pemahaman tentang sejarah. Pendekatan ini juga membuka ruang untuk merekonstruksi historiografi agama Kristen dengan mengintegrasikan dimensi eskatologis sebagai bagian dari proses historis. Dengan demikian, latar belakang masalah penelitian ini secara spesifik berfokus pada tiga persoalan utama, yaitu: ketidakjelasan relasi antara narasi apokaliptik dan narasi historis dalam Perjanjian Baru, keterbatasan dalam memahami fungsi simbol apokaliptik sebagai representasi realitas sejarah, serta ketiadaan model historiografi yang mampu mengintegrasikan dimensi eskatologis dalam rekonstruksi sejarah agama Kristen. Penelitian ini diarahkan untuk mengatasi ketiga persoalan tersebut melalui pengembangan kerangka analisis dialektis yang sistematis dan komprehensif.</w:t>
      </w:r>
    </w:p>
    <w:p w14:paraId="04ACBE85" w14:textId="77777777" w:rsidR="00C241DB" w:rsidRDefault="00C241DB">
      <w:pPr>
        <w:tabs>
          <w:tab w:val="left" w:pos="284"/>
        </w:tabs>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2CF117EB" w:rsidR="00C241DB" w:rsidRPr="00C241DB" w:rsidRDefault="00C241DB" w:rsidP="00C241DB">
      <w:pPr>
        <w:ind w:firstLine="720"/>
        <w:jc w:val="both"/>
      </w:pPr>
      <w:r w:rsidRPr="00C241DB">
        <w:rPr>
          <w:lang w:val="de-DE"/>
        </w:rPr>
        <w:t xml:space="preserve">Penelitian ini menggunakan pendekatan kualitatif dengan desain studi kepustakaan yang berfokus pada analisis teks dalam Perjanjian Baru. </w:t>
      </w:r>
      <w:r w:rsidRPr="00D827A0">
        <w:t xml:space="preserve">Sumber data utama meliputi teks kanonik, khususnya Kitab Wahyu sebagai representasi apokaliptik eksplisit dan Injil Sinoptik sebagai bentuk apokaliptik implisit. </w:t>
      </w:r>
      <w:r w:rsidRPr="00C241DB">
        <w:rPr>
          <w:lang w:val="de-DE"/>
        </w:rPr>
        <w:t>Data sekunder berupa artikel jurnal bereputasi dan literatur teologi biblika yang relevan. Analisis dilakukan dengan pendekatan hermeneutik dialektis yang mengintegrasikan metode historis-kritis, analisis naratif, dan intertekstual. Metode historis-kritis digunakan untuk memahami konteks sosial-historis teks, analisis naratif untuk mengkaji struktur dan simbol, serta intertekstual untuk menelusuri relasi antar teks. Prosedur penelitian mencakup identifikasi teks apokaliptik, klasifikasi tipologis (eksplisit, implisit, transformatif), analisis dialektika antara narasi apokaliptik dan historis, serta sintesis konseptual. Keabsahan data dijaga melalui triangulasi sumber dan teori. Pendekatan ini memungkinkan pemahaman komprehensif mengenai relasi antara simbol, sejarah, dan makna teologis dalam Perjanjian Baru.</w:t>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Default="00000000">
      <w:pPr>
        <w:jc w:val="both"/>
        <w:rPr>
          <w:b/>
        </w:rPr>
      </w:pPr>
      <w:r>
        <w:rPr>
          <w:b/>
        </w:rPr>
        <w:t>HASIL DAN PEMBAHASAN</w:t>
      </w:r>
    </w:p>
    <w:p w14:paraId="5AD2B2DA" w14:textId="77777777" w:rsidR="00C241DB" w:rsidRDefault="00C241DB" w:rsidP="00C241DB">
      <w:pPr>
        <w:jc w:val="both"/>
      </w:pPr>
      <w:r w:rsidRPr="00821ACE">
        <w:rPr>
          <w:b/>
          <w:bCs/>
        </w:rPr>
        <w:t>Tipologi Narasi Apokaliptik Dalam Perjanjian Baru</w:t>
      </w:r>
    </w:p>
    <w:p w14:paraId="07E04C51" w14:textId="77777777" w:rsidR="00C241DB" w:rsidRDefault="00C241DB" w:rsidP="00C241DB">
      <w:pPr>
        <w:ind w:firstLine="720"/>
        <w:jc w:val="both"/>
      </w:pPr>
      <w:r w:rsidRPr="00EB0366">
        <w:lastRenderedPageBreak/>
        <w:t>Narasi apokaliptik dalam Perjanjian Baru memperlihatkan keragaman bentuk yang tidak dapat direduksi menjadi satu struktur tunggal. Tradisi ini berkembang dalam konteks historis dan teologis yang dinamis, sehingga menghasilkan variasi ekspresi yang mencerminkan 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FootnoteReference"/>
        </w:rPr>
        <w:footnoteReference w:id="10"/>
      </w:r>
      <w:r>
        <w:t xml:space="preserve"> </w:t>
      </w:r>
      <w:r w:rsidRPr="00EB0366">
        <w:t>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7A1B0960" w14:textId="77777777" w:rsidR="00C241DB" w:rsidRDefault="00C241DB" w:rsidP="00C241DB">
      <w:pPr>
        <w:ind w:firstLine="720"/>
        <w:jc w:val="both"/>
      </w:pPr>
      <w:r>
        <w:t xml:space="preserve">Pertama </w:t>
      </w:r>
      <w:r w:rsidRPr="00EB0366">
        <w:t>Apokaliptik eksplisit menemukan ekspresi paling jelas dalam Kitab Wahyu yang menyajikan struktur naratif berbasis visi simbolik dan representasi kosmik. Teks ini dibangun melalui penggunaan simbol yang kompleks, seperti Anak Domba, Binatang, dan Yerusalem Baru, yang membentuk sistem makna yang bersifat multilapis.</w:t>
      </w:r>
      <w:r>
        <w:rPr>
          <w:rStyle w:val="FootnoteReference"/>
        </w:rPr>
        <w:footnoteReference w:id="11"/>
      </w:r>
      <w:r w:rsidRPr="00EB0366">
        <w:t xml:space="preserve"> Bahasa simbolik tersebut berfungsi sebagai medium untuk mengartikulasikan realitas yang melampaui kapasitas bahasa literal. </w:t>
      </w:r>
      <w:r w:rsidRPr="00C241DB">
        <w:rPr>
          <w:lang w:val="de-DE"/>
        </w:rPr>
        <w:t>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menunjukkan bahwa apokaliptik eksplisit tidak hanya berorientasi pada masa depan, tetapi juga berfungsi sebagai interpretasi terhadap pengalaman historis komunitas Kristen awal.</w:t>
      </w:r>
      <w:r>
        <w:rPr>
          <w:rStyle w:val="FootnoteReference"/>
        </w:rPr>
        <w:footnoteReference w:id="12"/>
      </w:r>
    </w:p>
    <w:p w14:paraId="77BA3E38" w14:textId="77777777" w:rsidR="00C241DB" w:rsidRDefault="00C241DB" w:rsidP="00C241DB">
      <w:pPr>
        <w:ind w:firstLine="720"/>
        <w:jc w:val="both"/>
      </w:pPr>
      <w:r w:rsidRPr="00C241DB">
        <w:t xml:space="preserve">Kedua Apokaliptik implisit hadir dalam narasi Injil, khususnya dalam tradisi Sinoptik seperti Injil Matius, Injil Markus, dan Injil Lukas. </w:t>
      </w:r>
      <w:r w:rsidRPr="00C241DB">
        <w:rPr>
          <w:lang w:val="de-DE"/>
        </w:rPr>
        <w:t>Berbeda dengan Kitab Wahyu yang menggunakan visi simbolik, unsur apokaliptik dalam Injil muncul melalui diskursus tentang kerajaan Allah, penghakiman, dan akhir zaman. Struktur naratif Injil tetap berakar pada representasi kehidupan dan pelayanan Yesus dalam ruang dan waktu yang konkret, namun mengandung horizon eskatologis yang membentuk pemahaman terhadap realitas tersebut.</w:t>
      </w:r>
      <w:r>
        <w:rPr>
          <w:rStyle w:val="FootnoteReference"/>
        </w:rPr>
        <w:footnoteReference w:id="13"/>
      </w:r>
      <w:r w:rsidRPr="00C241DB">
        <w:rPr>
          <w:lang w:val="de-DE"/>
        </w:rPr>
        <w:t xml:space="preserve"> Diskursus eskatologis dalam Markus 13 dan Matius 24 menunjukkan bahwa narasi historis tidak terlepas dari dimensi apokaliptik.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FootnoteReference"/>
        </w:rPr>
        <w:footnoteReference w:id="14"/>
      </w:r>
    </w:p>
    <w:p w14:paraId="72D68735" w14:textId="77777777" w:rsidR="00C241DB" w:rsidRDefault="00C241DB" w:rsidP="00C241DB">
      <w:pPr>
        <w:ind w:firstLine="720"/>
        <w:jc w:val="both"/>
      </w:pPr>
      <w:r w:rsidRPr="00C241DB">
        <w:t xml:space="preserve">Ketiga Apokaliptik transformatif muncul dalam surat-surat apostolik, terutama dalam teologi Paulus, di mana tradisi apokaliptik mengalami pergeseran dari bentuk naratif menuju refleksi teologis. </w:t>
      </w:r>
      <w:r w:rsidRPr="00C241DB">
        <w:rPr>
          <w:lang w:val="de-DE"/>
        </w:rPr>
        <w:t xml:space="preserve">Apokaliptik tidak lagi disajikan dalam bentuk visi simbolik atau diskursus eksplisit, tetapi hadir sebagai kerangka konseptual yang membentuk pemahaman tentang keselamatan dan identitas komunitas. Konsep seperti ciptaan baru, hidup dalam Kristus, dan penggenapan waktu mencerminkan internalisasi paradigma apokaliptik ke </w:t>
      </w:r>
      <w:r w:rsidRPr="00C241DB">
        <w:rPr>
          <w:lang w:val="de-DE"/>
        </w:rPr>
        <w:lastRenderedPageBreak/>
        <w:t>dalam kehidupan iman.</w:t>
      </w:r>
      <w:r>
        <w:rPr>
          <w:rStyle w:val="FootnoteReference"/>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FootnoteReference"/>
        </w:rPr>
        <w:footnoteReference w:id="16"/>
      </w:r>
    </w:p>
    <w:p w14:paraId="42C0F9F4" w14:textId="77777777" w:rsidR="00C241DB" w:rsidRDefault="00C241DB" w:rsidP="00C241DB">
      <w:pPr>
        <w:ind w:firstLine="720"/>
        <w:jc w:val="both"/>
        <w:rPr>
          <w:lang w:val="de-DE"/>
        </w:rPr>
      </w:pPr>
      <w:r w:rsidRPr="00C241DB">
        <w:t xml:space="preserve">Konstruksi tipologi tersebut menunjukkan bahwa narasi apokaliptik dalam Perjanjian Baru memiliki fungsi yang lebih luas daripada sekadar prediksi eskatologis. </w:t>
      </w:r>
      <w:r w:rsidRPr="00C241DB">
        <w:rPr>
          <w:lang w:val="de-DE"/>
        </w:rPr>
        <w:t>Apokaliptik berperan sebagai kerangka interpretatif yang memungkinkan pembacaan terhadap realitas historis dalam perspektif teologis. Dalam bentuk eksplisit, apokaliptik menghadirkan kritik simbolik terhadap struktur kekuasaan dan kondisi sosial. Dalam bentuk implisit, apokaliptik mengintegrasikan horizon eskatologis ke dalam narasi historis. Dalam bentuk transformatif, apokaliptik menjadi dasar refleksi teologis yang membentuk identitas komunitas. Ketiga bentuk ini menunjukkan adanya kontinuitas sekaligus transformasi dalam perkembangan 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FootnoteReference"/>
        </w:rPr>
        <w:footnoteReference w:id="17"/>
      </w:r>
      <w:r w:rsidRPr="00C241DB">
        <w:rPr>
          <w:lang w:val="de-DE"/>
        </w:rPr>
        <w:t xml:space="preserve"> Dengan demikian, apokaliptik dapat dipahami sebagai kerangka hermeneutik yang menghubungkan dimensi simbolik, historis, dan teologis dalam satu kesatuan yang koheren membuka kemungkinan untuk memahami Perjanjian Baru sebagai konstruksi naratif yang kompleks, di mana berbagai genre berinteraksi dalam membentuk makna yang lebih luas.</w:t>
      </w:r>
    </w:p>
    <w:p w14:paraId="7BB9B13F" w14:textId="77777777" w:rsidR="00C241DB" w:rsidRDefault="00C241DB" w:rsidP="00C241DB">
      <w:pPr>
        <w:jc w:val="both"/>
        <w:rPr>
          <w:lang w:val="de-DE"/>
        </w:rPr>
      </w:pPr>
    </w:p>
    <w:p w14:paraId="2E06CDD1" w14:textId="77777777" w:rsidR="00C241DB" w:rsidRDefault="00C241DB" w:rsidP="00C241DB">
      <w:pPr>
        <w:jc w:val="both"/>
        <w:rPr>
          <w:lang w:val="de-DE"/>
        </w:rPr>
      </w:pPr>
      <w:r w:rsidRPr="00C241DB">
        <w:rPr>
          <w:b/>
          <w:bCs/>
          <w:lang w:val="de-DE"/>
        </w:rPr>
        <w:t>Struktur Dialektika Antara Narasi Apokaliptik Dan Historis Dalam Perjanjian Baru</w:t>
      </w:r>
    </w:p>
    <w:p w14:paraId="2FA366F3" w14:textId="77777777" w:rsidR="00C241DB" w:rsidRDefault="00C241DB" w:rsidP="00C241DB">
      <w:pPr>
        <w:ind w:firstLine="720"/>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FootnoteReference"/>
        </w:rPr>
        <w:footnoteReference w:id="18"/>
      </w:r>
      <w:r w:rsidRPr="00C241DB">
        <w:rPr>
          <w:lang w:val="de-DE"/>
        </w:rPr>
        <w:t xml:space="preserve"> Dalam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FootnoteReference"/>
        </w:rPr>
        <w:footnoteReference w:id="19"/>
      </w:r>
    </w:p>
    <w:p w14:paraId="23B7C04E" w14:textId="77777777" w:rsidR="00C241DB" w:rsidRDefault="00C241DB" w:rsidP="00C241DB">
      <w:pPr>
        <w:ind w:firstLine="720"/>
        <w:jc w:val="both"/>
        <w:rPr>
          <w:lang w:val="de-DE"/>
        </w:rPr>
      </w:pPr>
      <w:r w:rsidRPr="00C241DB">
        <w:rPr>
          <w:lang w:val="de-DE"/>
        </w:rPr>
        <w:t xml:space="preserve">Struktur dialektika dalam Kitab Wahyu memperlihatkan pola relasi antara konflik dan penggenapan. Simbol-simbol seperti Binatang dan Babel merepresentasikan kekuatan destruktif yang beroperasi dalam sejarah, sementara Anak Domba dan Yerusalem Baru menggambarkan realitas pemulihan yang bersifat eskatologis. Ketegangan antara kedua kutub ini tidak menghasilkan kontradiksi statis, tetapi membentuk proses transformasi makna yang bergerak menuju sintesis. Dalam kerangka ini, narasi apokaliptik berfungsi sebagai mekanisme konseptual yang memungkinkan komunitas iman menafsirkan krisis </w:t>
      </w:r>
      <w:r w:rsidRPr="00C241DB">
        <w:rPr>
          <w:lang w:val="de-DE"/>
        </w:rPr>
        <w:lastRenderedPageBreak/>
        <w:t>sebagai bagian dari rencana ilahi yang lebih luas. Pendekatan ini menunjukkan bahwa apokaliptik memiliki dimensi filosofis yang melampaui fungsi deskriptif simbolik, karena mengonstruksi relasi antara sejarah dan tujuan akhir secara sistematis.</w:t>
      </w:r>
      <w:r>
        <w:rPr>
          <w:rStyle w:val="FootnoteReference"/>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FootnoteReference"/>
        </w:rPr>
        <w:footnoteReference w:id="21"/>
      </w:r>
    </w:p>
    <w:p w14:paraId="15C5BD65" w14:textId="77777777" w:rsidR="00C241DB" w:rsidRDefault="00C241DB" w:rsidP="00C241DB">
      <w:pPr>
        <w:ind w:firstLine="720"/>
        <w:jc w:val="both"/>
        <w:rPr>
          <w:lang w:val="de-DE"/>
        </w:rPr>
      </w:pPr>
      <w:r w:rsidRPr="00C241DB">
        <w:rPr>
          <w:lang w:val="de-DE"/>
        </w:rPr>
        <w:t>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linear sebagai urutan kronologis yang tertutup, tetapi sebagai struktur terbuka yang memungkinkan perjumpaan antara masa kini dan masa depan eskatologis. Konsep sudah dan belum mencerminkan ketegangan antara realitas yang telah hadir dan realitas yang masih menunggu penggenapan. Dalam kerangka ini, masa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juga memiliki implikasi praktis dalam pembentukan kesadaran historis dan identitas komunitas iman.</w:t>
      </w:r>
    </w:p>
    <w:p w14:paraId="30A1250F" w14:textId="77777777" w:rsidR="00C241DB" w:rsidRDefault="00C241DB" w:rsidP="00C241DB">
      <w:pPr>
        <w:jc w:val="both"/>
        <w:rPr>
          <w:lang w:val="de-DE"/>
        </w:rPr>
      </w:pPr>
    </w:p>
    <w:p w14:paraId="546DA3A2" w14:textId="77777777" w:rsidR="00C241DB" w:rsidRDefault="00C241DB" w:rsidP="00C241DB">
      <w:pPr>
        <w:jc w:val="both"/>
        <w:rPr>
          <w:lang w:val="de-DE"/>
        </w:rPr>
      </w:pPr>
      <w:r w:rsidRPr="00C241DB">
        <w:rPr>
          <w:b/>
          <w:bCs/>
          <w:lang w:val="de-DE"/>
        </w:rPr>
        <w:t xml:space="preserve">Interpenetrasi Unsur Eskatologis Dalam Narasi Injil </w:t>
      </w:r>
    </w:p>
    <w:p w14:paraId="3B607A2C" w14:textId="77777777" w:rsidR="00C241DB" w:rsidRDefault="00C241DB" w:rsidP="00C241DB">
      <w:pPr>
        <w:ind w:firstLine="720"/>
        <w:jc w:val="both"/>
        <w:rPr>
          <w:lang w:val="de-DE"/>
        </w:rPr>
      </w:pPr>
      <w:r w:rsidRPr="00C241DB">
        <w:rPr>
          <w:lang w:val="de-DE"/>
        </w:rPr>
        <w:t>Narasi Injil dalam Perjanjian Baru tidak dapat dipahami sebagai rekonstruksi historis yang bersifat murni empiris. Struktur teks memperlihatkan adanya integrasi antara dimensi 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FootnoteReference"/>
        </w:rPr>
        <w:footnoteReference w:id="22"/>
      </w:r>
      <w:r w:rsidRPr="00C241DB">
        <w:rPr>
          <w:lang w:val="de-DE"/>
        </w:rPr>
        <w:t xml:space="preserve"> Dalam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keseluruhan peristiwa. Narasi historis tentang tindakan dan pengajaran Yesus memperoleh </w:t>
      </w:r>
      <w:r w:rsidRPr="00C241DB">
        <w:rPr>
          <w:lang w:val="de-DE"/>
        </w:rPr>
        <w:lastRenderedPageBreak/>
        <w:t>signifikansi yang lebih luas karena ditempatkan dalam horizon penggenapan eskatologis. Struktur ini menghasilkan bentuk narasi yang bersifat hibrid, di mana fakta empiris dan visi masa depan saling berinteraksi dalam membangun makna.</w:t>
      </w:r>
    </w:p>
    <w:p w14:paraId="09389F21" w14:textId="77777777" w:rsidR="00C241DB" w:rsidRDefault="00C241DB" w:rsidP="00C241DB">
      <w:pPr>
        <w:ind w:firstLine="720"/>
        <w:jc w:val="both"/>
        <w:rPr>
          <w:lang w:val="de-DE"/>
        </w:rPr>
      </w:pPr>
      <w:r w:rsidRPr="00C241DB">
        <w:rPr>
          <w:lang w:val="de-DE"/>
        </w:rPr>
        <w:t>Dalam Injil Yohanes, interpenetrasi antara historis dan eskatologis mencapai bentuk yang lebih reflektif melalui konsep eskatologi yang terinkarnasi. Pernyataan tentang hidup kekal tidak hanya merujuk pada kondisi masa depan, tetapi 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linear yang tertutup, tetapi dipahami sebagai ruang terbuka yang memungkinkan kehadiran masa depan dalam masa kini. Peristiwa-peristiwa historis memperoleh makna teologis karena ditempatkan dalam relasi dengan penggenapan eskatologis. Struktur ini menghasilkan paradigma temporal yang bersifat non-linear, di mana masa depan berfungsi sebagai prinsip interpretatif terhadap masa kini.</w:t>
      </w:r>
      <w:r>
        <w:rPr>
          <w:rStyle w:val="FootnoteReference"/>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C241DB">
      <w:pPr>
        <w:jc w:val="both"/>
        <w:rPr>
          <w:lang w:val="de-DE"/>
        </w:rPr>
      </w:pPr>
    </w:p>
    <w:p w14:paraId="71EC9E3B" w14:textId="77777777" w:rsidR="00C241DB" w:rsidRDefault="00C241DB" w:rsidP="00C241DB">
      <w:pPr>
        <w:jc w:val="both"/>
        <w:rPr>
          <w:lang w:val="de-DE"/>
        </w:rPr>
      </w:pPr>
      <w:r w:rsidRPr="00C241DB">
        <w:rPr>
          <w:b/>
          <w:bCs/>
          <w:lang w:val="de-DE"/>
        </w:rPr>
        <w:t>Fungsi Kritik Sosial Dalam Narasi Apokaliptik</w:t>
      </w:r>
    </w:p>
    <w:p w14:paraId="36F2FEE7" w14:textId="77777777" w:rsidR="00C241DB" w:rsidRDefault="00C241DB" w:rsidP="00C241DB">
      <w:pPr>
        <w:ind w:firstLine="720"/>
        <w:jc w:val="both"/>
        <w:rPr>
          <w:lang w:val="de-DE"/>
        </w:rPr>
      </w:pPr>
      <w:r w:rsidRPr="00C241DB">
        <w:rPr>
          <w:lang w:val="de-DE"/>
        </w:rPr>
        <w:t>Narasi apokaliptik dalam Kitab Wahyu memperlihatkan fungsi kritik sosial yang terstruktur melalui penggunaan simbolisme yang kompleks dan berlapis. Simbol-simbol yang hadir tidak sekadar berfungsi sebagai ekspresi teologis, tetapi sebagai representasi terhadap realitas sosial dan politik yang konkret. Struktur simbolik ini memungkinkan teks menyampaikan kritik terhadap kekuasaan dominan tanpa bergantung pada bahasa literal yang berisiko dalam konteks tekanan politik. Yang mana, narasi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FootnoteReference"/>
        </w:rPr>
        <w:footnoteReference w:id="24"/>
      </w:r>
      <w:r w:rsidRPr="00C241DB">
        <w:rPr>
          <w:vertAlign w:val="superscript"/>
          <w:lang w:val="de-DE"/>
        </w:rPr>
        <w:t>,</w:t>
      </w:r>
      <w:r>
        <w:rPr>
          <w:rStyle w:val="FootnoteReference"/>
        </w:rPr>
        <w:footnoteReference w:id="25"/>
      </w:r>
    </w:p>
    <w:p w14:paraId="5D966E19" w14:textId="77777777" w:rsidR="00C241DB" w:rsidRDefault="00C241DB" w:rsidP="00C241DB">
      <w:pPr>
        <w:ind w:firstLine="720"/>
        <w:jc w:val="both"/>
        <w:rPr>
          <w:lang w:val="de-DE"/>
        </w:rPr>
      </w:pPr>
      <w:r w:rsidRPr="00C241DB">
        <w:rPr>
          <w:lang w:val="de-DE"/>
        </w:rPr>
        <w:t xml:space="preserve">Narasi apokaliptik juga berfungsi sebagai bentuk resistensi ideologis terhadap hegemoni yang berusaha mengontrol kesadaran dan identitas komunitas. Dalam kondisi di mana kekuasaan tidak hanya bersifat politik tetapi juga simbolik, narasi apokaliptik menawarkan alternatif pemaknaan terhadap realitas. Struktur naratif yang menampilkan konflik antara kekuatan ilahi dan kekuatan destruktif menciptakan kerangka interpretatif </w:t>
      </w:r>
      <w:r w:rsidRPr="00C241DB">
        <w:rPr>
          <w:lang w:val="de-DE"/>
        </w:rPr>
        <w:lastRenderedPageBreak/>
        <w:t>yang menantang legitimasi kekuasaan dominan.</w:t>
      </w:r>
      <w:r>
        <w:rPr>
          <w:rStyle w:val="FootnoteReference"/>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08A4FCBD" w14:textId="77777777" w:rsidR="00C241DB" w:rsidRDefault="00C241DB" w:rsidP="00C241DB">
      <w:pPr>
        <w:ind w:firstLine="720"/>
        <w:jc w:val="both"/>
        <w:rPr>
          <w:lang w:val="de-DE"/>
        </w:rPr>
      </w:pPr>
      <w:r w:rsidRPr="00C241DB">
        <w:rPr>
          <w:lang w:val="de-DE"/>
        </w:rPr>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FootnoteReference"/>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FootnoteReference"/>
        </w:rPr>
        <w:footnoteReference w:id="28"/>
      </w:r>
      <w:r w:rsidRPr="00C241DB">
        <w:rPr>
          <w:lang w:val="de-DE"/>
        </w:rPr>
        <w:t xml:space="preserve"> Dengan demikian, narasi apokaliptik tidak hanya mengkritik, tetapi juga memberikan arah bagi perubahan yang diharapkan.</w:t>
      </w:r>
    </w:p>
    <w:p w14:paraId="198CA28E" w14:textId="77777777" w:rsidR="00C241DB" w:rsidRDefault="00C241DB" w:rsidP="00C241DB">
      <w:pPr>
        <w:ind w:firstLine="720"/>
        <w:jc w:val="both"/>
        <w:rPr>
          <w:lang w:val="de-DE"/>
        </w:rPr>
      </w:pPr>
      <w:r w:rsidRPr="00C241DB">
        <w:rPr>
          <w:lang w:val="de-DE"/>
        </w:rPr>
        <w:t>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bahasa deskriptif.</w:t>
      </w:r>
      <w:r>
        <w:rPr>
          <w:rStyle w:val="FootnoteReference"/>
        </w:rPr>
        <w:footnoteReference w:id="29"/>
      </w:r>
      <w:r w:rsidRPr="00C241DB">
        <w:rPr>
          <w:lang w:val="de-DE"/>
        </w:rPr>
        <w:t xml:space="preserve"> Dengan demikian, simbolisme menjadi sarana untuk menghubungkan pengalaman historis dengan interpretasi teologis yang lebih luas.</w:t>
      </w:r>
    </w:p>
    <w:p w14:paraId="32F89F6A" w14:textId="77777777" w:rsidR="00C241DB" w:rsidRDefault="00C241DB" w:rsidP="00C241DB">
      <w:pPr>
        <w:ind w:firstLine="720"/>
        <w:jc w:val="both"/>
        <w:rPr>
          <w:lang w:val="de-DE"/>
        </w:rPr>
      </w:pPr>
      <w:r w:rsidRPr="00C241DB">
        <w:rPr>
          <w:lang w:val="de-DE"/>
        </w:rPr>
        <w:t>Dalam perspektif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menyediakan kerangka interpretatif yang dapat digunakan untuk memahami relasi antara kekuasaan, ideologi, dan pengalaman komunitas sehingga, fungsi kritik sosial dalam Kitab Wahyu tidak hanya bersifat historis, tetapi juga hermeneutik, karena membuka ruang bagi reinterpretasi yang berkelanjutan.</w:t>
      </w:r>
      <w:r>
        <w:rPr>
          <w:rStyle w:val="FootnoteReference"/>
        </w:rPr>
        <w:footnoteReference w:id="30"/>
      </w:r>
      <w:r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w:t>
      </w:r>
      <w:r w:rsidRPr="00C241DB">
        <w:rPr>
          <w:lang w:val="de-DE"/>
        </w:rPr>
        <w:lastRenderedPageBreak/>
        <w:t>alternatif yang menantang struktur yang ada sekaligus menawarkan visi baru. Pendekatan ini menunjukkan bahwa apokaliptik berfungsi sebagai medium yang menghubungkan kritik dan harapan dalam satu kesatuan yang koheren.</w:t>
      </w:r>
      <w:r>
        <w:rPr>
          <w:rStyle w:val="FootnoteReference"/>
        </w:rPr>
        <w:footnoteReference w:id="31"/>
      </w:r>
      <w:r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C241DB">
      <w:pPr>
        <w:jc w:val="both"/>
        <w:rPr>
          <w:lang w:val="de-DE"/>
        </w:rPr>
      </w:pPr>
    </w:p>
    <w:p w14:paraId="38FD2057" w14:textId="77777777" w:rsidR="00C241DB" w:rsidRDefault="00C241DB" w:rsidP="00C241DB">
      <w:pPr>
        <w:jc w:val="both"/>
        <w:rPr>
          <w:lang w:val="de-DE"/>
        </w:rPr>
      </w:pPr>
      <w:r w:rsidRPr="00C241DB">
        <w:rPr>
          <w:b/>
          <w:bCs/>
          <w:lang w:val="de-DE"/>
        </w:rPr>
        <w:t>Implikasi Terhadap Historiografi Agama Kristen Dalam Narasi Apokaliptik</w:t>
      </w:r>
    </w:p>
    <w:p w14:paraId="60835D77" w14:textId="77777777" w:rsidR="00C241DB" w:rsidRDefault="00C241DB" w:rsidP="00C241DB">
      <w:pPr>
        <w:ind w:firstLine="720"/>
        <w:jc w:val="both"/>
        <w:rPr>
          <w:lang w:val="de-DE"/>
        </w:rPr>
      </w:pPr>
      <w:r w:rsidRPr="00C241DB">
        <w:rPr>
          <w:lang w:val="de-DE"/>
        </w:rPr>
        <w:t>Narasi apokaliptik dalam Perjanjian Baru menghasilkan implikasi signifikan bagi pengembangan historiografi agama Kristen. Ketegangan metodologis muncul antara pendekatan historiografi linear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3ADE9271" w14:textId="77777777" w:rsidR="00C241DB" w:rsidRDefault="00C241DB" w:rsidP="00C241DB">
      <w:pPr>
        <w:ind w:firstLine="720"/>
        <w:jc w:val="both"/>
        <w:rPr>
          <w:lang w:val="de-DE"/>
        </w:rPr>
      </w:pPr>
      <w:r w:rsidRPr="00C241DB">
        <w:rPr>
          <w:lang w:val="de-DE"/>
        </w:rPr>
        <w:t>Pendekatan historiografi linear berakar pada paradigma positivistik yang menempatkan fakta empiris sebagai dasar utama rekonstruksi sejarah. Dalam kerangka ini, 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tidak sepenuhnya mampu menangkap cara komunitas awal memahami realitas historis dalam relasi dengan pengharapan eskatologis.</w:t>
      </w:r>
    </w:p>
    <w:p w14:paraId="77284BF5" w14:textId="77777777" w:rsidR="00C241DB" w:rsidRDefault="00C241DB" w:rsidP="00C241DB">
      <w:pPr>
        <w:ind w:firstLine="720"/>
        <w:jc w:val="both"/>
        <w:rPr>
          <w:lang w:val="de-DE"/>
        </w:rPr>
      </w:pPr>
      <w:r w:rsidRPr="00C241DB">
        <w:rPr>
          <w:lang w:val="de-DE"/>
        </w:rPr>
        <w:t>Narasi apokaliptik menawarkan paradigma alternatif yang mengintegrasikan dimensi historis, simbolik, dan teologis dalam satu kerangka interpretatif. Apokaliptik tidak hanya menggambarkan peristiwa masa depan, tetapi juga memberikan kerangka untuk menafsirkan pengalaman historis. Dalam situasi krisis, narasi apokaliptik memungkinkan reinterpretasi terhadap penderitaan sebagai bagian dari proses menuju pemulihan. Dalam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184D7EBE" w14:textId="77777777" w:rsidR="00C241DB" w:rsidRDefault="00C241DB" w:rsidP="00C241DB">
      <w:pPr>
        <w:ind w:firstLine="720"/>
        <w:jc w:val="both"/>
        <w:rPr>
          <w:lang w:val="de-DE"/>
        </w:rPr>
      </w:pPr>
      <w:r w:rsidRPr="00C241DB">
        <w:rPr>
          <w:lang w:val="de-DE"/>
        </w:rPr>
        <w:t>Ketegangan antara historiografi linear dan imajinasi apokaliptik juga berkaitan dengan konsep waktu. Historiografi konvensional cenderung memahami waktu sebagai urutan kronologis yang linear, sedangkan narasi apokaliptik menghadirkan konsep waktu yang bersifat non-linear dan teleologis. Masa depan eskatologis tidak hanya diposisikan sebagai tahap akhir, tetapi 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576AFCA8" w14:textId="77777777" w:rsidR="00C241DB" w:rsidRDefault="00C241DB" w:rsidP="00C241DB">
      <w:pPr>
        <w:ind w:firstLine="720"/>
        <w:jc w:val="both"/>
        <w:rPr>
          <w:lang w:val="de-DE"/>
        </w:rPr>
      </w:pPr>
      <w:r w:rsidRPr="00C241DB">
        <w:rPr>
          <w:lang w:val="de-DE"/>
        </w:rPr>
        <w:t xml:space="preserve">Implikasi lain berkaitan dengan metode interpretasi teks. Historiografi konvensional sering menggunakan pendekatan reduksionistik yang berusaha memisahkan antara fakta </w:t>
      </w:r>
      <w:r w:rsidRPr="00C241DB">
        <w:rPr>
          <w:lang w:val="de-DE"/>
        </w:rPr>
        <w:lastRenderedPageBreak/>
        <w:t>historis dan elemen teologis. Pendekatan ini mengasumsikan bahwa makna teologis dapat diabaikan tanpa memengaruhi pemahaman terhadap sejarah. Narasi apokaliptik 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013F1257" w14:textId="77777777" w:rsidR="00C241DB" w:rsidRDefault="00C241DB" w:rsidP="00C241DB">
      <w:pPr>
        <w:ind w:firstLine="720"/>
        <w:jc w:val="both"/>
        <w:rPr>
          <w:lang w:val="de-DE"/>
        </w:rPr>
      </w:pPr>
      <w:r w:rsidRPr="00C241DB">
        <w:rPr>
          <w:lang w:val="de-DE"/>
        </w:rPr>
        <w:t>Kebutuhan akan pendekatan historiografi integratif mengarah pada pengembangan model analisis yang menggabungkan dimensi naratif, simbolik, dan teologis. Pendekatan ini tidak menolak pentingnya verifikasi empiris, tetapi memperluas kerangka analisis dengan 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6BAF45E1" w:rsidR="00C30472" w:rsidRDefault="00C241DB" w:rsidP="00C241DB">
      <w:pPr>
        <w:ind w:firstLine="720"/>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C241DB">
      <w:pPr>
        <w:ind w:firstLine="720"/>
        <w:jc w:val="both"/>
        <w:rPr>
          <w:lang w:val="de-DE"/>
        </w:rPr>
      </w:pPr>
    </w:p>
    <w:p w14:paraId="1B7C2636" w14:textId="77777777" w:rsidR="00C30472" w:rsidRPr="00C241DB" w:rsidRDefault="00000000">
      <w:pPr>
        <w:tabs>
          <w:tab w:val="left" w:pos="284"/>
        </w:tabs>
        <w:jc w:val="both"/>
        <w:rPr>
          <w:b/>
          <w:lang w:val="de-DE"/>
        </w:rPr>
      </w:pPr>
      <w:r w:rsidRPr="00C241DB">
        <w:rPr>
          <w:b/>
          <w:lang w:val="de-DE"/>
        </w:rPr>
        <w:t>KESIMPULAN</w:t>
      </w:r>
    </w:p>
    <w:p w14:paraId="513A6BA7" w14:textId="5D62EB69" w:rsidR="00C241DB" w:rsidRPr="00C241DB" w:rsidRDefault="00000000" w:rsidP="00C241DB">
      <w:pPr>
        <w:tabs>
          <w:tab w:val="left" w:pos="284"/>
        </w:tabs>
        <w:jc w:val="both"/>
        <w:rPr>
          <w:lang w:val="de-DE"/>
        </w:rPr>
      </w:pPr>
      <w:r w:rsidRPr="00C241DB">
        <w:rPr>
          <w:lang w:val="de-DE"/>
        </w:rPr>
        <w:tab/>
      </w:r>
      <w:r w:rsidRPr="00C241DB">
        <w:rPr>
          <w:lang w:val="de-DE"/>
        </w:rPr>
        <w:tab/>
      </w:r>
      <w:r w:rsidR="00C241DB" w:rsidRPr="00C241DB">
        <w:rPr>
          <w:lang w:val="de-DE"/>
        </w:rPr>
        <w:t>Kajian terhadap dialektika narasi apokaliptik dalam Perjanjian Baru menunjukkan bahwa teks-teks tersebut tidak memadai jika direduksi dalam kerangka historiografi linear, karena mengandung konfigurasi relasional antara dimensi historis dan eskatologis yang membentuk konstruksi temporal non-linear dan teleologis, di mana horizon masa depan 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04D2B532" w14:textId="77777777" w:rsidR="00C241DB" w:rsidRPr="00C241DB" w:rsidRDefault="00C241DB">
      <w:pPr>
        <w:tabs>
          <w:tab w:val="left" w:pos="284"/>
        </w:tabs>
        <w:jc w:val="both"/>
        <w:rPr>
          <w:lang w:val="de-DE"/>
        </w:rPr>
        <w:sectPr w:rsidR="00C241DB" w:rsidRPr="00C241DB">
          <w:headerReference w:type="even" r:id="rId10"/>
          <w:footerReference w:type="even" r:id="rId11"/>
          <w:footerReference w:type="default" r:id="rId12"/>
          <w:headerReference w:type="first" r:id="rId13"/>
          <w:footerReference w:type="first" r:id="rId14"/>
          <w:type w:val="continuous"/>
          <w:pgSz w:w="11906" w:h="16838"/>
          <w:pgMar w:top="1418" w:right="1418" w:bottom="1418" w:left="1701" w:header="708" w:footer="708" w:gutter="0"/>
          <w:cols w:space="720"/>
        </w:sectPr>
      </w:pPr>
    </w:p>
    <w:p w14:paraId="227DEEE5" w14:textId="77777777" w:rsidR="00C30472" w:rsidRPr="00C241DB" w:rsidRDefault="00C30472">
      <w:pPr>
        <w:rPr>
          <w:b/>
          <w:lang w:val="de-DE"/>
        </w:rPr>
      </w:pPr>
    </w:p>
    <w:p w14:paraId="544295B7" w14:textId="77777777" w:rsidR="00C30472" w:rsidRDefault="00000000">
      <w:pPr>
        <w:rPr>
          <w:b/>
        </w:rPr>
      </w:pPr>
      <w:r>
        <w:rPr>
          <w:b/>
        </w:rPr>
        <w:t xml:space="preserve">DAFTAR PUSTAKA </w:t>
      </w:r>
    </w:p>
    <w:p w14:paraId="2B57BCA6" w14:textId="546EEE42" w:rsidR="00C241DB" w:rsidRPr="00C241DB" w:rsidRDefault="00C241DB" w:rsidP="00C241DB">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Pr="00C241DB">
        <w:rPr>
          <w:noProof/>
        </w:rPr>
        <w:t xml:space="preserve">Ahearne-Kroll, Stephen P.. </w:t>
      </w:r>
      <w:r w:rsidRPr="00C241DB">
        <w:rPr>
          <w:i/>
          <w:iCs/>
          <w:noProof/>
        </w:rPr>
        <w:t>The Oxford Handbook of the Synoptic Gospels</w:t>
      </w:r>
      <w:r w:rsidRPr="00C241DB">
        <w:rPr>
          <w:noProof/>
        </w:rPr>
        <w:t>. Oxford : Oxford University Press, 2023.</w:t>
      </w:r>
    </w:p>
    <w:p w14:paraId="5FECF309"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Haq, Mochamad Ziaul, Ignasius Bambang Sugiharto, and Yohanes Slamet Purwadi. “Narasi Kiamat Dan Kebuntuan Kapitalisme: Refleksi Kritis Atas Kajian Apokaliptik Mark Fisher.” </w:t>
      </w:r>
      <w:r w:rsidRPr="00C241DB">
        <w:rPr>
          <w:i/>
          <w:iCs/>
          <w:noProof/>
        </w:rPr>
        <w:t>TEMALI : Jurnal Pembangunan Sosial</w:t>
      </w:r>
      <w:r w:rsidRPr="00C241DB">
        <w:rPr>
          <w:noProof/>
        </w:rPr>
        <w:t xml:space="preserve"> 7, no. 2 (August 5, 2024): 152–65. https://doi.org/10.15575/JT.V7I2.37676.</w:t>
      </w:r>
    </w:p>
    <w:p w14:paraId="63579BF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Nancy Patty, Febby. “Kritik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Preiser-Kapeller, Johannes. “Global Apocalypse at the Turn of the First Millennium AD? </w:t>
      </w:r>
      <w:r w:rsidRPr="00C241DB">
        <w:rPr>
          <w:noProof/>
        </w:rPr>
        <w:lastRenderedPageBreak/>
        <w:t xml:space="preserve">Climate Fluctuations, Astronomic Phenomena and Socio-Political Turbulences in 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https://doi.org/10.15699/JBL.1342.2015.2916.</w:t>
      </w:r>
    </w:p>
    <w:p w14:paraId="35682860"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Segovia, Fernando F. “The Significance of Social Location in Reading John’s Story.” </w:t>
      </w:r>
      <w:r w:rsidRPr="00C241DB">
        <w:rPr>
          <w:i/>
          <w:iCs/>
          <w:noProof/>
        </w:rPr>
        <w:t>Interpretation</w:t>
      </w:r>
      <w:r w:rsidRPr="00C241DB">
        <w:rPr>
          <w:noProof/>
        </w:rPr>
        <w:t xml:space="preserve"> 49, no. 4 (October 1995): 370–78. https://doi.org/10.1177/002096439504900405.</w:t>
      </w:r>
    </w:p>
    <w:p w14:paraId="6A9EF9F3"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Toews, John E., and Friedemann Regner. “‘Paulus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C241DB">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934E3" w14:textId="77777777" w:rsidR="001D0EBD" w:rsidRDefault="001D0EBD">
      <w:r>
        <w:separator/>
      </w:r>
    </w:p>
  </w:endnote>
  <w:endnote w:type="continuationSeparator" w:id="0">
    <w:p w14:paraId="4BD0B14A" w14:textId="77777777" w:rsidR="001D0EBD" w:rsidRDefault="001D0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600AE89-45E6-4A79-9CB1-BB2E27DBB21B}"/>
    <w:embedBold r:id="rId2" w:fontKey="{0A98FA00-66BA-490E-96DC-BE8ECC75F023}"/>
  </w:font>
  <w:font w:name="Calibri">
    <w:panose1 w:val="020F0502020204030204"/>
    <w:charset w:val="00"/>
    <w:family w:val="swiss"/>
    <w:pitch w:val="variable"/>
    <w:sig w:usb0="E4002EFF" w:usb1="C200247B" w:usb2="00000009" w:usb3="00000000" w:csb0="000001FF" w:csb1="00000000"/>
    <w:embedRegular r:id="rId3" w:fontKey="{8A6DAF68-0C2D-423C-AB7D-5F645DD531C8}"/>
    <w:embedBold r:id="rId4" w:fontKey="{1E290095-375C-4823-B113-C0F1FEFE5322}"/>
    <w:embedItalic r:id="rId5" w:fontKey="{E3635C4F-86A5-452C-AC33-98DFCEAC21AA}"/>
  </w:font>
  <w:font w:name="Calisto MT">
    <w:panose1 w:val="02040603050505030304"/>
    <w:charset w:val="00"/>
    <w:family w:val="roman"/>
    <w:pitch w:val="variable"/>
    <w:sig w:usb0="00000003" w:usb1="00000000" w:usb2="00000000" w:usb3="00000000" w:csb0="00000001" w:csb1="00000000"/>
    <w:embedRegular r:id="rId6" w:fontKey="{D7B02BB4-41C6-4D6A-85EE-8E7388466576}"/>
    <w:embedBold r:id="rId7" w:fontKey="{CA01381F-C358-4A57-81A7-90E60FB8A91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FF9D929B-8D8E-481D-BFB5-6B891D359955}"/>
    <w:embedItalic r:id="rId9" w:fontKey="{94B02D74-3B32-42FC-B73E-D7E3A0129E9F}"/>
  </w:font>
  <w:font w:name="Lustria">
    <w:altName w:val="Cambria"/>
    <w:charset w:val="00"/>
    <w:family w:val="auto"/>
    <w:pitch w:val="default"/>
    <w:embedRegular r:id="rId10" w:fontKey="{5FEA32E4-8D86-4AC0-BA6B-1EC6300A2028}"/>
    <w:embedBold r:id="rId11" w:fontKey="{0A942236-D4D3-4AF7-BC87-C46C65DA5A54}"/>
    <w:embedItalic r:id="rId12" w:fontKey="{E5627B62-E9A7-44E7-9CDD-A2DE8C08E9D5}"/>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3" w:fontKey="{33686BB5-EAE3-4CDC-A640-E265BCCE753E}"/>
  </w:font>
  <w:font w:name="Cambria">
    <w:panose1 w:val="02040503050406030204"/>
    <w:charset w:val="00"/>
    <w:family w:val="roman"/>
    <w:pitch w:val="variable"/>
    <w:sig w:usb0="E00006FF" w:usb1="420024FF" w:usb2="02000000" w:usb3="00000000" w:csb0="0000019F" w:csb1="00000000"/>
    <w:embedRegular r:id="rId14" w:fontKey="{1706829A-6F6E-43B6-B5F5-BE0C278D29BA}"/>
    <w:embedBoldItalic r:id="rId15" w:fontKey="{782D1AE1-B3B0-4DAF-BFC0-90E82300CAC8}"/>
  </w:font>
  <w:font w:name="Corben">
    <w:charset w:val="00"/>
    <w:family w:val="auto"/>
    <w:pitch w:val="default"/>
    <w:embedRegular r:id="rId16" w:fontKey="{5DBA2DF6-86E1-41C1-9BB1-220CFB03F699}"/>
  </w:font>
  <w:font w:name="Verdana">
    <w:panose1 w:val="020B0604030504040204"/>
    <w:charset w:val="00"/>
    <w:family w:val="swiss"/>
    <w:pitch w:val="variable"/>
    <w:sig w:usb0="A00006FF" w:usb1="4000205B" w:usb2="00000010" w:usb3="00000000" w:csb0="0000019F" w:csb1="00000000"/>
    <w:embedRegular r:id="rId17" w:fontKey="{BDED9753-148E-46B0-A6A2-674B034AB9B3}"/>
    <w:embedBold r:id="rId18" w:fontKey="{F09B0FC2-D276-49DB-9C42-6C0D3B4086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EB93B" w14:textId="77777777" w:rsidR="001D0EBD" w:rsidRDefault="001D0EBD">
      <w:r>
        <w:separator/>
      </w:r>
    </w:p>
  </w:footnote>
  <w:footnote w:type="continuationSeparator" w:id="0">
    <w:p w14:paraId="3CE329B8" w14:textId="77777777" w:rsidR="001D0EBD" w:rsidRDefault="001D0EBD">
      <w:r>
        <w:continuationSeparator/>
      </w:r>
    </w:p>
  </w:footnote>
  <w:footnote w:id="1">
    <w:p w14:paraId="021A59D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C3EA1"/>
    <w:rsid w:val="001D0EBD"/>
    <w:rsid w:val="00273E5A"/>
    <w:rsid w:val="00353E95"/>
    <w:rsid w:val="003A4350"/>
    <w:rsid w:val="009F4195"/>
    <w:rsid w:val="00AE35FD"/>
    <w:rsid w:val="00B66877"/>
    <w:rsid w:val="00C241DB"/>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C241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6349</Words>
  <Characters>36194</Characters>
  <Application>Microsoft Office Word</Application>
  <DocSecurity>0</DocSecurity>
  <Lines>301</Lines>
  <Paragraphs>84</Paragraphs>
  <ScaleCrop>false</ScaleCrop>
  <Company/>
  <LinksUpToDate>false</LinksUpToDate>
  <CharactersWithSpaces>42459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23</cp:revision>
  <dcterms:created xsi:type="dcterms:W3CDTF">2023-02-22T06:25:00Z</dcterms:created>
  <dcterms:modified xsi:type="dcterms:W3CDTF">2026-05-04T10:39:00Z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