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000000">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06EF0630" w14:textId="3CCB007D" w:rsidR="00C241DB" w:rsidRPr="00C241DB" w:rsidRDefault="00C241DB" w:rsidP="00C241DB">
            <w:pPr>
              <w:pBdr>
                <w:top w:val="nil"/>
                <w:left w:val="nil"/>
                <w:bottom w:val="nil"/>
                <w:right w:val="nil"/>
                <w:between w:val="nil"/>
              </w:pBdr>
              <w:spacing w:after="360" w:line="276" w:lineRule="auto"/>
              <w:jc w:val="center"/>
              <w:rPr>
                <w:rFonts w:eastAsia="Times New Roman"/>
                <w:b/>
                <w:color w:val="000000"/>
                <w:sz w:val="32"/>
                <w:szCs w:val="32"/>
              </w:rPr>
            </w:pPr>
            <w:r w:rsidRPr="00C241DB">
              <w:rPr>
                <w:b/>
                <w:bCs/>
                <w:sz w:val="32"/>
                <w:szCs w:val="32"/>
              </w:rPr>
              <w:t>Dialektika Kitab Apokaliptik Dalam Narasi Perjanjian Baru Dan Implikasinya Terhadap Relasi Sejarah Agama Kristen</w:t>
            </w:r>
          </w:p>
          <w:p w14:paraId="6E0D6691" w14:textId="6925BC79" w:rsidR="00C30472" w:rsidRPr="00C241DB" w:rsidRDefault="00C241DB" w:rsidP="00C241DB">
            <w:pPr>
              <w:jc w:val="center"/>
              <w:rPr>
                <w:b/>
                <w:bCs/>
                <w:sz w:val="22"/>
                <w:szCs w:val="22"/>
              </w:rPr>
            </w:pPr>
            <w:r w:rsidRPr="00EC40A5">
              <w:rPr>
                <w:b/>
                <w:bCs/>
                <w:sz w:val="22"/>
                <w:szCs w:val="22"/>
              </w:rPr>
              <w:t xml:space="preserve"> </w:t>
            </w: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C241DB"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C241DB">
              <w:rPr>
                <w:rFonts w:ascii="Lustria" w:eastAsia="Lustria" w:hAnsi="Lustria" w:cs="Lustria"/>
                <w:b/>
                <w:color w:val="000000"/>
                <w:sz w:val="36"/>
                <w:szCs w:val="36"/>
                <w:vertAlign w:val="subscript"/>
                <w:lang w:val="de-DE"/>
              </w:rPr>
              <w:t>INFO ARTIKEL</w:t>
            </w:r>
          </w:p>
          <w:p w14:paraId="3ECEF272" w14:textId="03122D4B" w:rsidR="00C30472" w:rsidRPr="00C241DB"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C241DB">
              <w:rPr>
                <w:rFonts w:ascii="Lustria" w:eastAsia="Lustria" w:hAnsi="Lustria" w:cs="Lustria"/>
                <w:color w:val="000000"/>
                <w:sz w:val="20"/>
                <w:szCs w:val="20"/>
                <w:lang w:val="de-DE"/>
              </w:rPr>
              <w:t>____________________</w:t>
            </w:r>
          </w:p>
          <w:p w14:paraId="2437E1B9" w14:textId="77777777"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i/>
                <w:color w:val="000000"/>
                <w:sz w:val="36"/>
                <w:szCs w:val="36"/>
                <w:vertAlign w:val="subscript"/>
                <w:lang w:val="de-DE"/>
              </w:rPr>
              <w:t>Sejarah Artikel:</w:t>
            </w:r>
          </w:p>
          <w:p w14:paraId="0EDB35AD" w14:textId="440B6432"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color w:val="000000"/>
                <w:sz w:val="36"/>
                <w:szCs w:val="36"/>
                <w:vertAlign w:val="subscript"/>
                <w:lang w:val="de-DE"/>
              </w:rPr>
              <w:t xml:space="preserve">Diterima: </w:t>
            </w:r>
            <w:r w:rsidR="00273E5A" w:rsidRPr="00C241DB">
              <w:rPr>
                <w:rFonts w:eastAsia="Times New Roman"/>
                <w:color w:val="000000"/>
                <w:sz w:val="36"/>
                <w:szCs w:val="36"/>
                <w:vertAlign w:val="subscript"/>
                <w:lang w:val="de-DE"/>
              </w:rPr>
              <w:t>00/11/</w:t>
            </w:r>
            <w:r w:rsidRPr="00C241DB">
              <w:rPr>
                <w:rFonts w:eastAsia="Times New Roman"/>
                <w:color w:val="000000"/>
                <w:sz w:val="36"/>
                <w:szCs w:val="36"/>
                <w:vertAlign w:val="subscript"/>
                <w:lang w:val="de-DE"/>
              </w:rPr>
              <w:t>202</w:t>
            </w:r>
            <w:r w:rsidR="00273E5A" w:rsidRPr="00C241DB">
              <w:rPr>
                <w:rFonts w:eastAsia="Times New Roman"/>
                <w:color w:val="000000"/>
                <w:sz w:val="36"/>
                <w:szCs w:val="36"/>
                <w:vertAlign w:val="subscript"/>
                <w:lang w:val="de-DE"/>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551449" w:rsidRDefault="00000000">
            <w:pPr>
              <w:pBdr>
                <w:top w:val="nil"/>
                <w:left w:val="nil"/>
                <w:bottom w:val="nil"/>
                <w:right w:val="nil"/>
                <w:between w:val="nil"/>
              </w:pBdr>
              <w:spacing w:line="276" w:lineRule="auto"/>
              <w:rPr>
                <w:rFonts w:ascii="Lustria" w:eastAsia="Lustria" w:hAnsi="Lustria" w:cs="Lustria"/>
                <w:color w:val="000000"/>
              </w:rPr>
            </w:pPr>
            <w:r w:rsidRPr="00551449">
              <w:rPr>
                <w:rFonts w:ascii="Lustria" w:eastAsia="Lustria" w:hAnsi="Lustria" w:cs="Lustria"/>
                <w:b/>
                <w:color w:val="000000"/>
                <w:sz w:val="36"/>
                <w:szCs w:val="36"/>
                <w:vertAlign w:val="subscript"/>
              </w:rPr>
              <w:t>ABSTRAK</w:t>
            </w:r>
          </w:p>
          <w:p w14:paraId="3A146C76" w14:textId="03D80F34" w:rsidR="003A4350" w:rsidRPr="00C241DB" w:rsidRDefault="00000000">
            <w:pPr>
              <w:pBdr>
                <w:top w:val="nil"/>
                <w:left w:val="nil"/>
                <w:bottom w:val="nil"/>
                <w:right w:val="nil"/>
                <w:between w:val="nil"/>
              </w:pBdr>
              <w:jc w:val="both"/>
              <w:rPr>
                <w:rFonts w:eastAsia="Times New Roman"/>
                <w:color w:val="000000"/>
                <w:sz w:val="22"/>
                <w:szCs w:val="22"/>
                <w:lang w:val="de-DE"/>
              </w:rPr>
            </w:pPr>
            <w:r w:rsidRPr="00551449">
              <w:rPr>
                <w:rFonts w:ascii="Lustria" w:eastAsia="Lustria" w:hAnsi="Lustria" w:cs="Lustria"/>
                <w:color w:val="000000"/>
                <w:sz w:val="20"/>
                <w:szCs w:val="20"/>
              </w:rPr>
              <w:t>_____________________________________________________________</w:t>
            </w:r>
            <w:r w:rsidR="00C241DB" w:rsidRPr="00551449">
              <w:rPr>
                <w:sz w:val="22"/>
                <w:szCs w:val="22"/>
              </w:rPr>
              <w:t xml:space="preserve">Penelitian ini mengkaji dialektika narasi apokaliptik dalam Perjanjian Baru serta implikasinya terhadap rekonstruksi historiografi agama Kristen. Narasi apokaliptik tidak dipahami sebagai wacana eskatologis yang terpisah, tetapi sebagai kerangka interpretatif yang berinteraksi dengan narasi historis. </w:t>
            </w:r>
            <w:r w:rsidR="00C241DB" w:rsidRPr="000B162E">
              <w:rPr>
                <w:sz w:val="22"/>
                <w:szCs w:val="22"/>
                <w:lang w:val="de-DE"/>
              </w:rPr>
              <w:t>Analisis menunjukkan adanya struktur dialektika antara dimensi historis dan eskatologis yang membentuk paradigma waktu non-linear dan teleologis. Interpenetrasi unsur eskatologis dalam Injil menghadirkan eskatologi yang bersifat eksistensial dan aktual. Simbolisme dalam Kitab Wahyu berfungsi sebagai kritik sosial terhadap hegemoni sekaligus membuka kemungkinan transformasi historis. Perspektif apokaliptik mengonstruksi sejarah sebagai proses yang diarahkan pada pemulihan kosmik. Temuan ini mengindikasikan perlunya pendekatan historiografi integratif yang mengakomodasi dimensi naratif, simbolik, dan teologis dalam memahami sejarah agama Kristen.</w:t>
            </w:r>
          </w:p>
          <w:p w14:paraId="1D3E9357" w14:textId="77777777" w:rsidR="00C30472" w:rsidRPr="00C241DB" w:rsidRDefault="00000000">
            <w:pPr>
              <w:pBdr>
                <w:top w:val="nil"/>
                <w:left w:val="nil"/>
                <w:bottom w:val="nil"/>
                <w:right w:val="nil"/>
                <w:between w:val="nil"/>
              </w:pBdr>
              <w:spacing w:line="276" w:lineRule="auto"/>
              <w:jc w:val="both"/>
              <w:rPr>
                <w:rFonts w:eastAsia="Times New Roman"/>
                <w:color w:val="000000"/>
                <w:sz w:val="22"/>
                <w:szCs w:val="22"/>
                <w:lang w:val="de-DE"/>
              </w:rPr>
            </w:pPr>
            <w:r w:rsidRPr="00C241DB">
              <w:rPr>
                <w:rFonts w:eastAsia="Times New Roman"/>
                <w:color w:val="000000"/>
                <w:sz w:val="22"/>
                <w:szCs w:val="22"/>
                <w:lang w:val="de-DE"/>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lang w:val="de-DE"/>
              </w:rPr>
            </w:pPr>
            <w:r w:rsidRPr="00C241DB">
              <w:rPr>
                <w:rFonts w:eastAsia="Times New Roman"/>
                <w:b/>
                <w:i/>
                <w:color w:val="000000"/>
                <w:sz w:val="22"/>
                <w:szCs w:val="22"/>
                <w:lang w:val="de-DE"/>
              </w:rPr>
              <w:t>Kata Kunci:</w:t>
            </w:r>
          </w:p>
          <w:p w14:paraId="1E7E6481" w14:textId="7D93BED0" w:rsidR="00C30472" w:rsidRPr="00C241DB" w:rsidRDefault="00C241DB" w:rsidP="00C241DB">
            <w:pPr>
              <w:jc w:val="both"/>
              <w:rPr>
                <w:sz w:val="22"/>
                <w:szCs w:val="22"/>
                <w:lang w:val="de-DE"/>
              </w:rPr>
            </w:pPr>
            <w:r w:rsidRPr="00C241DB">
              <w:rPr>
                <w:sz w:val="22"/>
                <w:szCs w:val="22"/>
                <w:lang w:val="de-DE"/>
              </w:rPr>
              <w:t xml:space="preserve">Narasi Apokaliptik, Historiografi </w:t>
            </w:r>
            <w:r w:rsidRPr="000B162E">
              <w:rPr>
                <w:sz w:val="22"/>
                <w:szCs w:val="22"/>
                <w:lang w:val="de-DE"/>
              </w:rPr>
              <w:t>Kristen</w:t>
            </w:r>
            <w:r w:rsidRPr="00C241DB">
              <w:rPr>
                <w:sz w:val="22"/>
                <w:szCs w:val="22"/>
                <w:lang w:val="de-DE"/>
              </w:rPr>
              <w:t>, Eskatologi, Simbolisme, Teleologi Sejarah.</w:t>
            </w: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4D2772B1" w:rsidR="003A4350" w:rsidRDefault="00C241DB" w:rsidP="00C241DB">
            <w:pPr>
              <w:pBdr>
                <w:top w:val="nil"/>
                <w:left w:val="nil"/>
                <w:bottom w:val="nil"/>
                <w:right w:val="nil"/>
                <w:between w:val="nil"/>
              </w:pBdr>
              <w:jc w:val="both"/>
              <w:rPr>
                <w:rFonts w:eastAsia="Times New Roman"/>
                <w:i/>
                <w:color w:val="000000"/>
                <w:sz w:val="22"/>
                <w:szCs w:val="22"/>
              </w:rPr>
            </w:pPr>
            <w:r w:rsidRPr="000B162E">
              <w:rPr>
                <w:i/>
                <w:iCs/>
                <w:sz w:val="22"/>
                <w:szCs w:val="22"/>
              </w:rPr>
              <w:t xml:space="preserve">This study examines the dialectic of apocalyptic narratives in the New Testament and its implications for reconstructing Christian historiography. Apocalyptic narrative is not treated as an isolated eschatological discourse, but as an interpretive framework that interacts with historical narrative. The analysis identifies a dialectical structure between historical and eschatological dimensions that shapes a non-linear and teleological understanding of time. The interpenetration of eschatological elements in the Gospels presents an eschatology that is existential and actual. Symbolism in the Book of Revelation functions as social critique against hegemonic power while opening possibilities for historical transformation. The apocalyptic perspective constructs history as a process directed toward cosmic restoration. These findings indicate the need for an integrative </w:t>
            </w:r>
            <w:r w:rsidRPr="000B162E">
              <w:rPr>
                <w:i/>
                <w:iCs/>
                <w:sz w:val="22"/>
                <w:szCs w:val="22"/>
              </w:rPr>
              <w:lastRenderedPageBreak/>
              <w:t>historiographical approach that accommodates narrative, symbolic, and theological dimensions in understanding Christian history.</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232CD83A" w14:textId="6890500E" w:rsidR="00C30472" w:rsidRPr="00C241DB" w:rsidRDefault="00C241DB" w:rsidP="00C241DB">
            <w:pPr>
              <w:pBdr>
                <w:top w:val="nil"/>
                <w:left w:val="nil"/>
                <w:bottom w:val="nil"/>
                <w:right w:val="nil"/>
                <w:between w:val="nil"/>
              </w:pBdr>
              <w:rPr>
                <w:rFonts w:eastAsia="Times New Roman"/>
                <w:b/>
                <w:i/>
                <w:color w:val="000000"/>
                <w:sz w:val="22"/>
                <w:szCs w:val="22"/>
              </w:rPr>
            </w:pPr>
            <w:r w:rsidRPr="00FF08C4">
              <w:rPr>
                <w:i/>
                <w:iCs/>
                <w:sz w:val="22"/>
                <w:szCs w:val="22"/>
              </w:rPr>
              <w:t xml:space="preserve">Apocalyptic Narrative, </w:t>
            </w:r>
            <w:r w:rsidRPr="000B162E">
              <w:rPr>
                <w:i/>
                <w:iCs/>
                <w:sz w:val="22"/>
                <w:szCs w:val="22"/>
              </w:rPr>
              <w:t xml:space="preserve">Christian </w:t>
            </w:r>
            <w:r w:rsidRPr="00FF08C4">
              <w:rPr>
                <w:i/>
                <w:iCs/>
                <w:sz w:val="22"/>
                <w:szCs w:val="22"/>
              </w:rPr>
              <w:t>Historiography, Eschatology, Symbolism, Teleological History.</w:t>
            </w:r>
          </w:p>
        </w:tc>
      </w:tr>
    </w:tbl>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100AA81D"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489C5AC8" w14:textId="77777777" w:rsidR="00C241DB" w:rsidRPr="00551449" w:rsidRDefault="00C241DB" w:rsidP="00C241DB">
      <w:pPr>
        <w:ind w:firstLine="720"/>
        <w:jc w:val="both"/>
      </w:pPr>
      <w:r w:rsidRPr="00C241DB">
        <w:t xml:space="preserve">Kajian mengenai tradisi apokaliptik dalam Perjanjian Baru telah berkembang secara signifikan dalam literatur teologi biblika kontemporer. </w:t>
      </w:r>
      <w:r w:rsidRPr="00551449">
        <w:t xml:space="preserve">Sejumlah penelitian menunjukkan bahwa apokaliptik tidak dapat diposisikan sebagai elemen marginal, melainkan sebagai salah satu fondasi konseptual yang membentuk struktur teologis Kekristenan awal. Penelitian Davies membahas hubungan antara apokaliptik dan </w:t>
      </w:r>
      <w:r w:rsidRPr="00551449">
        <w:rPr>
          <w:i/>
          <w:iCs/>
        </w:rPr>
        <w:t>salvation history</w:t>
      </w:r>
      <w:r w:rsidRPr="00551449">
        <w:t xml:space="preserve"> dalam teologi Paulus menunjukkan bahwa apokaliptik tidak berdiri sebagai kategori yang terpisah dari sejarah, melainkan terintegrasi secara inheren dalam kerangka sejarah keselamatan menolak dikotomi antara dimensi eskatologis dan historis, serta memperlihatkan bahwa masa depan eskatologis menjadi kunci hermeneutik dalam memahami peristiwa sejarah.</w:t>
      </w:r>
      <w:r>
        <w:rPr>
          <w:rStyle w:val="FootnoteReference"/>
        </w:rPr>
        <w:footnoteReference w:id="1"/>
      </w:r>
      <w:r w:rsidRPr="00551449">
        <w:t xml:space="preserve"> Shively mengkaji apokaliptik sebagai diskursus sosial dalam Injil Markus, memperluas pemahaman apokaliptik dari sekadar konstruksi teologis menjadi instrumen pembentukan identitas komunitas Kristen awal. Dalam situasi marginalisasi dan tekanan politik, narasi apokaliptik berfungsi sebagai medium simbolik yang memungkinkan komunitas untuk mereinterpretasi realitas historis dalam kerangka kosmik.</w:t>
      </w:r>
      <w:r>
        <w:rPr>
          <w:rStyle w:val="FootnoteReference"/>
        </w:rPr>
        <w:footnoteReference w:id="2"/>
      </w:r>
      <w:r w:rsidRPr="00551449">
        <w:t xml:space="preserve"> Dulk menganalisis simbolisme dalam Kitab Wahyu, khususnya Wahyu 11:1–2 memberikan bukti empiris bahwa simbol-simbol apokaliptik tidak bersifat ahistoris, melainkan memiliki referensi konkret terhadap peristiwa sejarah tertentu. Kontribusi utama dari penelitian ini terletak pada kemampuannya menunjukkan hubungan erat antara simbolisme apokaliptik dan konteks sejarah, sehingga memperkuat argumen bahwa terdapat interaksi dialektis antara teks dan realitas historis.</w:t>
      </w:r>
      <w:r>
        <w:rPr>
          <w:rStyle w:val="FootnoteReference"/>
        </w:rPr>
        <w:footnoteReference w:id="3"/>
      </w:r>
      <w:r w:rsidRPr="00551449">
        <w:t xml:space="preserve"> Dengan demikian, narasi apokaliptik tidak hanya berfungsi sebagai representasi simbolik, tetapi juga sebagai interpretasi teologis terhadap realitas historis.</w:t>
      </w:r>
    </w:p>
    <w:p w14:paraId="28ACD547" w14:textId="77777777" w:rsidR="00C241DB" w:rsidRDefault="00C241DB" w:rsidP="00C241DB">
      <w:pPr>
        <w:ind w:firstLine="720"/>
        <w:jc w:val="both"/>
        <w:rPr>
          <w:lang w:val="de-DE"/>
        </w:rPr>
      </w:pPr>
      <w:r w:rsidRPr="00551449">
        <w:t xml:space="preserve">Berbagai penelitian tersebut telah memberikan kontribusi yang signifikan, namun terdapat kesenjangan yang cukup jelas pada fokus analisis tekstual, historis, atau teologis secara terpisah, tanpa mengembangkan kerangka dialektis yang mampu mengintegrasikan berbagai dimensi tersebut. </w:t>
      </w:r>
      <w:r w:rsidRPr="00C241DB">
        <w:rPr>
          <w:lang w:val="de-DE"/>
        </w:rPr>
        <w:t>Pendekatan historis-kritis sering kali menempatkan apokaliptik sebagai refleksi krisis komunitas, sementara pendekatan teologis normatif cenderung mengabaikan konteks historis dan simbolik. Fragmentasi ini menghasilkan pemahaman yang parsial terhadap relasi antara narasi apokaliptik dan konstruksi sejarah agama Kristen. Keterbatasan lain terlihat pada kurangnya eksplorasi terhadap hubungan dialektis antara narasi apokaliptik dan narasi historis dalam Perjanjian Baru. Meskipun beberapa penelitian telah mengidentifikasi adanya integrasi antara kedua bentuk narasi tersebut, belum terdapat model konseptual yang secara sistematis menjelaskan bagaimana dialektika ini bekerja dalam membentuk pemahaman tentang sejarah.</w:t>
      </w:r>
    </w:p>
    <w:p w14:paraId="63CDB555" w14:textId="77777777" w:rsidR="00C241DB" w:rsidRDefault="00C241DB" w:rsidP="00C241DB">
      <w:pPr>
        <w:ind w:firstLine="720"/>
        <w:jc w:val="both"/>
        <w:rPr>
          <w:lang w:val="de-DE"/>
        </w:rPr>
      </w:pPr>
      <w:r w:rsidRPr="00C241DB">
        <w:rPr>
          <w:lang w:val="de-DE"/>
        </w:rPr>
        <w:lastRenderedPageBreak/>
        <w:t xml:space="preserve">Dalam konteks Perjanjian Baru, kajian mengenai tradisi apokaliptik menghadirkan persoalan metodologis dan konseptual yang semakin kompleks ketika ditempatkan dalam relasi dengan narasi historis serta konstruksi sejarah agama Kristen. Wenkel dalam </w:t>
      </w:r>
      <w:r w:rsidRPr="00C241DB">
        <w:rPr>
          <w:i/>
          <w:iCs/>
          <w:lang w:val="de-DE"/>
        </w:rPr>
        <w:t>The Expository Times</w:t>
      </w:r>
      <w:r w:rsidRPr="00C241DB">
        <w:rPr>
          <w:lang w:val="de-DE"/>
        </w:rPr>
        <w:t xml:space="preserve"> menunjukkan bahwa Injil Matius mengandung struktur apokaliptik yang terintegrasi dengan narasi biografis tentang Yesus.</w:t>
      </w:r>
      <w:r>
        <w:rPr>
          <w:rStyle w:val="FootnoteReference"/>
        </w:rPr>
        <w:footnoteReference w:id="4"/>
      </w:r>
      <w:r w:rsidRPr="00C241DB">
        <w:rPr>
          <w:lang w:val="de-DE"/>
        </w:rPr>
        <w:t xml:space="preserve"> Malina menginterpretasikan Markus 13 sebagai bentuk diskursus eskatologis yang tidak sepenuhnya apokaliptik, melainkan sebagai </w:t>
      </w:r>
      <w:r w:rsidRPr="00C241DB">
        <w:rPr>
          <w:i/>
          <w:iCs/>
          <w:lang w:val="de-DE"/>
        </w:rPr>
        <w:t>final discourse</w:t>
      </w:r>
      <w:r w:rsidRPr="00C241DB">
        <w:rPr>
          <w:lang w:val="de-DE"/>
        </w:rPr>
        <w:t xml:space="preserve"> yang menggabungkan dimensi historis dan eskatologis. Hal ini menunjukkan bahwa narasi Injil tidak dapat direduksi sebagai teks historis semata, melainkan mengandung horizon eskatologis yang membentuk cara pandang terhadap realitas.</w:t>
      </w:r>
      <w:r>
        <w:rPr>
          <w:rStyle w:val="FootnoteReference"/>
        </w:rPr>
        <w:footnoteReference w:id="5"/>
      </w:r>
      <w:r w:rsidRPr="00C241DB">
        <w:rPr>
          <w:lang w:val="de-DE"/>
        </w:rPr>
        <w:t xml:space="preserve"> Kemudian kitab Wahyu sering diposisikan sebagai teks simbolik-eskatologis yang berdiri di luar arus utama narasi Injil, sementara teks-teks seperti Injil Matius, Injil Markus, Injil Lukas, dan Injil Yohanes diperlakukan sebagai sumber utama rekonstruksi sejarah kehidupan Yesus dan perkembangan komunitas Kristen awal. Pemisahan ini menghasilkan reduksi epistemologis yang mengabaikan interaksi internal antar genre dalam Perjanjian Baru.</w:t>
      </w:r>
      <w:r>
        <w:rPr>
          <w:rStyle w:val="FootnoteReference"/>
        </w:rPr>
        <w:footnoteReference w:id="6"/>
      </w:r>
    </w:p>
    <w:p w14:paraId="320AD5B7" w14:textId="77777777" w:rsidR="00C241DB" w:rsidRDefault="00C241DB" w:rsidP="00C241DB">
      <w:pPr>
        <w:ind w:firstLine="720"/>
        <w:jc w:val="both"/>
        <w:rPr>
          <w:lang w:val="de-DE"/>
        </w:rPr>
      </w:pPr>
      <w:r w:rsidRPr="00C241DB">
        <w:rPr>
          <w:lang w:val="de-DE"/>
        </w:rPr>
        <w:t>Permasalahan menjadi lebih spesifik ketika narasi apokaliptik hanya dipahami sebagai proyeksi masa depan yang bersifat transenden tanpa keterkaitan dengan realitas historis. Pendekatan semacam ini cenderung mengabaikan fakta bahwa simbol-simbol apokaliptik dalam Kitab Wahyu memiliki referensi terhadap kondisi sosial-politik konkret, seperti tekanan kekuasaan imperium dan pengalaman marginalisasi komunitas Kristen awal. Di sisi lain, pendekatan historis-kritis yang dominan dalam studi Injil sering membatasi analisis pada dimensi empiris, sehingga unsur eskatologis yang hadir dalam diskursus tentang kerajaan Allah dan akhir zaman tidak memperoleh perhatian yang proporsional. Ketidakseimbangan ini menimbulkan kesenjangan dalam memahami bagaimana teks-teks Perjanjian Baru secara kolektif membentuk kerangka interpretasi terhadap sejarah. Kesenjangan tersebut semakin tampak dalam pembacaan terhadap struktur waktu dalam Perjanjian Baru. Narasi historis biasanya ditempatkan dalam kerangka kronologis linear, sementara narasi apokaliptik dipahami dalam horizon waktu eskatologis yang terputus dari sejarah. Pendekatan ini gagal menjelaskan bagaimana konsep waktu dalam Perjanjian Baru sebenarnya bersifat dinamis dan dialektis, di mana masa depan eskatologis berfungsi sebagai prinsip interpretatif terhadap realitas masa kini. Ketegangan antara dimensi sudah dan belum menunjukkan adanya relasi timbal balik antara waktu historis dan waktu eskatologis yang tidak dapat direduksi menjadi salah satu saja.</w:t>
      </w:r>
    </w:p>
    <w:p w14:paraId="10C3D802" w14:textId="77777777" w:rsidR="00C241DB" w:rsidRDefault="00C241DB" w:rsidP="00C241DB">
      <w:pPr>
        <w:ind w:firstLine="720"/>
        <w:jc w:val="both"/>
        <w:rPr>
          <w:lang w:val="de-DE"/>
        </w:rPr>
      </w:pPr>
      <w:r w:rsidRPr="00C241DB">
        <w:rPr>
          <w:lang w:val="de-DE"/>
        </w:rPr>
        <w:t xml:space="preserve">Dalam ranah historiografi agama Kristen, persoalan ini berdampak pada kecenderungan penulisan sejarah yang bersifat linear, kronologis, dan berfokus pada perkembangan institusional. Dimensi naratif dan simbolik yang terkandung dalam teks apokaliptik tidak terintegrasi secara memadai dalam rekonstruksi sejarah. Padahal, komunitas Kristen awal tidak hanya memahami pengalaman jemaat melalui peristiwa empiris, tetapi juga melalui imajinasi eskatologis yang memberikan makna terhadap penderitaan, harapan, dan identitas kolektif. Ketika dimensi ini diabaikan, historiografi agama Kristen kehilangan kedalaman interpretatif yang diperlukan untuk memahami dinamika internal tradisi tersebut. Rollins mengemukakan bahwa apokaliptik merupakan ibu teologi Kristen awal, yang menandakan bahwa konstruksi iman Kristen tidak dapat dilepaskan dari kerangka eskatologis dan simbolik yang berkembang dalam tradisi Yahudi </w:t>
      </w:r>
      <w:r w:rsidRPr="00C241DB">
        <w:rPr>
          <w:lang w:val="de-DE"/>
        </w:rPr>
        <w:lastRenderedPageBreak/>
        <w:t>periode Bait Kedua.</w:t>
      </w:r>
      <w:r>
        <w:rPr>
          <w:rStyle w:val="FootnoteReference"/>
        </w:rPr>
        <w:footnoteReference w:id="7"/>
      </w:r>
      <w:r w:rsidRPr="00C241DB">
        <w:rPr>
          <w:lang w:val="de-DE"/>
        </w:rPr>
        <w:t xml:space="preserve"> Argumen ini diperkuat oleh pemikiran Käsemann sebagaimana di kutip </w:t>
      </w:r>
      <w:r w:rsidRPr="00C241DB">
        <w:rPr>
          <w:noProof/>
          <w:lang w:val="de-DE"/>
        </w:rPr>
        <w:t>Siggelkow</w:t>
      </w:r>
      <w:r w:rsidRPr="00C241DB">
        <w:rPr>
          <w:lang w:val="de-DE"/>
        </w:rPr>
        <w:t xml:space="preserve"> menyatakan bahwa apokaliptik menjadi inti dari teologi Perjanjian Baru, khususnya dalam memahami relasi antara sejarah keselamatan dan intervensi ilahi.</w:t>
      </w:r>
      <w:r>
        <w:rPr>
          <w:rStyle w:val="FootnoteReference"/>
        </w:rPr>
        <w:footnoteReference w:id="8"/>
      </w:r>
      <w:r w:rsidRPr="00C241DB">
        <w:rPr>
          <w:lang w:val="de-DE"/>
        </w:rPr>
        <w:t xml:space="preserve"> Reynolds menegaskan bahwa definisi apokaliptik tidak cukup hanya bertumpu pada dimensi eskatologis, tetapi juga harus mempertimbangkan bentuk literer dan struktur spasial teks. Pendekatan ini memperluas cakupan analisis dengan memasukkan aspek naratif dan simbolik sebagai bagian integral dari konstruksi makna.</w:t>
      </w:r>
      <w:r>
        <w:rPr>
          <w:rStyle w:val="FootnoteReference"/>
        </w:rPr>
        <w:footnoteReference w:id="9"/>
      </w:r>
      <w:r w:rsidRPr="00C241DB">
        <w:rPr>
          <w:lang w:val="de-DE"/>
        </w:rPr>
        <w:t xml:space="preserve"> Dengan demikian, apokaliptik tidak hanya dipahami sebagai prediksi akhir zaman, tetapi sebagai sistem representasi realitas yang kompleks dan multidimensional.</w:t>
      </w:r>
    </w:p>
    <w:p w14:paraId="45821505" w14:textId="382F4F4A" w:rsidR="00C241DB" w:rsidRPr="00C241DB" w:rsidRDefault="00C241DB" w:rsidP="00C241DB">
      <w:pPr>
        <w:ind w:firstLine="720"/>
        <w:jc w:val="both"/>
        <w:rPr>
          <w:lang w:val="de-DE"/>
        </w:rPr>
      </w:pPr>
      <w:r w:rsidRPr="00C241DB">
        <w:rPr>
          <w:lang w:val="de-DE"/>
        </w:rPr>
        <w:t>Berdasarkan permasalahan tersebut, kebutuhan akan pendekatan dialektis menjadi semakin jelas. Pendekatan ini memungkinkan analisis terhadap hubungan timbal balik antara narasi apokaliptik dan narasi historis, baik dalam dimensi teologis, simbolik, maupun historis. Melalui kerangka dialektis, teks apokaliptik tidak lagi diposisikan sebagai entitas yang terpisah, tetapi sebagai bagian integral dari narasi Perjanjian Baru yang berkontribusi dalam membentuk pemahaman tentang sejarah. Pendekatan ini juga membuka ruang untuk merekonstruksi historiografi agama Kristen dengan mengintegrasikan dimensi eskatologis sebagai bagian dari proses historis. Dengan demikian, latar belakang masalah penelitian ini secara spesifik berfokus pada tiga persoalan utama, yaitu: ketidakjelasan relasi antara narasi apokaliptik dan narasi historis dalam Perjanjian Baru, keterbatasan dalam memahami fungsi simbol apokaliptik sebagai representasi realitas sejarah, serta ketiadaan model historiografi yang mampu mengintegrasikan dimensi eskatologis dalam rekonstruksi sejarah agama Kristen. Penelitian ini diarahkan untuk mengatasi ketiga persoalan tersebut melalui pengembangan kerangka analisis dialektis yang sistematis dan komprehensif.</w:t>
      </w:r>
    </w:p>
    <w:p w14:paraId="04ACBE85" w14:textId="77777777" w:rsidR="00C241DB" w:rsidRDefault="00C241DB">
      <w:pPr>
        <w:tabs>
          <w:tab w:val="left" w:pos="284"/>
        </w:tabs>
        <w:jc w:val="both"/>
        <w:rPr>
          <w:lang w:val="de-DE"/>
        </w:rPr>
      </w:pPr>
    </w:p>
    <w:p w14:paraId="179730E0" w14:textId="44EAF458" w:rsidR="00C30472" w:rsidRPr="00C241DB" w:rsidRDefault="00000000">
      <w:pPr>
        <w:tabs>
          <w:tab w:val="left" w:pos="284"/>
        </w:tabs>
        <w:jc w:val="both"/>
        <w:rPr>
          <w:b/>
          <w:lang w:val="de-DE"/>
        </w:rPr>
      </w:pPr>
      <w:r w:rsidRPr="00C241DB">
        <w:rPr>
          <w:b/>
          <w:lang w:val="de-DE"/>
        </w:rPr>
        <w:t>METODE PENELITIAN</w:t>
      </w:r>
    </w:p>
    <w:p w14:paraId="137D7B74" w14:textId="2CF117EB" w:rsidR="00C241DB" w:rsidRPr="00551449" w:rsidRDefault="00C241DB" w:rsidP="00C241DB">
      <w:pPr>
        <w:ind w:firstLine="720"/>
        <w:jc w:val="both"/>
        <w:rPr>
          <w:lang w:val="de-DE"/>
        </w:rPr>
      </w:pPr>
      <w:r w:rsidRPr="00C241DB">
        <w:rPr>
          <w:lang w:val="de-DE"/>
        </w:rPr>
        <w:t xml:space="preserve">Penelitian ini menggunakan pendekatan kualitatif dengan desain studi kepustakaan yang berfokus pada analisis teks dalam Perjanjian Baru. </w:t>
      </w:r>
      <w:r w:rsidRPr="00551449">
        <w:rPr>
          <w:lang w:val="de-DE"/>
        </w:rPr>
        <w:t xml:space="preserve">Sumber data utama meliputi teks kanonik, khususnya Kitab Wahyu sebagai representasi apokaliptik eksplisit dan Injil Sinoptik sebagai bentuk apokaliptik implisit. </w:t>
      </w:r>
      <w:r w:rsidRPr="00C241DB">
        <w:rPr>
          <w:lang w:val="de-DE"/>
        </w:rPr>
        <w:t>Data sekunder berupa artikel jurnal bereputasi dan literatur teologi biblika yang relevan. Analisis dilakukan dengan pendekatan hermeneutik dialektis yang mengintegrasikan metode historis-kritis, analisis naratif, dan intertekstual. Metode historis-kritis digunakan untuk memahami konteks sosial-historis teks, analisis naratif untuk mengkaji struktur dan simbol, serta intertekstual untuk menelusuri relasi antar teks. Prosedur penelitian mencakup identifikasi teks apokaliptik, klasifikasi tipologis (eksplisit, implisit, transformatif), analisis dialektika antara narasi apokaliptik dan historis, serta sintesis konseptual. Keabsahan data dijaga melalui triangulasi sumber dan teori. Pendekatan ini memungkinkan pemahaman komprehensif mengenai relasi antara simbol, sejarah, dan makna teologis dalam Perjanjian Baru.</w:t>
      </w:r>
    </w:p>
    <w:p w14:paraId="4A289F8B" w14:textId="77777777" w:rsidR="00C241DB" w:rsidRPr="00C241DB" w:rsidRDefault="00C241DB" w:rsidP="00C241DB">
      <w:pPr>
        <w:ind w:firstLine="720"/>
        <w:jc w:val="both"/>
        <w:rPr>
          <w:b/>
          <w:lang w:val="de-DE"/>
        </w:rPr>
      </w:pPr>
    </w:p>
    <w:p w14:paraId="6C4811C0" w14:textId="77777777" w:rsidR="00C30472" w:rsidRPr="00C241DB" w:rsidRDefault="00C30472">
      <w:pPr>
        <w:jc w:val="both"/>
        <w:rPr>
          <w:b/>
          <w:lang w:val="de-DE"/>
        </w:rPr>
      </w:pPr>
    </w:p>
    <w:p w14:paraId="23DDDC07" w14:textId="77777777" w:rsidR="00C30472" w:rsidRDefault="00000000">
      <w:pPr>
        <w:jc w:val="both"/>
        <w:rPr>
          <w:b/>
        </w:rPr>
      </w:pPr>
      <w:r>
        <w:rPr>
          <w:b/>
        </w:rPr>
        <w:t>HASIL DAN PEMBAHASAN</w:t>
      </w:r>
    </w:p>
    <w:p w14:paraId="5AD2B2DA" w14:textId="77777777" w:rsidR="00C241DB" w:rsidRDefault="00C241DB" w:rsidP="00C241DB">
      <w:pPr>
        <w:jc w:val="both"/>
      </w:pPr>
      <w:r w:rsidRPr="00821ACE">
        <w:rPr>
          <w:b/>
          <w:bCs/>
        </w:rPr>
        <w:t>Tipologi Narasi Apokaliptik Dalam Perjanjian Baru</w:t>
      </w:r>
    </w:p>
    <w:p w14:paraId="07E04C51" w14:textId="77777777" w:rsidR="00C241DB" w:rsidRDefault="00C241DB" w:rsidP="00C241DB">
      <w:pPr>
        <w:ind w:firstLine="720"/>
        <w:jc w:val="both"/>
      </w:pPr>
      <w:r w:rsidRPr="00EB0366">
        <w:lastRenderedPageBreak/>
        <w:t>Narasi apokaliptik dalam Perjanjian Baru memperlihatkan keragaman bentuk yang tidak dapat direduksi menjadi satu struktur tunggal. Tradisi ini berkembang dalam konteks historis dan teologis yang dinamis, sehingga menghasilkan variasi ekspresi yang mencerminkan perbedaan fungsi, tujuan, dan strategi komunikasi teks. Analisis terhadap korpus Perjanjian Baru menunjukkan bahwa narasi apokaliptik hadir dalam spektrum intensitas yang luas, mulai dari bentuk eksplisit yang bersifat visioner hingga bentuk implisit yang terintegrasi dalam narasi historis.</w:t>
      </w:r>
      <w:r>
        <w:rPr>
          <w:rStyle w:val="FootnoteReference"/>
        </w:rPr>
        <w:footnoteReference w:id="10"/>
      </w:r>
      <w:r>
        <w:t xml:space="preserve"> </w:t>
      </w:r>
      <w:r w:rsidRPr="00EB0366">
        <w:t>Berdasarkan karakteristik tersebut, konstruksi tipologi menjadi penting untuk memahami pola-pola utama dalam perkembangan tradisi apokaliptik. Tipologi yang dihasilkan mencakup tiga kategori utama, yaitu apokaliptik eksplisit, apokaliptik implisit, dan apokaliptik transformatif.</w:t>
      </w:r>
    </w:p>
    <w:p w14:paraId="7A1B0960" w14:textId="77777777" w:rsidR="00C241DB" w:rsidRDefault="00C241DB" w:rsidP="00C241DB">
      <w:pPr>
        <w:ind w:firstLine="720"/>
        <w:jc w:val="both"/>
      </w:pPr>
      <w:r>
        <w:t xml:space="preserve">Pertama </w:t>
      </w:r>
      <w:r w:rsidRPr="00EB0366">
        <w:t>Apokaliptik eksplisit menemukan ekspresi paling jelas dalam Kitab Wahyu yang menyajikan struktur naratif berbasis visi simbolik dan representasi kosmik. Teks ini dibangun melalui penggunaan simbol yang kompleks, seperti Anak Domba, Binatang, dan Yerusalem Baru, yang membentuk sistem makna yang bersifat multilapis.</w:t>
      </w:r>
      <w:r>
        <w:rPr>
          <w:rStyle w:val="FootnoteReference"/>
        </w:rPr>
        <w:footnoteReference w:id="11"/>
      </w:r>
      <w:r w:rsidRPr="00EB0366">
        <w:t xml:space="preserve"> Bahasa simbolik tersebut berfungsi sebagai medium untuk mengartikulasikan realitas yang melampaui kapasitas bahasa literal. </w:t>
      </w:r>
      <w:r w:rsidRPr="00C241DB">
        <w:rPr>
          <w:lang w:val="de-DE"/>
        </w:rPr>
        <w:t>Struktur dualistik antara kekuatan ilahi dan kekuatan destruktif menjadi kerangka utama dalam memahami dinamika narasi. Realitas historis direpresentasikan melalui simbol-simbol yang mengandung dimensi kritik terhadap struktur kekuasaan dan kondisi sosial tertentu. Dalam kerangka ini, sejarah dipahami sebagai arena konflik kosmik yang bergerak menuju penggenapan eskatologis. Pendekatan ini menunjukkan bahwa apokaliptik eksplisit tidak hanya berorientasi pada masa depan, tetapi juga berfungsi sebagai interpretasi terhadap pengalaman historis komunitas Kristen awal.</w:t>
      </w:r>
      <w:r>
        <w:rPr>
          <w:rStyle w:val="FootnoteReference"/>
        </w:rPr>
        <w:footnoteReference w:id="12"/>
      </w:r>
    </w:p>
    <w:p w14:paraId="77BA3E38" w14:textId="77777777" w:rsidR="00C241DB" w:rsidRDefault="00C241DB" w:rsidP="00C241DB">
      <w:pPr>
        <w:ind w:firstLine="720"/>
        <w:jc w:val="both"/>
      </w:pPr>
      <w:r w:rsidRPr="00C241DB">
        <w:t xml:space="preserve">Kedua Apokaliptik implisit hadir dalam narasi Injil, khususnya dalam tradisi Sinoptik seperti Injil Matius, Injil Markus, dan Injil Lukas. </w:t>
      </w:r>
      <w:r w:rsidRPr="00C241DB">
        <w:rPr>
          <w:lang w:val="de-DE"/>
        </w:rPr>
        <w:t>Berbeda dengan Kitab Wahyu yang menggunakan visi simbolik, unsur apokaliptik dalam Injil muncul melalui diskursus tentang kerajaan Allah, penghakiman, dan akhir zaman. Struktur naratif Injil tetap berakar pada representasi kehidupan dan pelayanan Yesus dalam ruang dan waktu yang konkret, namun mengandung horizon eskatologis yang membentuk pemahaman terhadap realitas tersebut.</w:t>
      </w:r>
      <w:r>
        <w:rPr>
          <w:rStyle w:val="FootnoteReference"/>
        </w:rPr>
        <w:footnoteReference w:id="13"/>
      </w:r>
      <w:r w:rsidRPr="00C241DB">
        <w:rPr>
          <w:lang w:val="de-DE"/>
        </w:rPr>
        <w:t xml:space="preserve"> Diskursus eskatologis dalam Markus 13 dan Matius 24 menunjukkan bahwa narasi historis tidak terlepas dari dimensi apokaliptik. Integrasi ini menghasilkan bentuk narasi yang bersifat hibrid, di mana dimensi empiris dan eskatologis saling berinteraksi. Apokaliptik implisit berfungsi sebagai kerangka interpretatif yang menghubungkan pengalaman historis dengan harapan eskatologis, sehingga menghasilkan pemahaman yang lebih kompleks terhadap realitas.</w:t>
      </w:r>
      <w:r>
        <w:rPr>
          <w:rStyle w:val="FootnoteReference"/>
        </w:rPr>
        <w:footnoteReference w:id="14"/>
      </w:r>
    </w:p>
    <w:p w14:paraId="72D68735" w14:textId="77777777" w:rsidR="00C241DB" w:rsidRDefault="00C241DB" w:rsidP="00C241DB">
      <w:pPr>
        <w:ind w:firstLine="720"/>
        <w:jc w:val="both"/>
      </w:pPr>
      <w:r w:rsidRPr="00C241DB">
        <w:t xml:space="preserve">Ketiga Apokaliptik transformatif muncul dalam surat-surat apostolik, terutama dalam teologi Paulus, di mana tradisi apokaliptik mengalami pergeseran dari bentuk naratif menuju refleksi teologis. </w:t>
      </w:r>
      <w:r w:rsidRPr="00C241DB">
        <w:rPr>
          <w:lang w:val="de-DE"/>
        </w:rPr>
        <w:t xml:space="preserve">Apokaliptik tidak lagi disajikan dalam bentuk visi simbolik atau diskursus eksplisit, tetapi hadir sebagai kerangka konseptual yang membentuk pemahaman tentang keselamatan dan identitas komunitas. Konsep seperti ciptaan baru, hidup dalam Kristus, dan penggenapan waktu mencerminkan internalisasi paradigma apokaliptik ke </w:t>
      </w:r>
      <w:r w:rsidRPr="00C241DB">
        <w:rPr>
          <w:lang w:val="de-DE"/>
        </w:rPr>
        <w:lastRenderedPageBreak/>
        <w:t>dalam kehidupan iman.</w:t>
      </w:r>
      <w:r>
        <w:rPr>
          <w:rStyle w:val="FootnoteReference"/>
        </w:rPr>
        <w:footnoteReference w:id="15"/>
      </w:r>
      <w:r w:rsidRPr="00C241DB">
        <w:rPr>
          <w:lang w:val="de-DE"/>
        </w:rPr>
        <w:t xml:space="preserve"> Struktur waktu dalam kerangka ini tidak hanya bersifat futuristik, tetapi juga eksistensial, di mana realitas eskatologis dipahami sebagai sesuatu yang telah hadir dalam pengalaman komunitas. Transformasi ini menunjukkan bahwa apokaliptik tidak berhenti pada level representasi simbolik, tetapi berkembang menjadi prinsip teologis yang mengarahkan praksis dan identitas komunitas Kristen awal.</w:t>
      </w:r>
      <w:r>
        <w:rPr>
          <w:rStyle w:val="FootnoteReference"/>
        </w:rPr>
        <w:footnoteReference w:id="16"/>
      </w:r>
    </w:p>
    <w:p w14:paraId="42C0F9F4" w14:textId="77777777" w:rsidR="00C241DB" w:rsidRDefault="00C241DB" w:rsidP="00C241DB">
      <w:pPr>
        <w:ind w:firstLine="720"/>
        <w:jc w:val="both"/>
        <w:rPr>
          <w:lang w:val="de-DE"/>
        </w:rPr>
      </w:pPr>
      <w:r w:rsidRPr="00C241DB">
        <w:t xml:space="preserve">Konstruksi tipologi tersebut menunjukkan bahwa narasi apokaliptik dalam Perjanjian Baru memiliki fungsi yang lebih luas daripada sekadar prediksi eskatologis. </w:t>
      </w:r>
      <w:r w:rsidRPr="00C241DB">
        <w:rPr>
          <w:lang w:val="de-DE"/>
        </w:rPr>
        <w:t>Apokaliptik berperan sebagai kerangka interpretatif yang memungkinkan pembacaan terhadap realitas historis dalam perspektif teologis. Dalam bentuk eksplisit, apokaliptik menghadirkan kritik simbolik terhadap struktur kekuasaan dan kondisi sosial. Dalam bentuk implisit, apokaliptik mengintegrasikan horizon eskatologis ke dalam narasi historis. Dalam bentuk transformatif, apokaliptik menjadi dasar refleksi teologis yang membentuk identitas komunitas. Ketiga bentuk ini menunjukkan adanya kontinuitas sekaligus transformasi dalam perkembangan tradisi apokaliptik. Tipologi tersebut juga mengindikasikan bahwa apokaliptik dalam Perjanjian Baru berfungsi sebagai mekanisme interpretasi yang dinamis terhadap sejarah. Narasi apokaliptik tidak hanya menggambarkan masa depan, tetapi juga memberikan makna terhadap pengalaman masa kini dan masa lalu.</w:t>
      </w:r>
      <w:r>
        <w:rPr>
          <w:rStyle w:val="FootnoteReference"/>
        </w:rPr>
        <w:footnoteReference w:id="17"/>
      </w:r>
      <w:r w:rsidRPr="00C241DB">
        <w:rPr>
          <w:lang w:val="de-DE"/>
        </w:rPr>
        <w:t xml:space="preserve"> Dengan demikian, apokaliptik dapat dipahami sebagai kerangka hermeneutik yang menghubungkan dimensi simbolik, historis, dan teologis dalam satu kesatuan yang koheren membuka kemungkinan untuk memahami Perjanjian Baru sebagai konstruksi naratif yang kompleks, di mana berbagai genre berinteraksi dalam membentuk makna yang lebih luas.</w:t>
      </w:r>
    </w:p>
    <w:p w14:paraId="7BB9B13F" w14:textId="77777777" w:rsidR="00C241DB" w:rsidRDefault="00C241DB" w:rsidP="00C241DB">
      <w:pPr>
        <w:jc w:val="both"/>
        <w:rPr>
          <w:lang w:val="de-DE"/>
        </w:rPr>
      </w:pPr>
    </w:p>
    <w:p w14:paraId="2E06CDD1" w14:textId="77777777" w:rsidR="00C241DB" w:rsidRDefault="00C241DB" w:rsidP="00C241DB">
      <w:pPr>
        <w:jc w:val="both"/>
        <w:rPr>
          <w:lang w:val="de-DE"/>
        </w:rPr>
      </w:pPr>
      <w:r w:rsidRPr="00C241DB">
        <w:rPr>
          <w:b/>
          <w:bCs/>
          <w:lang w:val="de-DE"/>
        </w:rPr>
        <w:t>Struktur Dialektika Antara Narasi Apokaliptik Dan Historis Dalam Perjanjian Baru</w:t>
      </w:r>
    </w:p>
    <w:p w14:paraId="2FA366F3" w14:textId="77777777" w:rsidR="00C241DB" w:rsidRDefault="00C241DB" w:rsidP="00C241DB">
      <w:pPr>
        <w:ind w:firstLine="720"/>
        <w:jc w:val="both"/>
        <w:rPr>
          <w:lang w:val="de-DE"/>
        </w:rPr>
      </w:pPr>
      <w:r w:rsidRPr="00C241DB">
        <w:rPr>
          <w:lang w:val="de-DE"/>
        </w:rPr>
        <w:t>Narasi apokaliptik dalam Perjanjian Baru dibangun di atas struktur dialektika yang mempertemukan dua horizon realitas, yaitu historis dan eskatologis. Struktur ini tidak sekadar menghadirkan dua dimensi yang berdiri berdampingan, tetapi membentuk relasi dinamis yang menghasilkan konstruksi makna teologis yang kompleks.</w:t>
      </w:r>
      <w:r>
        <w:rPr>
          <w:rStyle w:val="FootnoteReference"/>
        </w:rPr>
        <w:footnoteReference w:id="18"/>
      </w:r>
      <w:r w:rsidRPr="00C241DB">
        <w:rPr>
          <w:lang w:val="de-DE"/>
        </w:rPr>
        <w:t xml:space="preserve"> Dalam Kitab Wahyu, ketegangan antara penderitaan komunitas dan janji kemenangan ilahi disajikan dalam bentuk narasi simbolik yang bergerak menuju resolusi eskatologis. Penderitaan tidak diposisikan sebagai kondisi final, melainkan sebagai bagian dari proses menuju pemulihan kosmik. Narasi ini menunjukkan bahwa realitas historis yang penuh tekanan tidak berdiri sebagai fakta yang otonom, tetapi berada dalam kerangka teleologis yang mengarah pada intervensi ilahi.</w:t>
      </w:r>
      <w:r>
        <w:rPr>
          <w:rStyle w:val="FootnoteReference"/>
        </w:rPr>
        <w:footnoteReference w:id="19"/>
      </w:r>
    </w:p>
    <w:p w14:paraId="23B7C04E" w14:textId="77777777" w:rsidR="00C241DB" w:rsidRDefault="00C241DB" w:rsidP="00C241DB">
      <w:pPr>
        <w:ind w:firstLine="720"/>
        <w:jc w:val="both"/>
        <w:rPr>
          <w:lang w:val="de-DE"/>
        </w:rPr>
      </w:pPr>
      <w:r w:rsidRPr="00C241DB">
        <w:rPr>
          <w:lang w:val="de-DE"/>
        </w:rPr>
        <w:t xml:space="preserve">Struktur dialektika dalam Kitab Wahyu memperlihatkan pola relasi antara konflik dan penggenapan. Simbol-simbol seperti Binatang dan Babel merepresentasikan kekuatan destruktif yang beroperasi dalam sejarah, sementara Anak Domba dan Yerusalem Baru menggambarkan realitas pemulihan yang bersifat eskatologis. Ketegangan antara kedua kutub ini tidak menghasilkan kontradiksi statis, tetapi membentuk proses transformasi makna yang bergerak menuju sintesis. Dalam kerangka ini, narasi apokaliptik berfungsi sebagai mekanisme konseptual yang memungkinkan komunitas iman menafsirkan krisis </w:t>
      </w:r>
      <w:r w:rsidRPr="00C241DB">
        <w:rPr>
          <w:lang w:val="de-DE"/>
        </w:rPr>
        <w:lastRenderedPageBreak/>
        <w:t>sebagai bagian dari rencana ilahi yang lebih luas. Pendekatan ini menunjukkan bahwa apokaliptik memiliki dimensi filosofis yang melampaui fungsi deskriptif simbolik, karena mengonstruksi relasi antara sejarah dan tujuan akhir secara sistematis.</w:t>
      </w:r>
      <w:r>
        <w:rPr>
          <w:rStyle w:val="FootnoteReference"/>
        </w:rPr>
        <w:footnoteReference w:id="20"/>
      </w:r>
      <w:r w:rsidRPr="00C241DB">
        <w:rPr>
          <w:lang w:val="de-DE"/>
        </w:rPr>
        <w:t xml:space="preserve"> Relasi dialektis antara narasi apokaliptik dan narasi historis juga dapat diidentifikasi dalam Injil, khususnya dalam Injil Matius dan Injil Lukas. Narasi historis dalam Injil mengakar pada peristiwa empiris yang berkaitan dengan kehidupan dan pelayanan Yesus dalam ruang dan waktu tertentu. Namun, narasi tersebut tidak terlepas dari dimensi eskatologis yang mengarahkan pembacaan terhadap peristiwa tersebut. Diskursus mengenai kerajaan Allah, penghakiman, dan akhir zaman menunjukkan bahwa realitas historis selalu ditempatkan dalam horizon transenden. Relasi ini membentuk struktur naratif yang bersifat hibrid, di mana fakta empiris dan visi eskatologis saling berinteraksi dalam menghasilkan makna.</w:t>
      </w:r>
      <w:r>
        <w:rPr>
          <w:rStyle w:val="FootnoteReference"/>
        </w:rPr>
        <w:footnoteReference w:id="21"/>
      </w:r>
    </w:p>
    <w:p w14:paraId="15C5BD65" w14:textId="77777777" w:rsidR="00C241DB" w:rsidRDefault="00C241DB" w:rsidP="00C241DB">
      <w:pPr>
        <w:ind w:firstLine="720"/>
        <w:jc w:val="both"/>
        <w:rPr>
          <w:lang w:val="de-DE"/>
        </w:rPr>
      </w:pPr>
      <w:r w:rsidRPr="00C241DB">
        <w:rPr>
          <w:lang w:val="de-DE"/>
        </w:rPr>
        <w:t>Dialektika antara narasi historis dan apokaliptik dalam Injil menghasilkan relasi antara imanensi dan transendensi. Imanensi merujuk pada kehadiran realitas ilahi dalam sejarah melalui peristiwa konkret, sementara transendensi mengacu pada dimensi ilahi yang melampaui sejarah. Ketegangan antara kedua dimensi ini tidak menghasilkan pemisahan, tetapi membentuk sintesis teologis yang memungkinkan pemahaman yang lebih luas tentang realitas. Narasi Injil tidak hanya menyajikan peristiwa historis, tetapi juga menginterpretasikan peristiwa tersebut dalam kerangka eskatologis. Struktur dialektika ini memiliki implikasi langsung terhadap konsep waktu dalam Perjanjian Baru. Waktu tidak dipahami secara linear sebagai urutan kronologis yang tertutup, tetapi sebagai struktur terbuka yang memungkinkan perjumpaan antara masa kini dan masa depan eskatologis. Konsep sudah dan belum mencerminkan ketegangan antara realitas yang telah hadir dan realitas yang masih menunggu penggenapan. Dalam kerangka ini, masa depan tidak hanya menjadi tujuan akhir, tetapi juga berfungsi sebagai prinsip interpretatif terhadap masa kini. Dialektika waktu ini menunjukkan bahwa narasi apokaliptik tidak hanya berbicara tentang akhir zaman, tetapi juga tentang cara memahami sejarah secara keseluruhan. Dengan demikian, dialektika antara narasi apokaliptik dan historis tidak hanya bersifat teoretis, tetapi juga memiliki implikasi praktis dalam pembentukan kesadaran historis dan identitas komunitas iman.</w:t>
      </w:r>
    </w:p>
    <w:p w14:paraId="30A1250F" w14:textId="77777777" w:rsidR="00C241DB" w:rsidRDefault="00C241DB" w:rsidP="00C241DB">
      <w:pPr>
        <w:jc w:val="both"/>
        <w:rPr>
          <w:lang w:val="de-DE"/>
        </w:rPr>
      </w:pPr>
    </w:p>
    <w:p w14:paraId="546DA3A2" w14:textId="77777777" w:rsidR="00C241DB" w:rsidRDefault="00C241DB" w:rsidP="00C241DB">
      <w:pPr>
        <w:jc w:val="both"/>
        <w:rPr>
          <w:lang w:val="de-DE"/>
        </w:rPr>
      </w:pPr>
      <w:r w:rsidRPr="00C241DB">
        <w:rPr>
          <w:b/>
          <w:bCs/>
          <w:lang w:val="de-DE"/>
        </w:rPr>
        <w:t xml:space="preserve">Interpenetrasi Unsur Eskatologis Dalam Narasi Injil </w:t>
      </w:r>
    </w:p>
    <w:p w14:paraId="3B607A2C" w14:textId="77777777" w:rsidR="00C241DB" w:rsidRDefault="00C241DB" w:rsidP="00C241DB">
      <w:pPr>
        <w:ind w:firstLine="720"/>
        <w:jc w:val="both"/>
        <w:rPr>
          <w:lang w:val="de-DE"/>
        </w:rPr>
      </w:pPr>
      <w:r w:rsidRPr="00C241DB">
        <w:rPr>
          <w:lang w:val="de-DE"/>
        </w:rPr>
        <w:t>Narasi Injil dalam Perjanjian Baru tidak dapat dipahami sebagai rekonstruksi historis yang bersifat murni empiris. Struktur teks memperlihatkan adanya integrasi antara dimensi historis dan eskatologis yang membentuk horizon makna yang kompleks. Peristiwa-peristiwa yang berkaitan dengan kehidupan dan pelayanan Yesus disajikan dalam kerangka naratif yang menghubungkan pengalaman historis dengan penggenapan ilahi. Integrasi ini menunjukkan bahwa narasi Injil beroperasi dalam dua horizon sekaligus, yaitu horizon historis yang berakar pada ruang dan waktu konkret, serta horizon eskatologis yang mengarahkan pemahaman pada realitas transenden.</w:t>
      </w:r>
      <w:r>
        <w:rPr>
          <w:rStyle w:val="FootnoteReference"/>
        </w:rPr>
        <w:footnoteReference w:id="22"/>
      </w:r>
      <w:r w:rsidRPr="00C241DB">
        <w:rPr>
          <w:lang w:val="de-DE"/>
        </w:rPr>
        <w:t xml:space="preserve"> Dalam Injil Sinoptik seperti Injil Matius, Injil Markus, dan Injil Lukas, interpenetrasi ini tampak melalui kehadiran diskursus eskatologis yang terintegrasi dalam alur narasi. Bagian-bagian seperti Matius 24 dan Markus 13 menghadirkan refleksi tentang akhir zaman, penghakiman, dan kedatangan kerajaan Allah. Diskursus tersebut tidak berdiri sebagai elemen tambahan yang terpisah dari narasi utama, tetapi membentuk kerangka interpretatif yang memengaruhi pemahaman terhadap keseluruhan peristiwa. Narasi historis tentang tindakan dan pengajaran Yesus memperoleh </w:t>
      </w:r>
      <w:r w:rsidRPr="00C241DB">
        <w:rPr>
          <w:lang w:val="de-DE"/>
        </w:rPr>
        <w:lastRenderedPageBreak/>
        <w:t>signifikansi yang lebih luas karena ditempatkan dalam horizon penggenapan eskatologis. Struktur ini menghasilkan bentuk narasi yang bersifat hibrid, di mana fakta empiris dan visi masa depan saling berinteraksi dalam membangun makna.</w:t>
      </w:r>
    </w:p>
    <w:p w14:paraId="09389F21" w14:textId="77777777" w:rsidR="00C241DB" w:rsidRDefault="00C241DB" w:rsidP="00C241DB">
      <w:pPr>
        <w:ind w:firstLine="720"/>
        <w:jc w:val="both"/>
        <w:rPr>
          <w:lang w:val="de-DE"/>
        </w:rPr>
      </w:pPr>
      <w:r w:rsidRPr="00C241DB">
        <w:rPr>
          <w:lang w:val="de-DE"/>
        </w:rPr>
        <w:t>Dalam Injil Yohanes, interpenetrasi antara historis dan eskatologis mencapai bentuk yang lebih reflektif melalui konsep eskatologi yang terinkarnasi. Pernyataan tentang hidup kekal tidak hanya merujuk pada kondisi masa depan, tetapi pada realitas yang dialami dalam kehidupan saat ini. Struktur ini menunjukkan bahwa eskatologi tidak lagi dipahami sebagai peristiwa yang sepenuhnya berada di masa depan, tetapi sebagai realitas yang telah hadir dalam relasi dengan Kristus. Inkarnasi eskatologi ini mengaburkan batas antara waktu historis dan waktu eskatologis, sehingga menghasilkan pemahaman yang lebih dinamis tentang realitas. Interpenetrasi ini memiliki implikasi penting terhadap konsep waktu dalam narasi Injil. Waktu tidak direduksi menjadi kronologi linear yang tertutup, tetapi dipahami sebagai ruang terbuka yang memungkinkan kehadiran masa depan dalam masa kini. Peristiwa-peristiwa historis memperoleh makna teologis karena ditempatkan dalam relasi dengan penggenapan eskatologis. Struktur ini menghasilkan paradigma temporal yang bersifat non-linear, di mana masa depan berfungsi sebagai prinsip interpretatif terhadap masa kini.</w:t>
      </w:r>
      <w:r>
        <w:rPr>
          <w:rStyle w:val="FootnoteReference"/>
        </w:rPr>
        <w:footnoteReference w:id="23"/>
      </w:r>
      <w:r w:rsidRPr="00C241DB">
        <w:rPr>
          <w:lang w:val="de-DE"/>
        </w:rPr>
        <w:t xml:space="preserve"> Dengan demikian, narasi Injil tidak hanya merepresentasikan sejarah, tetapi juga mengonstruksi cara memahami sejarah melalui perspektif eskatologis.</w:t>
      </w:r>
    </w:p>
    <w:p w14:paraId="3D307422" w14:textId="77777777" w:rsidR="00C241DB" w:rsidRDefault="00C241DB" w:rsidP="00C241DB">
      <w:pPr>
        <w:jc w:val="both"/>
        <w:rPr>
          <w:lang w:val="de-DE"/>
        </w:rPr>
      </w:pPr>
    </w:p>
    <w:p w14:paraId="71EC9E3B" w14:textId="77777777" w:rsidR="00C241DB" w:rsidRDefault="00C241DB" w:rsidP="00C241DB">
      <w:pPr>
        <w:jc w:val="both"/>
        <w:rPr>
          <w:lang w:val="de-DE"/>
        </w:rPr>
      </w:pPr>
      <w:r w:rsidRPr="00C241DB">
        <w:rPr>
          <w:b/>
          <w:bCs/>
          <w:lang w:val="de-DE"/>
        </w:rPr>
        <w:t>Fungsi Kritik Sosial Dalam Narasi Apokaliptik</w:t>
      </w:r>
    </w:p>
    <w:p w14:paraId="36F2FEE7" w14:textId="77777777" w:rsidR="00C241DB" w:rsidRDefault="00C241DB" w:rsidP="00C241DB">
      <w:pPr>
        <w:ind w:firstLine="720"/>
        <w:jc w:val="both"/>
        <w:rPr>
          <w:lang w:val="de-DE"/>
        </w:rPr>
      </w:pPr>
      <w:r w:rsidRPr="00C241DB">
        <w:rPr>
          <w:lang w:val="de-DE"/>
        </w:rPr>
        <w:t>Narasi apokaliptik dalam Kitab Wahyu memperlihatkan fungsi kritik sosial yang terstruktur melalui penggunaan simbolisme yang kompleks dan berlapis. Simbol-simbol yang hadir tidak sekadar berfungsi sebagai ekspresi teologis, tetapi sebagai representasi terhadap realitas sosial dan politik yang konkret. Struktur simbolik ini memungkinkan teks menyampaikan kritik terhadap kekuasaan dominan tanpa bergantung pada bahasa literal yang berisiko dalam konteks tekanan politik. Yang mana, narasi apokaliptik beroperasi sebagai medium diskursif yang mampu mengartikulasikan resistensi ideologis secara terselubung namun efektif. Simbol-simbol seperti Binatang dan Babel dalam Kitab Wahyu mengandung representasi terhadap struktur kekuasaan imperium yang bersifat hegemonik. Binatang merepresentasikan kekuatan politik yang menuntut loyalitas absolut, sementara Babel melambangkan sistem ekonomi dan budaya yang eksploitatif. Penggunaan simbol ini menunjukkan bahwa narasi apokaliptik tidak bersifat abstrak, tetapi berakar pada kondisi historis tertentu, khususnya dalam konteks dominasi kekaisaran Romawi. Kritik yang dihadirkan tidak disampaikan secara langsung, tetapi melalui konstruksi simbolik yang membuka ruang interpretasi bagi komunitas pembaca. Pendekatan ini memungkinkan teks mempertahankan fungsi kritis tanpa terjebak dalam konfrontasi eksplisit.</w:t>
      </w:r>
      <w:r>
        <w:rPr>
          <w:rStyle w:val="FootnoteReference"/>
        </w:rPr>
        <w:footnoteReference w:id="24"/>
      </w:r>
      <w:r w:rsidRPr="00C241DB">
        <w:rPr>
          <w:vertAlign w:val="superscript"/>
          <w:lang w:val="de-DE"/>
        </w:rPr>
        <w:t>,</w:t>
      </w:r>
      <w:r>
        <w:rPr>
          <w:rStyle w:val="FootnoteReference"/>
        </w:rPr>
        <w:footnoteReference w:id="25"/>
      </w:r>
    </w:p>
    <w:p w14:paraId="5D966E19" w14:textId="77777777" w:rsidR="00C241DB" w:rsidRDefault="00C241DB" w:rsidP="00C241DB">
      <w:pPr>
        <w:ind w:firstLine="720"/>
        <w:jc w:val="both"/>
        <w:rPr>
          <w:lang w:val="de-DE"/>
        </w:rPr>
      </w:pPr>
      <w:r w:rsidRPr="00C241DB">
        <w:rPr>
          <w:lang w:val="de-DE"/>
        </w:rPr>
        <w:t xml:space="preserve">Narasi apokaliptik juga berfungsi sebagai bentuk resistensi ideologis terhadap hegemoni yang berusaha mengontrol kesadaran dan identitas komunitas. Dalam kondisi di mana kekuasaan tidak hanya bersifat politik tetapi juga simbolik, narasi apokaliptik menawarkan alternatif pemaknaan terhadap realitas. Struktur naratif yang menampilkan konflik antara kekuatan ilahi dan kekuatan destruktif menciptakan kerangka interpretatif </w:t>
      </w:r>
      <w:r w:rsidRPr="00C241DB">
        <w:rPr>
          <w:lang w:val="de-DE"/>
        </w:rPr>
        <w:lastRenderedPageBreak/>
        <w:t>yang menantang legitimasi kekuasaan dominan.</w:t>
      </w:r>
      <w:r>
        <w:rPr>
          <w:rStyle w:val="FootnoteReference"/>
        </w:rPr>
        <w:footnoteReference w:id="26"/>
      </w:r>
      <w:r w:rsidRPr="00C241DB">
        <w:rPr>
          <w:lang w:val="de-DE"/>
        </w:rPr>
        <w:t xml:space="preserve"> Dengan demikian, teks apokaliptik tidak hanya mengkritik struktur eksternal, tetapi juga membentuk kesadaran internal komunitas dalam menghadapi tekanan ideologis. Fungsi ini menunjukkan bahwa apokaliptik berperan dalam membangun identitas kolektif yang bersifat resisten terhadap dominasi.</w:t>
      </w:r>
    </w:p>
    <w:p w14:paraId="08A4FCBD" w14:textId="77777777" w:rsidR="00C241DB" w:rsidRDefault="00C241DB" w:rsidP="00C241DB">
      <w:pPr>
        <w:ind w:firstLine="720"/>
        <w:jc w:val="both"/>
        <w:rPr>
          <w:lang w:val="de-DE"/>
        </w:rPr>
      </w:pPr>
      <w:r w:rsidRPr="00C241DB">
        <w:rPr>
          <w:lang w:val="de-DE"/>
        </w:rPr>
        <w:t>Dimensi profetis dalam narasi apokaliptik memperkuat fungsi kritik sosial dengan menghadirkan perspektif yang melampaui realitas yang tampak. Simbolisme yang digunakan tidak hanya menggambarkan kondisi yang ada, tetapi juga merekonstruksi realitas melalui visi alternatif. Penghakiman terhadap Babel dan kehancuran kekuatan destruktif bukan sekadar prediksi masa depan, tetapi pernyataan teologis mengenai ketidakberlanjutan sistem yang tidak adil. Narasi ini mengandung klaim normatif bahwa struktur kekuasaan yang menindas tidak memiliki legitimasi dalam kerangka ilahi sehingga, kritik sosial dalam teks apokaliptik bersifat konstruktif karena mengarah pada pembentukan visi tentang tatanan yang diperbarui.</w:t>
      </w:r>
      <w:r>
        <w:rPr>
          <w:rStyle w:val="FootnoteReference"/>
        </w:rPr>
        <w:footnoteReference w:id="27"/>
      </w:r>
      <w:r w:rsidRPr="00C241DB">
        <w:rPr>
          <w:lang w:val="de-DE"/>
        </w:rPr>
        <w:t xml:space="preserve"> Fungsi kritik sosial ini tidak berhenti pada dekonstruksi, tetapi membuka kemungkinan transformasi historis. Narasi tentang Yerusalem Baru menghadirkan gambaran mengenai realitas yang telah dipulihkan, di mana keadilan dan kesejahteraan menjadi prinsip utama. Visi ini berfungsi sebagai horizon normatif yang mengarahkan tindakan dan harapan komunitas. Transformasi yang dimaksud tidak hanya bersifat eskatologis, tetapi juga memiliki implikasi terhadap cara komunitas memahami dan merespons realitas saat ini.</w:t>
      </w:r>
      <w:r>
        <w:rPr>
          <w:rStyle w:val="FootnoteReference"/>
        </w:rPr>
        <w:footnoteReference w:id="28"/>
      </w:r>
      <w:r w:rsidRPr="00C241DB">
        <w:rPr>
          <w:lang w:val="de-DE"/>
        </w:rPr>
        <w:t xml:space="preserve"> Dengan demikian, narasi apokaliptik tidak hanya mengkritik, tetapi juga memberikan arah bagi perubahan yang diharapkan.</w:t>
      </w:r>
    </w:p>
    <w:p w14:paraId="198CA28E" w14:textId="77777777" w:rsidR="00C241DB" w:rsidRDefault="00C241DB" w:rsidP="00C241DB">
      <w:pPr>
        <w:ind w:firstLine="720"/>
        <w:jc w:val="both"/>
        <w:rPr>
          <w:lang w:val="de-DE"/>
        </w:rPr>
      </w:pPr>
      <w:r w:rsidRPr="00C241DB">
        <w:rPr>
          <w:lang w:val="de-DE"/>
        </w:rPr>
        <w:t>Struktur kritik sosial dalam narasi apokaliptik juga menunjukkan bahwa simbolisme berfungsi sebagai alat epistemologis dalam memahami realitas. Simbol tidak sekadar menggantikan bahasa literal, tetapi membuka dimensi makna yang lebih dalam. Melalui simbol, realitas yang kompleks dapat diartikulasikan dalam bentuk yang memungkinkan refleksi kritis. Pendekatan ini menunjukkan bahwa narasi apokaliptik memiliki kapasitas untuk mengungkap aspek-aspek realitas yang tidak dapat dijelaskan secara langsung melalui bahasa deskriptif.</w:t>
      </w:r>
      <w:r>
        <w:rPr>
          <w:rStyle w:val="FootnoteReference"/>
        </w:rPr>
        <w:footnoteReference w:id="29"/>
      </w:r>
      <w:r w:rsidRPr="00C241DB">
        <w:rPr>
          <w:lang w:val="de-DE"/>
        </w:rPr>
        <w:t xml:space="preserve"> Dengan demikian, simbolisme menjadi sarana untuk menghubungkan pengalaman historis dengan interpretasi teologis yang lebih luas.</w:t>
      </w:r>
    </w:p>
    <w:p w14:paraId="32F89F6A" w14:textId="77777777" w:rsidR="00C241DB" w:rsidRDefault="00C241DB" w:rsidP="00C241DB">
      <w:pPr>
        <w:ind w:firstLine="720"/>
        <w:jc w:val="both"/>
        <w:rPr>
          <w:lang w:val="de-DE"/>
        </w:rPr>
      </w:pPr>
      <w:r w:rsidRPr="00C241DB">
        <w:rPr>
          <w:lang w:val="de-DE"/>
        </w:rPr>
        <w:t>Dalam perspektif yang lebih luas, fungsi kritik sosial dalam narasi apokaliptik menunjukkan bahwa teks ini memiliki relevansi yang melampaui konteks historis asalnya. Struktur simbolik dan dimensi profetis memungkinkan teks untuk terus dibaca sebagai kritik terhadap berbagai bentuk dominasi dalam konteks yang berbeda. Narasi apokaliptik menyediakan kerangka interpretatif yang dapat digunakan untuk memahami relasi antara kekuasaan, ideologi, dan pengalaman komunitas sehingga, fungsi kritik sosial dalam Kitab Wahyu tidak hanya bersifat historis, tetapi juga hermeneutik, karena membuka ruang bagi reinterpretasi yang berkelanjutan.</w:t>
      </w:r>
      <w:r>
        <w:rPr>
          <w:rStyle w:val="FootnoteReference"/>
        </w:rPr>
        <w:footnoteReference w:id="30"/>
      </w:r>
      <w:r w:rsidRPr="00C241DB">
        <w:rPr>
          <w:lang w:val="de-DE"/>
        </w:rPr>
        <w:t xml:space="preserve"> Kritik sosial dalam narasi apokaliptik tidak bersifat destruktif semata, tetapi mengandung dimensi transformasional yang mengarah pada pembaruan. Melalui simbolisme dan struktur naratifnya, teks ini mengonstruksi realitas </w:t>
      </w:r>
      <w:r w:rsidRPr="00C241DB">
        <w:rPr>
          <w:lang w:val="de-DE"/>
        </w:rPr>
        <w:lastRenderedPageBreak/>
        <w:t>alternatif yang menantang struktur yang ada sekaligus menawarkan visi baru. Pendekatan ini menunjukkan bahwa apokaliptik berfungsi sebagai medium yang menghubungkan kritik dan harapan dalam satu kesatuan yang koheren.</w:t>
      </w:r>
      <w:r>
        <w:rPr>
          <w:rStyle w:val="FootnoteReference"/>
        </w:rPr>
        <w:footnoteReference w:id="31"/>
      </w:r>
      <w:r w:rsidRPr="00C241DB">
        <w:rPr>
          <w:lang w:val="de-DE"/>
        </w:rPr>
        <w:t xml:space="preserve"> Dengan demikian, narasi apokaliptik tidak hanya merepresentasikan krisis, tetapi juga mengartikulasikan kemungkinan transformasi historis yang berakar pada visi teologis.</w:t>
      </w:r>
    </w:p>
    <w:p w14:paraId="689212F7" w14:textId="77777777" w:rsidR="00C241DB" w:rsidRDefault="00C241DB" w:rsidP="00C241DB">
      <w:pPr>
        <w:jc w:val="both"/>
        <w:rPr>
          <w:lang w:val="de-DE"/>
        </w:rPr>
      </w:pPr>
    </w:p>
    <w:p w14:paraId="38FD2057" w14:textId="77777777" w:rsidR="00C241DB" w:rsidRDefault="00C241DB" w:rsidP="00C241DB">
      <w:pPr>
        <w:jc w:val="both"/>
        <w:rPr>
          <w:lang w:val="de-DE"/>
        </w:rPr>
      </w:pPr>
      <w:r w:rsidRPr="00C241DB">
        <w:rPr>
          <w:b/>
          <w:bCs/>
          <w:lang w:val="de-DE"/>
        </w:rPr>
        <w:t>Implikasi Terhadap Historiografi Agama Kristen Dalam Narasi Apokaliptik</w:t>
      </w:r>
    </w:p>
    <w:p w14:paraId="60835D77" w14:textId="77777777" w:rsidR="00C241DB" w:rsidRDefault="00C241DB" w:rsidP="00C241DB">
      <w:pPr>
        <w:ind w:firstLine="720"/>
        <w:jc w:val="both"/>
        <w:rPr>
          <w:lang w:val="de-DE"/>
        </w:rPr>
      </w:pPr>
      <w:r w:rsidRPr="00C241DB">
        <w:rPr>
          <w:lang w:val="de-DE"/>
        </w:rPr>
        <w:t>Narasi apokaliptik dalam Perjanjian Baru menghasilkan implikasi signifikan bagi pengembangan historiografi agama Kristen. Ketegangan metodologis muncul antara pendekatan historiografi linear yang berorientasi pada kronologi empiris dan imajinasi apokaliptik yang beroperasi melalui simbolisme serta horizon eskatologis. Historiografi konvensional cenderung mengonstruksi sejarah sebagai rangkaian peristiwa yang dapat diverifikasi secara empiris, sehingga dimensi simbolik dan teologis sering ditempatkan di luar kerangka analisis. Pendekatan ini menghasilkan reduksi terhadap kompleksitas teks-teks keagamaan yang secara inheren mengandung lapisan makna yang melampaui fakta historis.</w:t>
      </w:r>
    </w:p>
    <w:p w14:paraId="3ADE9271" w14:textId="77777777" w:rsidR="00C241DB" w:rsidRDefault="00C241DB" w:rsidP="00C241DB">
      <w:pPr>
        <w:ind w:firstLine="720"/>
        <w:jc w:val="both"/>
        <w:rPr>
          <w:lang w:val="de-DE"/>
        </w:rPr>
      </w:pPr>
      <w:r w:rsidRPr="00C241DB">
        <w:rPr>
          <w:lang w:val="de-DE"/>
        </w:rPr>
        <w:t>Pendekatan historiografi linear berakar pada paradigma positivistik yang menempatkan fakta empiris sebagai dasar utama rekonstruksi sejarah. Dalam kerangka ini, teks keagamaan diperlakukan sebagai sumber data yang harus disaring melalui verifikasi historis. Narasi apokaliptik, dengan karakter simbolik dan eskatologisnya, sering dianggap sebagai konstruksi imajinatif yang kurang relevan bagi analisis sejarah. Perspektif ini menghasilkan keterbatasan epistemologis karena mengabaikan dimensi makna yang terkandung dalam simbolisme apokaliptik. Dengan demikian, historiografi konvensional tidak sepenuhnya mampu menangkap cara komunitas awal memahami realitas historis dalam relasi dengan pengharapan eskatologis.</w:t>
      </w:r>
    </w:p>
    <w:p w14:paraId="77284BF5" w14:textId="77777777" w:rsidR="00C241DB" w:rsidRDefault="00C241DB" w:rsidP="00C241DB">
      <w:pPr>
        <w:ind w:firstLine="720"/>
        <w:jc w:val="both"/>
        <w:rPr>
          <w:lang w:val="de-DE"/>
        </w:rPr>
      </w:pPr>
      <w:r w:rsidRPr="00C241DB">
        <w:rPr>
          <w:lang w:val="de-DE"/>
        </w:rPr>
        <w:t>Narasi apokaliptik menawarkan paradigma alternatif yang mengintegrasikan dimensi historis, simbolik, dan teologis dalam satu kerangka interpretatif. Apokaliptik tidak hanya menggambarkan peristiwa masa depan, tetapi juga memberikan kerangka untuk menafsirkan pengalaman historis. Dalam situasi krisis, narasi apokaliptik memungkinkan reinterpretasi terhadap penderitaan sebagai bagian dari proses menuju pemulihan. Dalam Kitab Wahyu, sejarah tidak dipahami sebagai kronologi tertutup, tetapi sebagai proses yang terbuka terhadap intervensi ilahi. Simbol-simbol yang digunakan dalam teks tidak hanya merepresentasikan realitas, tetapi juga menginterpretasikan dan merekonstruksi realitas tersebut. Perspektif ini menunjukkan bahwa sejarah tidak dapat dipisahkan dari cara komunitas memaknai pengalaman. Dengan demikian, historiografi yang mengabaikan dimensi simbolik berisiko kehilangan aspek fundamental dari konstruksi makna dalam tradisi Kristen.</w:t>
      </w:r>
    </w:p>
    <w:p w14:paraId="184D7EBE" w14:textId="77777777" w:rsidR="00C241DB" w:rsidRDefault="00C241DB" w:rsidP="00C241DB">
      <w:pPr>
        <w:ind w:firstLine="720"/>
        <w:jc w:val="both"/>
        <w:rPr>
          <w:lang w:val="de-DE"/>
        </w:rPr>
      </w:pPr>
      <w:r w:rsidRPr="00C241DB">
        <w:rPr>
          <w:lang w:val="de-DE"/>
        </w:rPr>
        <w:t>Ketegangan antara historiografi linear dan imajinasi apokaliptik juga berkaitan dengan konsep waktu. Historiografi konvensional cenderung memahami waktu sebagai urutan kronologis yang linear, sedangkan narasi apokaliptik menghadirkan konsep waktu yang bersifat non-linear dan teleologis. Masa depan eskatologis tidak hanya diposisikan sebagai tahap akhir, tetapi sebagai prinsip interpretatif yang memberi makna terhadap masa kini dan masa lalu. Perbedaan ini menunjukkan bahwa historiografi yang hanya berfokus pada kronologi tidak mampu menangkap dinamika temporal yang terdapat dalam teks apokaliptik. Oleh karena itu, diperlukan pendekatan yang mampu mengakomodasi kompleksitas konsep waktu dalam tradisi Kristen.</w:t>
      </w:r>
    </w:p>
    <w:p w14:paraId="576AFCA8" w14:textId="77777777" w:rsidR="00C241DB" w:rsidRDefault="00C241DB" w:rsidP="00C241DB">
      <w:pPr>
        <w:ind w:firstLine="720"/>
        <w:jc w:val="both"/>
        <w:rPr>
          <w:lang w:val="de-DE"/>
        </w:rPr>
      </w:pPr>
      <w:r w:rsidRPr="00C241DB">
        <w:rPr>
          <w:lang w:val="de-DE"/>
        </w:rPr>
        <w:t xml:space="preserve">Implikasi lain berkaitan dengan metode interpretasi teks. Historiografi konvensional sering menggunakan pendekatan reduksionistik yang berusaha memisahkan antara fakta </w:t>
      </w:r>
      <w:r w:rsidRPr="00C241DB">
        <w:rPr>
          <w:lang w:val="de-DE"/>
        </w:rPr>
        <w:lastRenderedPageBreak/>
        <w:t>historis dan elemen teologis. Pendekatan ini mengasumsikan bahwa makna teologis dapat diabaikan tanpa memengaruhi pemahaman terhadap sejarah. Narasi apokaliptik menunjukkan bahwa pemisahan tersebut tidak dapat dilakukan secara mutlak, karena makna historis dan makna teologis saling terkait. Simbolisme dalam teks apokaliptik berfungsi sebagai medium yang menghubungkan kedua dimensi tersebut. Dengan demikian, historiografi yang integratif diperlukan untuk memahami teks secara lebih komprehensif.</w:t>
      </w:r>
    </w:p>
    <w:p w14:paraId="013F1257" w14:textId="77777777" w:rsidR="00C241DB" w:rsidRDefault="00C241DB" w:rsidP="00C241DB">
      <w:pPr>
        <w:ind w:firstLine="720"/>
        <w:jc w:val="both"/>
        <w:rPr>
          <w:lang w:val="de-DE"/>
        </w:rPr>
      </w:pPr>
      <w:r w:rsidRPr="00C241DB">
        <w:rPr>
          <w:lang w:val="de-DE"/>
        </w:rPr>
        <w:t>Kebutuhan akan pendekatan historiografi integratif mengarah pada pengembangan model analisis yang menggabungkan dimensi naratif, simbolik, dan teologis. Pendekatan ini tidak menolak pentingnya verifikasi empiris, tetapi memperluas kerangka analisis dengan memasukkan aspek-aspek yang tidak dapat direduksi menjadi data historis. Narasi dipahami sebagai konstruksi makna yang mencerminkan pengalaman komunitas, sementara simbolisme dipandang sebagai sarana untuk mengartikulasikan realitas yang kompleks. Dimensi teologis berfungsi sebagai kerangka interpretatif yang memberikan arah dan tujuan bagi narasi sejarah. Integrasi ketiga dimensi ini memungkinkan rekonstruksi sejarah yang lebih holistik. Pendekatan integratif juga memiliki implikasi terhadap pemahaman tentang identitas dan kesadaran historis dalam tradisi Kristen. Narasi apokaliptik membentuk cara komunitas memahami posisi mereka dalam sejarah, terutama dalam situasi krisis dan ketidakpastian. Historiografi yang mengakomodasi dimensi ini dapat memberikan pemahaman yang lebih mendalam tentang bagaimana komunitas membangun identitas dan merespons realitas sosial. Dengan demikian, historiografi tidak hanya berfungsi sebagai rekonstruksi masa lalu, tetapi juga sebagai analisis terhadap proses pembentukan makna dalam sejarah.</w:t>
      </w:r>
    </w:p>
    <w:p w14:paraId="135ABFC8" w14:textId="6BAF45E1" w:rsidR="00C30472" w:rsidRDefault="00C241DB" w:rsidP="00C241DB">
      <w:pPr>
        <w:ind w:firstLine="720"/>
        <w:jc w:val="both"/>
        <w:rPr>
          <w:lang w:val="de-DE"/>
        </w:rPr>
      </w:pPr>
      <w:r w:rsidRPr="00C241DB">
        <w:rPr>
          <w:lang w:val="de-DE"/>
        </w:rPr>
        <w:t>Pengembangan historiografi yang integratif membuka kemungkinan untuk merekonstruksi sejarah agama Kristen sebagai proses yang dinamis dan multidimensional. Sejarah tidak lagi dipahami sebagai rangkaian peristiwa yang statis, tetapi sebagai proses yang melibatkan interaksi antara fakta, simbol, dan makna teologis. Perspektif ini memungkinkan analisis yang lebih komprehensif terhadap teks-teks keagamaan serta memberikan kontribusi terhadap pengembangan metodologi dalam studi agama. Dengan demikian, integrasi antara historiografi dan imajinasi apokaliptik menghasilkan paradigma baru yang mampu mengakomodasi kompleksitas sejarah agama Kristen.</w:t>
      </w:r>
    </w:p>
    <w:p w14:paraId="57324AA6" w14:textId="77777777" w:rsidR="00C241DB" w:rsidRPr="00C241DB" w:rsidRDefault="00C241DB" w:rsidP="00C241DB">
      <w:pPr>
        <w:ind w:firstLine="720"/>
        <w:jc w:val="both"/>
        <w:rPr>
          <w:lang w:val="de-DE"/>
        </w:rPr>
      </w:pPr>
    </w:p>
    <w:p w14:paraId="1B7C2636" w14:textId="77777777" w:rsidR="00C30472" w:rsidRPr="00C241DB" w:rsidRDefault="00000000">
      <w:pPr>
        <w:tabs>
          <w:tab w:val="left" w:pos="284"/>
        </w:tabs>
        <w:jc w:val="both"/>
        <w:rPr>
          <w:b/>
          <w:lang w:val="de-DE"/>
        </w:rPr>
      </w:pPr>
      <w:r w:rsidRPr="00C241DB">
        <w:rPr>
          <w:b/>
          <w:lang w:val="de-DE"/>
        </w:rPr>
        <w:t>KESIMPULAN</w:t>
      </w:r>
    </w:p>
    <w:p w14:paraId="513A6BA7" w14:textId="5D62EB69" w:rsidR="00C241DB" w:rsidRPr="00C241DB" w:rsidRDefault="00000000" w:rsidP="00C241DB">
      <w:pPr>
        <w:tabs>
          <w:tab w:val="left" w:pos="284"/>
        </w:tabs>
        <w:jc w:val="both"/>
        <w:rPr>
          <w:lang w:val="de-DE"/>
        </w:rPr>
      </w:pPr>
      <w:r w:rsidRPr="00C241DB">
        <w:rPr>
          <w:lang w:val="de-DE"/>
        </w:rPr>
        <w:tab/>
      </w:r>
      <w:r w:rsidRPr="00C241DB">
        <w:rPr>
          <w:lang w:val="de-DE"/>
        </w:rPr>
        <w:tab/>
      </w:r>
      <w:r w:rsidR="00C241DB" w:rsidRPr="00C241DB">
        <w:rPr>
          <w:lang w:val="de-DE"/>
        </w:rPr>
        <w:t>Kajian terhadap dialektika narasi apokaliptik dalam Perjanjian Baru menunjukkan bahwa teks-teks tersebut tidak memadai jika direduksi dalam kerangka historiografi linear, karena mengandung konfigurasi relasional antara dimensi historis dan eskatologis yang membentuk konstruksi temporal non-linear dan teleologis, di mana horizon masa depan berfungsi sebagai prinsip hermeneutik bagi interpretasi masa kini dan masa lalu. Interpenetrasi unsur eskatologis dalam Injil mengindikasikan bahwa eskatologi tidak terbatas pada orientasi futuristik, tetapi hadir sebagai realitas eksistensial yang aktual dalam pengalaman historis. Simbolisme dalam Kitab Wahyu beroperasi sebagai mekanisme kritik sosial terhadap konfigurasi kekuasaan sekaligus sebagai perangkat rekonstruktif yang membuka kemungkinan transformasi historis menuju pemulihan kosmik. Perspektif apokaliptik ini mengonstruksi sejarah sebagai proses teleologis yang terintegrasi dalam kerangka rencana ilahi. Implikasi metodologisnya mengarah pada kebutuhan pengembangan historiografi agama Kristen yang bersifat integratif, dengan mengakomodasi dimensi naratif, simbolik, dan teologis sebagai elemen konstitutif dalam produksi pengetahuan historis yang lebih komprehensif dan reflektif.</w:t>
      </w:r>
    </w:p>
    <w:p w14:paraId="04D2B532" w14:textId="77777777" w:rsidR="00C241DB" w:rsidRPr="00C241DB" w:rsidRDefault="00C241DB">
      <w:pPr>
        <w:tabs>
          <w:tab w:val="left" w:pos="284"/>
        </w:tabs>
        <w:jc w:val="both"/>
        <w:rPr>
          <w:lang w:val="de-DE"/>
        </w:rPr>
        <w:sectPr w:rsidR="00C241DB" w:rsidRPr="00C241DB">
          <w:headerReference w:type="even" r:id="rId10"/>
          <w:footerReference w:type="even" r:id="rId11"/>
          <w:footerReference w:type="default" r:id="rId12"/>
          <w:headerReference w:type="first" r:id="rId13"/>
          <w:footerReference w:type="first" r:id="rId14"/>
          <w:type w:val="continuous"/>
          <w:pgSz w:w="11906" w:h="16838"/>
          <w:pgMar w:top="1418" w:right="1418" w:bottom="1418" w:left="1701" w:header="708" w:footer="708" w:gutter="0"/>
          <w:cols w:space="720"/>
        </w:sectPr>
      </w:pPr>
    </w:p>
    <w:p w14:paraId="227DEEE5" w14:textId="77777777" w:rsidR="00C30472" w:rsidRPr="00C241DB" w:rsidRDefault="00C30472">
      <w:pPr>
        <w:rPr>
          <w:b/>
          <w:lang w:val="de-DE"/>
        </w:rPr>
      </w:pPr>
    </w:p>
    <w:p w14:paraId="544295B7" w14:textId="77777777" w:rsidR="00C30472" w:rsidRDefault="00000000">
      <w:pPr>
        <w:rPr>
          <w:b/>
        </w:rPr>
      </w:pPr>
      <w:r>
        <w:rPr>
          <w:b/>
        </w:rPr>
        <w:t xml:space="preserve">DAFTAR PUSTAKA </w:t>
      </w:r>
    </w:p>
    <w:p w14:paraId="2B57BCA6" w14:textId="546EEE42" w:rsidR="00C241DB" w:rsidRPr="00C241DB" w:rsidRDefault="00C241DB" w:rsidP="00C241DB">
      <w:pPr>
        <w:widowControl w:val="0"/>
        <w:autoSpaceDE w:val="0"/>
        <w:autoSpaceDN w:val="0"/>
        <w:adjustRightInd w:val="0"/>
        <w:ind w:left="480" w:hanging="480"/>
        <w:jc w:val="both"/>
        <w:rPr>
          <w:noProof/>
        </w:rPr>
      </w:pPr>
      <w:r>
        <w:fldChar w:fldCharType="begin" w:fldLock="1"/>
      </w:r>
      <w:r>
        <w:instrText xml:space="preserve">ADDIN Mendeley Bibliography CSL_BIBLIOGRAPHY </w:instrText>
      </w:r>
      <w:r>
        <w:fldChar w:fldCharType="separate"/>
      </w:r>
      <w:r w:rsidRPr="00C241DB">
        <w:rPr>
          <w:noProof/>
        </w:rPr>
        <w:t xml:space="preserve">Ahearne-Kroll, Stephen P.. </w:t>
      </w:r>
      <w:r w:rsidRPr="00C241DB">
        <w:rPr>
          <w:i/>
          <w:iCs/>
          <w:noProof/>
        </w:rPr>
        <w:t>The Oxford Handbook of the Synoptic Gospels</w:t>
      </w:r>
      <w:r w:rsidRPr="00C241DB">
        <w:rPr>
          <w:noProof/>
        </w:rPr>
        <w:t>. Oxford : Oxford University Press, 2023.</w:t>
      </w:r>
    </w:p>
    <w:p w14:paraId="5FECF309"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Bargués, Pol, David Chandler, Sebastian Schindler, and Valerie Waldow. “Hope after ‘the End of the World’: Rethinking Critique in the Anthropocene.” </w:t>
      </w:r>
      <w:r w:rsidRPr="00C241DB">
        <w:rPr>
          <w:i/>
          <w:iCs/>
          <w:noProof/>
        </w:rPr>
        <w:t>Contemporary Political Theory</w:t>
      </w:r>
      <w:r w:rsidRPr="00C241DB">
        <w:rPr>
          <w:noProof/>
        </w:rPr>
        <w:t xml:space="preserve"> 23, no. 2 (August 1, 2023): 187–204. https://doi.org/10.1057/S41296-023-00649-X.</w:t>
      </w:r>
    </w:p>
    <w:p w14:paraId="20348C18"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Davidson, Joe P.L. “The Apocalypse from Below: The Dangerous Idea of the End of the World, the Politics of the Oppressed, and Anti-Anti-Apocalypticism.” </w:t>
      </w:r>
      <w:r w:rsidRPr="00C241DB">
        <w:rPr>
          <w:i/>
          <w:iCs/>
          <w:noProof/>
        </w:rPr>
        <w:t>American Political Science Review</w:t>
      </w:r>
      <w:r w:rsidRPr="00C241DB">
        <w:rPr>
          <w:noProof/>
        </w:rPr>
        <w:t xml:space="preserve"> 119, no. 1 (February 1, 2025): 479–91. https://doi.org/10.1017/S0003055424000479.</w:t>
      </w:r>
    </w:p>
    <w:p w14:paraId="1AEF36CF"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Davidson, Joe P.L., and Filipe Carreira da Silva. “Fear of a Black Planet: Climate Apocalypse, Anthropocene Futures and Black Social Thought.” </w:t>
      </w:r>
      <w:r w:rsidRPr="00C241DB">
        <w:rPr>
          <w:i/>
          <w:iCs/>
          <w:noProof/>
        </w:rPr>
        <w:t>European Journal of Social Theory</w:t>
      </w:r>
      <w:r w:rsidRPr="00C241DB">
        <w:rPr>
          <w:noProof/>
        </w:rPr>
        <w:t xml:space="preserve"> 25, no. 4 (November 1, 2022): 521–38. https://doi.org/10.1177/13684310211067980;</w:t>
      </w:r>
    </w:p>
    <w:p w14:paraId="66165E9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Davies, J. P. “What to Expect When You’re Expecting: Maternity, Salvation History, and the ‘Apocalyptic Paul.’” </w:t>
      </w:r>
      <w:r w:rsidRPr="00C241DB">
        <w:rPr>
          <w:i/>
          <w:iCs/>
          <w:noProof/>
        </w:rPr>
        <w:t>Journal for the Study of the New Testament</w:t>
      </w:r>
      <w:r w:rsidRPr="00C241DB">
        <w:rPr>
          <w:noProof/>
        </w:rPr>
        <w:t xml:space="preserve"> 38, no. 3 (March 1, 2016): 301–15. https://doi.org/10.1177/0142064X15621651;</w:t>
      </w:r>
    </w:p>
    <w:p w14:paraId="0338AED1"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Dulk, Matthijs Den. “Measuring the Temple of God: Revelation 11.1–2 and the Destruction of Jerusalem.” </w:t>
      </w:r>
      <w:r w:rsidRPr="00C241DB">
        <w:rPr>
          <w:i/>
          <w:iCs/>
          <w:noProof/>
        </w:rPr>
        <w:t>New Testament Studies</w:t>
      </w:r>
      <w:r w:rsidRPr="00C241DB">
        <w:rPr>
          <w:noProof/>
        </w:rPr>
        <w:t xml:space="preserve"> 54, no. 3 (2008): 436–49. https://doi.org/10.1017/S0028688508000222.</w:t>
      </w:r>
    </w:p>
    <w:p w14:paraId="30972C1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Ellul, Jacques. </w:t>
      </w:r>
      <w:r w:rsidRPr="00C241DB">
        <w:rPr>
          <w:i/>
          <w:iCs/>
          <w:noProof/>
        </w:rPr>
        <w:t>Apocalypse : The Book of Revelation</w:t>
      </w:r>
      <w:r w:rsidRPr="00C241DB">
        <w:rPr>
          <w:noProof/>
        </w:rPr>
        <w:t>. Bordeaux: Wipf &amp; Stock, 2019.</w:t>
      </w:r>
    </w:p>
    <w:p w14:paraId="32844A7A"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Fellows, Richard G. “Was Titus Timothy?” </w:t>
      </w:r>
      <w:r w:rsidRPr="00C241DB">
        <w:rPr>
          <w:i/>
          <w:iCs/>
          <w:noProof/>
        </w:rPr>
        <w:t>Journal for the Study of the New Testament</w:t>
      </w:r>
      <w:r w:rsidRPr="00C241DB">
        <w:rPr>
          <w:noProof/>
        </w:rPr>
        <w:t xml:space="preserve"> 23, no. 81 (2001): 33–58. https://doi.org/10.1177/0142064X0102308102;</w:t>
      </w:r>
    </w:p>
    <w:p w14:paraId="1829F10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Goldstein, Warren S. “On Climate Apocalypse.” </w:t>
      </w:r>
      <w:r w:rsidRPr="00C241DB">
        <w:rPr>
          <w:i/>
          <w:iCs/>
          <w:noProof/>
        </w:rPr>
        <w:t>Critical Research on Religion</w:t>
      </w:r>
      <w:r w:rsidRPr="00C241DB">
        <w:rPr>
          <w:noProof/>
        </w:rPr>
        <w:t xml:space="preserve"> 12, no. 1 (April 1, 2024): 3–11. https://doi.org/10.1177/20503032241240773;</w:t>
      </w:r>
    </w:p>
    <w:p w14:paraId="1C116B8C"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Haq, Mochamad Ziaul, Ignasius Bambang Sugiharto, and Yohanes Slamet Purwadi. “Narasi Kiamat Dan Kebuntuan Kapitalisme: Refleksi Kritis Atas Kajian Apokaliptik Mark Fisher.” </w:t>
      </w:r>
      <w:r w:rsidRPr="00C241DB">
        <w:rPr>
          <w:i/>
          <w:iCs/>
          <w:noProof/>
        </w:rPr>
        <w:t>TEMALI : Jurnal Pembangunan Sosial</w:t>
      </w:r>
      <w:r w:rsidRPr="00C241DB">
        <w:rPr>
          <w:noProof/>
        </w:rPr>
        <w:t xml:space="preserve"> 7, no. 2 (August 5, 2024): 152–65. https://doi.org/10.15575/JT.V7I2.37676.</w:t>
      </w:r>
    </w:p>
    <w:p w14:paraId="63579BF2"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Hombana, Mphumezi. “Violence and Apocalyptic Notions in Mark 13.” </w:t>
      </w:r>
      <w:r w:rsidRPr="00C241DB">
        <w:rPr>
          <w:i/>
          <w:iCs/>
          <w:noProof/>
        </w:rPr>
        <w:t>HTS Teologiese Studies / Theological Studies</w:t>
      </w:r>
      <w:r w:rsidRPr="00C241DB">
        <w:rPr>
          <w:noProof/>
        </w:rPr>
        <w:t xml:space="preserve"> 80, no. 1 (2024). https://doi.org/10.4102/HTS.V80I1.9978;</w:t>
      </w:r>
    </w:p>
    <w:p w14:paraId="330674B2"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Kensky, Meira Z. “Paul and the Apocalypse of the Gospel.” </w:t>
      </w:r>
      <w:r w:rsidRPr="00C241DB">
        <w:rPr>
          <w:i/>
          <w:iCs/>
          <w:noProof/>
        </w:rPr>
        <w:t>Interpretation: A Journal of Bible and Theology</w:t>
      </w:r>
      <w:r w:rsidRPr="00C241DB">
        <w:rPr>
          <w:noProof/>
        </w:rPr>
        <w:t xml:space="preserve"> 76, no. 4 (October 1, 2022): 328–38. https://doi.org/10.1177/00209643221108832;</w:t>
      </w:r>
    </w:p>
    <w:p w14:paraId="19B7AC14"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Malina, Bruce J. “Exegetical Eschatology, the Peasant Present and the Final Discourse Genre: The Case of Mark 13.” </w:t>
      </w:r>
      <w:r w:rsidRPr="00C241DB">
        <w:rPr>
          <w:i/>
          <w:iCs/>
          <w:noProof/>
        </w:rPr>
        <w:t>Biblical Theology Bulletin</w:t>
      </w:r>
      <w:r w:rsidRPr="00C241DB">
        <w:rPr>
          <w:noProof/>
        </w:rPr>
        <w:t xml:space="preserve"> 32, no. 2 (June 2002): 49–59. https://doi.org/10.1177/014610790203200204;</w:t>
      </w:r>
    </w:p>
    <w:p w14:paraId="365145D2"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Nancy Patty, Febby. “Kritik Terhadap Ideologi  Imperial Memaknai Simbol Yerusalem Baru Dan Fungsinya Dalam Wahyu 21:9-27.” </w:t>
      </w:r>
      <w:r w:rsidRPr="00C241DB">
        <w:rPr>
          <w:i/>
          <w:iCs/>
          <w:noProof/>
        </w:rPr>
        <w:t>KENOSIS: Jurnal Kajian Teologi</w:t>
      </w:r>
      <w:r w:rsidRPr="00C241DB">
        <w:rPr>
          <w:noProof/>
        </w:rPr>
        <w:t xml:space="preserve"> 1, no. 1 (December 1, 2015): 1–14. https://doi.org/10.37196/KENOSIS.V1I1.19.</w:t>
      </w:r>
    </w:p>
    <w:p w14:paraId="66F058DC"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Phillips, Elizabeth. “Narrating Catastrophe, Cultivating Hope: Apocalyptic Practices and Theological Virtue.” </w:t>
      </w:r>
      <w:r w:rsidRPr="00C241DB">
        <w:rPr>
          <w:i/>
          <w:iCs/>
          <w:noProof/>
        </w:rPr>
        <w:t>Studies in Christian Ethics</w:t>
      </w:r>
      <w:r w:rsidRPr="00C241DB">
        <w:rPr>
          <w:noProof/>
        </w:rPr>
        <w:t xml:space="preserve"> 31, no. 1 (February 1, 2018): 17–33. https://doi.org/10.1177/0953946817737504;</w:t>
      </w:r>
    </w:p>
    <w:p w14:paraId="2D8DEC61"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Pitetti, Connor. “Uses of the End of the World: Apocalypse and Postapocalypse as Narrative Modes.” </w:t>
      </w:r>
      <w:r w:rsidRPr="00C241DB">
        <w:rPr>
          <w:i/>
          <w:iCs/>
          <w:noProof/>
        </w:rPr>
        <w:t>Science Fiction Studies</w:t>
      </w:r>
      <w:r w:rsidRPr="00C241DB">
        <w:rPr>
          <w:noProof/>
        </w:rPr>
        <w:t xml:space="preserve"> 44, no. Part 3 (133) (November 1, 2017): 437–54. https://doi.org/10.5621.44.3.0437.</w:t>
      </w:r>
    </w:p>
    <w:p w14:paraId="38B213C4"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Preiser-Kapeller, Johannes. “Global Apocalypse at the Turn of the First Millennium AD? </w:t>
      </w:r>
      <w:r w:rsidRPr="00C241DB">
        <w:rPr>
          <w:noProof/>
        </w:rPr>
        <w:lastRenderedPageBreak/>
        <w:t xml:space="preserve">Climate Fluctuations, Astronomic Phenomena and Socio-Political Turbulences in 10th and 11th Century Byzantium and Japan in Comparative Perspective.” </w:t>
      </w:r>
      <w:r w:rsidRPr="00C241DB">
        <w:rPr>
          <w:i/>
          <w:iCs/>
          <w:noProof/>
        </w:rPr>
        <w:t>History and Philosophy of Physics</w:t>
      </w:r>
      <w:r w:rsidRPr="00C241DB">
        <w:rPr>
          <w:noProof/>
        </w:rPr>
        <w:t>, June 21, 2022. https://arxiv.org/pdf/2206.10109.</w:t>
      </w:r>
    </w:p>
    <w:p w14:paraId="22AD0778"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Prothro, James B. </w:t>
      </w:r>
      <w:r w:rsidRPr="00C241DB">
        <w:rPr>
          <w:i/>
          <w:iCs/>
          <w:noProof/>
        </w:rPr>
        <w:t>The Apostle Paul And His Letters : An Introduction</w:t>
      </w:r>
      <w:r w:rsidRPr="00C241DB">
        <w:rPr>
          <w:noProof/>
        </w:rPr>
        <w:t xml:space="preserve">. </w:t>
      </w:r>
      <w:r w:rsidRPr="00C241DB">
        <w:rPr>
          <w:i/>
          <w:iCs/>
          <w:noProof/>
        </w:rPr>
        <w:t>Journal GEEJ</w:t>
      </w:r>
      <w:r w:rsidRPr="00C241DB">
        <w:rPr>
          <w:noProof/>
        </w:rPr>
        <w:t>. Vol. 7. Boston: The Catholic University of America Press, 2021.</w:t>
      </w:r>
    </w:p>
    <w:p w14:paraId="63044216"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Reed, Annette Yoshiko. “The Afterlives of New Testament Apocrypha.” </w:t>
      </w:r>
      <w:r w:rsidRPr="00C241DB">
        <w:rPr>
          <w:i/>
          <w:iCs/>
          <w:noProof/>
        </w:rPr>
        <w:t>Journal of Biblical Literature</w:t>
      </w:r>
      <w:r w:rsidRPr="00C241DB">
        <w:rPr>
          <w:noProof/>
        </w:rPr>
        <w:t xml:space="preserve"> 134, no. 2 (June 1, 2015): 401–25. https://doi.org/10.15699/JBL.1342.2015.2916.</w:t>
      </w:r>
    </w:p>
    <w:p w14:paraId="35682860"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Reynolds, Benjamin E. “The Necessity of Form and Spatial Content for Defining ‘Apocalypse’ and ‘Apocalyptic.’” </w:t>
      </w:r>
      <w:r w:rsidRPr="00C241DB">
        <w:rPr>
          <w:i/>
          <w:iCs/>
          <w:noProof/>
        </w:rPr>
        <w:t>Journal for the Study of the Pseudepigrapha</w:t>
      </w:r>
      <w:r w:rsidRPr="00C241DB">
        <w:rPr>
          <w:noProof/>
        </w:rPr>
        <w:t xml:space="preserve"> 33, no. 3 (March 1, 2024): 187–97. https://doi.org/10.1177/09518207231217237;</w:t>
      </w:r>
    </w:p>
    <w:p w14:paraId="77E1B14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Rollins, Wayne G. “The New Testament and Apocalyptic.” </w:t>
      </w:r>
      <w:r w:rsidRPr="00C241DB">
        <w:rPr>
          <w:i/>
          <w:iCs/>
          <w:noProof/>
        </w:rPr>
        <w:t>New Testament Studies</w:t>
      </w:r>
      <w:r w:rsidRPr="00C241DB">
        <w:rPr>
          <w:noProof/>
        </w:rPr>
        <w:t xml:space="preserve"> 17, no. 4 (1971): 454–76. https://doi.org/10.1017/S0028688500024152.</w:t>
      </w:r>
    </w:p>
    <w:p w14:paraId="285BF3A6"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Segovia, Fernando F. “The Significance of Social Location in Reading John’s Story.” </w:t>
      </w:r>
      <w:r w:rsidRPr="00C241DB">
        <w:rPr>
          <w:i/>
          <w:iCs/>
          <w:noProof/>
        </w:rPr>
        <w:t>Interpretation</w:t>
      </w:r>
      <w:r w:rsidRPr="00C241DB">
        <w:rPr>
          <w:noProof/>
        </w:rPr>
        <w:t xml:space="preserve"> 49, no. 4 (October 1995): 370–78. https://doi.org/10.1177/002096439504900405.</w:t>
      </w:r>
    </w:p>
    <w:p w14:paraId="6A9EF9F3"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Shively, Elizabeth E. “What Type of Resistance? How Apocalyptic Discourse Functions as Social Discourse in Mark’s Gospel.” </w:t>
      </w:r>
      <w:r w:rsidRPr="00C241DB">
        <w:rPr>
          <w:i/>
          <w:iCs/>
          <w:noProof/>
        </w:rPr>
        <w:t>Journal for the Study of the New Testament</w:t>
      </w:r>
      <w:r w:rsidRPr="00C241DB">
        <w:rPr>
          <w:noProof/>
        </w:rPr>
        <w:t xml:space="preserve"> 37, no. 4 (June 6, 2015): 381–406. https://doi.org/10.1177/0142064X15581325;</w:t>
      </w:r>
    </w:p>
    <w:p w14:paraId="6FE7C687"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Siggelkow, Ry O. “Ernst Käsemann and the Specter of Apocalyptic.” </w:t>
      </w:r>
      <w:r w:rsidRPr="00C241DB">
        <w:rPr>
          <w:i/>
          <w:iCs/>
          <w:noProof/>
        </w:rPr>
        <w:t>Theology Today</w:t>
      </w:r>
      <w:r w:rsidRPr="00C241DB">
        <w:rPr>
          <w:noProof/>
        </w:rPr>
        <w:t xml:space="preserve"> 75, no. 1 (April 1, 2018): 37–50. https://doi.org/10.1177/0040573618763575;</w:t>
      </w:r>
    </w:p>
    <w:p w14:paraId="29B80E6C"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Toews, John E., and Friedemann Regner. “‘Paulus Und Jesus’ Im Neunzehnten Jahrhundert. Beitrage Zur Geschichte Des Themas ‘Paulus Und Jesus’ in Der Neutestamentlichen Theologie.” </w:t>
      </w:r>
      <w:r w:rsidRPr="00C241DB">
        <w:rPr>
          <w:i/>
          <w:iCs/>
          <w:noProof/>
        </w:rPr>
        <w:t>Journal of Biblical Literature</w:t>
      </w:r>
      <w:r w:rsidRPr="00C241DB">
        <w:rPr>
          <w:noProof/>
        </w:rPr>
        <w:t xml:space="preserve"> 100, no. 3 (September 1981): 474. https://doi.org/10.2307/3265975.</w:t>
      </w:r>
    </w:p>
    <w:p w14:paraId="150E15EF"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Villiers, Pieter G.R. De. “Apocalyptic Groups and Socially Disadvantaged Contexts.” </w:t>
      </w:r>
      <w:r w:rsidRPr="00C241DB">
        <w:rPr>
          <w:i/>
          <w:iCs/>
          <w:noProof/>
        </w:rPr>
        <w:t>Acta Theologica</w:t>
      </w:r>
      <w:r w:rsidRPr="00C241DB">
        <w:rPr>
          <w:noProof/>
        </w:rPr>
        <w:t xml:space="preserve"> 2016 (2016): 238–62. https://doi.org/10.4314/ACTAT.V23I1S.12.</w:t>
      </w:r>
    </w:p>
    <w:p w14:paraId="586C3D5A"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Wenkel, David H. “The Gospel of Matthew and Apocalyptic Discourse.” </w:t>
      </w:r>
      <w:r w:rsidRPr="00C241DB">
        <w:rPr>
          <w:i/>
          <w:iCs/>
          <w:noProof/>
        </w:rPr>
        <w:t>Expository Times</w:t>
      </w:r>
      <w:r w:rsidRPr="00C241DB">
        <w:rPr>
          <w:noProof/>
        </w:rPr>
        <w:t xml:space="preserve"> 132, no. 6 (March 1, 2021): 259–70. https://doi.org/10.1177/0014524620977288.</w:t>
      </w:r>
    </w:p>
    <w:p w14:paraId="4B7A8321"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Whitaker, Robyn. “Victim to Victor: The Appeal of Apocalyptic Hope.” </w:t>
      </w:r>
      <w:r w:rsidRPr="00C241DB">
        <w:rPr>
          <w:i/>
          <w:iCs/>
          <w:noProof/>
        </w:rPr>
        <w:t>Religions</w:t>
      </w:r>
      <w:r w:rsidRPr="00C241DB">
        <w:rPr>
          <w:noProof/>
        </w:rPr>
        <w:t xml:space="preserve"> 11, no. 9 (September 5, 2020): 455. https://doi.org/10.3390/.</w:t>
      </w:r>
    </w:p>
    <w:p w14:paraId="6B71F03F" w14:textId="2B6ECB03" w:rsidR="00C30472" w:rsidRDefault="00C241DB" w:rsidP="00C241DB">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25810" w14:textId="77777777" w:rsidR="0062511B" w:rsidRDefault="0062511B">
      <w:r>
        <w:separator/>
      </w:r>
    </w:p>
  </w:endnote>
  <w:endnote w:type="continuationSeparator" w:id="0">
    <w:p w14:paraId="525717BC" w14:textId="77777777" w:rsidR="0062511B" w:rsidRDefault="00625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DBC620AD-447A-487D-91CD-5732D165EB23}"/>
    <w:embedBold r:id="rId2" w:fontKey="{018919FB-D253-4EB1-A977-A7A924133777}"/>
  </w:font>
  <w:font w:name="Calibri">
    <w:panose1 w:val="020F0502020204030204"/>
    <w:charset w:val="00"/>
    <w:family w:val="swiss"/>
    <w:pitch w:val="variable"/>
    <w:sig w:usb0="E4002EFF" w:usb1="C200247B" w:usb2="00000009" w:usb3="00000000" w:csb0="000001FF" w:csb1="00000000"/>
    <w:embedRegular r:id="rId3" w:fontKey="{1B4E5193-6F09-4B77-A297-B8D61E159CD0}"/>
    <w:embedBold r:id="rId4" w:fontKey="{B9BF5EC3-773C-43E6-BA33-B99911113FB8}"/>
    <w:embedItalic r:id="rId5" w:fontKey="{867D58D9-169E-4D31-9758-9AE45487BBB5}"/>
  </w:font>
  <w:font w:name="Calisto MT">
    <w:panose1 w:val="02040603050505030304"/>
    <w:charset w:val="00"/>
    <w:family w:val="roman"/>
    <w:pitch w:val="variable"/>
    <w:sig w:usb0="00000003" w:usb1="00000000" w:usb2="00000000" w:usb3="00000000" w:csb0="00000001" w:csb1="00000000"/>
    <w:embedRegular r:id="rId6" w:fontKey="{C3017CCF-B99D-4172-9341-0F4BE0568BB6}"/>
    <w:embedBold r:id="rId7" w:fontKey="{9F38F41A-2412-4E6D-ACBC-0978AD2BF95C}"/>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F0CBF817-4730-41AA-B2D7-DF7379B753E7}"/>
    <w:embedItalic r:id="rId9" w:fontKey="{52C0463D-6AD0-461F-9E28-97662BA47AE9}"/>
  </w:font>
  <w:font w:name="Lustria">
    <w:altName w:val="Calibri"/>
    <w:charset w:val="00"/>
    <w:family w:val="auto"/>
    <w:pitch w:val="default"/>
    <w:embedRegular r:id="rId10" w:fontKey="{5E8E1A5A-FFDC-4D97-B70E-BFE5D5BD6B8B}"/>
    <w:embedBold r:id="rId11" w:fontKey="{6B1C0D17-6DF1-4F02-A5EC-6B77DFADD020}"/>
    <w:embedItalic r:id="rId12" w:fontKey="{5056B46F-D63C-482F-BDC7-988408D42E1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3" w:fontKey="{6707FA5A-0FFD-4676-825F-7C9607DA1C06}"/>
    <w:embedBoldItalic r:id="rId14" w:fontKey="{6E37A9EC-9B8D-43DD-AEBB-0C4465C3FBA2}"/>
  </w:font>
  <w:font w:name="Garamond">
    <w:panose1 w:val="02020404030301010803"/>
    <w:charset w:val="00"/>
    <w:family w:val="roman"/>
    <w:pitch w:val="variable"/>
    <w:sig w:usb0="00000287" w:usb1="00000000" w:usb2="00000000" w:usb3="00000000" w:csb0="0000009F" w:csb1="00000000"/>
    <w:embedRegular r:id="rId15" w:fontKey="{A619EA34-8E87-4734-94E8-92A197A57308}"/>
  </w:font>
  <w:font w:name="Corben">
    <w:charset w:val="00"/>
    <w:family w:val="auto"/>
    <w:pitch w:val="default"/>
    <w:embedRegular r:id="rId16" w:fontKey="{9078EBD2-0B3D-4F32-8CED-89A3FC380A53}"/>
  </w:font>
  <w:font w:name="Verdana">
    <w:panose1 w:val="020B0604030504040204"/>
    <w:charset w:val="00"/>
    <w:family w:val="swiss"/>
    <w:pitch w:val="variable"/>
    <w:sig w:usb0="A00006FF" w:usb1="4000205B" w:usb2="00000010" w:usb3="00000000" w:csb0="0000019F" w:csb1="00000000"/>
    <w:embedRegular r:id="rId17" w:fontKey="{EC0AAD75-C08C-4D46-ACD8-A452650D93EC}"/>
    <w:embedBold r:id="rId18" w:fontKey="{6D6829BC-41A3-4FB0-8AD7-30328E07B4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9B23F" w14:textId="77777777" w:rsidR="0062511B" w:rsidRDefault="0062511B">
      <w:r>
        <w:separator/>
      </w:r>
    </w:p>
  </w:footnote>
  <w:footnote w:type="continuationSeparator" w:id="0">
    <w:p w14:paraId="45C32692" w14:textId="77777777" w:rsidR="0062511B" w:rsidRDefault="0062511B">
      <w:r>
        <w:continuationSeparator/>
      </w:r>
    </w:p>
  </w:footnote>
  <w:footnote w:id="1">
    <w:p w14:paraId="021A59DB"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{"citationItems":[{"id":"ITEM-1","itemData":{"DOI":"10.1177/0142064X15621651;","ISSN":"17455294","abstract":"This article argues, on the basis of Jewish and Christian apocalypses, that 'apocalyptic' in Paul should not be understood as antithetical to 'salvation history'. It focuses on one of Paul's key metaphors, childbirth, which has been identified as an image intrinsically connected to Paul's 'apocalyptic' eschatology. It will first offer a brief survey of the way the image of childbirth has been deployed in recent 'apocalyptic' interpretations of Paul (notably in the work of Beverly Gaventa) in support of a 'punctiliar-invasive' theology of history over against a 'linear-progressive' view. It will then examine some of the evidence from the apocalyptic literature where childbirth is used as an eschatological metaphor, particularly in the book of Revelation. It will argue that an understanding of the logic of this metaphor in Second Temple Jewish and early Christian apocalyptic thought raises questions about the eschatological dichotomy at the heart of the contemporary 'apocalyptic Paul' movement.","author":[{"dropping-particle":"","family":"Davies","given":"J. P.","non-dropping-particle":"","parse-names":false,"suffix":""}],"container-title":"Journal for the Study of the New Testament","id":"ITEM-1","issue":"3","issued":{"date-parts":[["2016","3","1"]]},"page":"301-315","publisher":"SAGE Publications Ltd","title":"What to expect when you're expecting: Maternity, salvation history, and the 'apocalyptic Paul'","type":"article-journal","volume":"38"},"uris":["http://www.mendeley.com/documents/?uuid=1e41d5f0-8683-3c39-969b-1effafa5407d"]}],"mendeley":{"formattedCitation":"J. P. Davies, “What to Expect When You’re Expecting: Maternity, Salvation History, and the ‘Apocalyptic Paul,’” &lt;i&gt;Journal for the Study of the New Testament&lt;/i&gt; 38, no. 3 (March 1, 2016): 301–15, https://doi.org/10.1177/0142064X15621651;","plainTextFormattedCitation":"J. P. Davies, “What to Expect When You’re Expecting: Maternity, Salvation History, and the ‘Apocalyptic Paul,’” Journal for the Study of the New Testament 38, no. 3 (March 1, 2016): 301–15, https://doi.org/10.1177/0142064X15621651;","previouslyFormattedCitation":"J. P. Davies, “What to Expect When You’re Expecting: Maternity, Salvation History, and the ‘Apocalyptic Paul,’” &lt;i&gt;Journal for the Study of the New Testament&lt;/i&gt; 38, no. 3 (March 1, 2016): 301–15, https://doi.org/10.1177/0142064X15621651;"},"properties":{"noteIndex":1},"schema":"https://github.com/citation-style-language/schema/raw/master/csl-citation.json"}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 P. Davies, “What to Expect When You’re Expecting: Maternity, Salvation History, and the ‘Apocalyptic Paul,’”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38, no. 3 (March 1, 2016): 301–15, https://doi.org/10.1177/0142064X15621651;</w:t>
      </w:r>
      <w:r w:rsidRPr="006A1540">
        <w:rPr>
          <w:rFonts w:ascii="Times New Roman" w:hAnsi="Times New Roman" w:cs="Times New Roman"/>
        </w:rPr>
        <w:fldChar w:fldCharType="end"/>
      </w:r>
    </w:p>
  </w:footnote>
  <w:footnote w:id="2">
    <w:p w14:paraId="47F5C8C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Gospel","type":"article-journal","volume":"37"},"uris":["http://www.mendeley.com/documents/?uuid=e892ac9c-e47c-33b9-b572-6c50b27fdcfe"]}],"mendeley":{"formattedCitation":"Elizabeth E. Shively, “What Type of Resistance? How Apocalyptic Discourse Functions as Social Discourse in Mark’s Gospel,” &lt;i&gt;Journal for the Study of the New Testament&lt;/i&gt; 37, no. 4 (June 6, 2015): 381–406, https://doi.org/10.1177/0142064X15581325;","plainTextFormattedCitation":"Elizabeth E. Shively, “What Type of Resistance? How Apocalyptic Discourse Functions as Social Discourse in Mark’s Gospel,” Journal for the Study of the New Testament 37, no. 4 (June 6, 2015): 381–406, https://doi.org/10.1177/0142064X15581325;","previouslyFormattedCitation":"Elizabeth E. Shively, “What Type of Resistance? How Apocalyptic Discourse Functions as Social Discourse in Mark’s Gospel,” &lt;i&gt;Journal for the Study of the New Testament&lt;/i&gt; 37, no. 4 (June 6, 2015): 381–406, https://doi.org/10.1177/0142064X15581325;"},"properties":{"noteIndex":2},"schema":"https://github.com/citation-style-language/schema/raw/master/csl-citation.json"}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Elizabeth E. Shively, “What Type of Resistance? How Apocalyptic Discourse Functions as Social Discourse in Mark’s Gospel,”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37, no. 4 (June 6, 2015): 381–406, https://doi.org/10.1177/0142064X15581325;</w:t>
      </w:r>
      <w:r w:rsidRPr="006A1540">
        <w:rPr>
          <w:rFonts w:ascii="Times New Roman" w:hAnsi="Times New Roman" w:cs="Times New Roman"/>
        </w:rPr>
        <w:fldChar w:fldCharType="end"/>
      </w:r>
    </w:p>
  </w:footnote>
  <w:footnote w:id="3">
    <w:p w14:paraId="3B253AB0"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{"citationItems":[{"id":"ITEM-1","itemData":{"DOI":"10.1017/S0028688508000222","ISSN":"1469-8145","abstract":"Rev 11.1–2 refers to the destruction of the temple in 70 ce. The measuring of the temple area does not signify that it will be protected, as is commonly thought, but symbolises that it falls under God's judgment. The underlying idea is that the destruction of the temple at the hands of the Gentiles has been possible only because it was preceded by God's judgment, a notion also found in contemporary apocalyptic literature. John argues that God has given the Gentiles the authority to ‘trample the holy city’, including the temple, for a limited period of time.","author":[{"dropping-particle":"","family":"Dulk","given":"Matthijs","non-dropping-particle":"Den","parse-names":false,"suffix":""}],"container-title":"New Testament Studies","id":"ITEM-1","issue":"3","issued":{"date-parts":[["2008"]]},"page":"436-449","publisher":"Cambridge University Press","title":"Measuring the Temple of God: Revelation 11.1–2 and the Destruction of Jerusalem","type":"article-journal","volume":"54"},"uris":["http://www.mendeley.com/documents/?uuid=47b23d5c-999d-3724-a701-bf469f54704b"]}],"mendeley":{"formattedCitation":"Matthijs Den Dulk, “Measuring the Temple of God: Revelation 11.1–2 and the Destruction of Jerusalem,” &lt;i&gt;New Testament Studies&lt;/i&gt; 54, no. 3 (2008): 436–49, https://doi.org/10.1017/S0028688508000222.","plainTextFormattedCitation":"Matthijs Den Dulk, “Measuring the Temple of God: Revelation 11.1–2 and the Destruction of Jerusalem,” New Testament Studies 54, no. 3 (2008): 436–49, https://doi.org/10.1017/S0028688508000222.","previouslyFormattedCitation":"Matthijs Den Dulk, “Measuring the Temple of God: Revelation 11.1–2 and the Destruction of Jerusalem,” &lt;i&gt;New Testament Studies&lt;/i&gt; 54, no. 3 (2008): 436–49, https://doi.org/10.1017/S0028688508000222."},"properties":{"noteIndex":3},"schema":"https://github.com/citation-style-language/schema/raw/master/csl-citation.json"}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Matthijs Den Dulk, “Measuring the Temple of God: Revelation 11.1–2 and the Destruction of Jerusalem,” </w:t>
      </w:r>
      <w:r w:rsidRPr="006A1540">
        <w:rPr>
          <w:rFonts w:ascii="Times New Roman" w:hAnsi="Times New Roman" w:cs="Times New Roman"/>
          <w:i/>
          <w:noProof/>
        </w:rPr>
        <w:t>New Testament Studies</w:t>
      </w:r>
      <w:r w:rsidRPr="006A1540">
        <w:rPr>
          <w:rFonts w:ascii="Times New Roman" w:hAnsi="Times New Roman" w:cs="Times New Roman"/>
          <w:noProof/>
        </w:rPr>
        <w:t xml:space="preserve"> 54, no. 3 (2008): 436–49, https://doi.org/10.1017/S0028688508000222.</w:t>
      </w:r>
      <w:r w:rsidRPr="006A1540">
        <w:rPr>
          <w:rFonts w:ascii="Times New Roman" w:hAnsi="Times New Roman" w:cs="Times New Roman"/>
        </w:rPr>
        <w:fldChar w:fldCharType="end"/>
      </w:r>
    </w:p>
  </w:footnote>
  <w:footnote w:id="4">
    <w:p w14:paraId="1E495718"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{"citationItems":[{"id":"ITEM-1","itemData":{"DOI":"10.1177/0014524620977288","ISSN":"17455308","abstract":"This study considers how ‘apocalyptic discourse’ functions within Matthew’s Gospel. Of the four gospels, Matthew has been called the most ‘apocalyptic’ in nature but most of the discussion of this literary feature has been limited to chapters 24-25. However, the violent scenes in Matthew 2 along with 24-25 form an inclusio for the whole of Matthew’s Gospel and provide a basis for relating other apocalyptic discourses. This study maintains that Matthew is a bios with elements of apocalyptic discourse woven throughout it. This paper offers a theological interpretation of Matthew that integrates the concepts of apocalyptic warfare and a three-tiered symbolic universe.","author":[{"dropping-particle":"","family":"Wenkel","given":"David H.","non-dropping-particle":"","parse-names":false,"suffix":""}],"container-title":"Expository Times","id":"ITEM-1","issue":"6","issued":{"date-parts":[["2021","3","1"]]},"page":"259-270","publisher":"SAGE Publications Ltd","title":"The Gospel of Matthew and Apocalyptic Discourse","type":"article-journal","volume":"132"},"uris":["http://www.mendeley.com/documents/?uuid=92b1c70b-923d-383e-b24a-3044c881eda3"]}],"mendeley":{"formattedCitation":"David H. Wenkel, “The Gospel of Matthew and Apocalyptic Discourse,” &lt;i&gt;Expository Times&lt;/i&gt; 132, no. 6 (March 1, 2021): 259–70, https://doi.org/10.1177/0014524620977288.","plainTextFormattedCitation":"David H. Wenkel, “The Gospel of Matthew and Apocalyptic Discourse,” Expository Times 132, no. 6 (March 1, 2021): 259–70, https://doi.org/10.1177/0014524620977288.","previouslyFormattedCitation":"David H. Wenkel, “The Gospel of Matthew and Apocalyptic Discourse,” &lt;i&gt;Expository Times&lt;/i&gt; 132, no. 6 (March 1, 2021): 259–70, https://doi.org/10.1177/0014524620977288."},"properties":{"noteIndex":4},"schema":"https://github.com/citation-style-language/schema/raw/master/csl-citation.json"}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David H. Wenkel, “The Gospel of Matthew and Apocalyptic Discourse,” </w:t>
      </w:r>
      <w:r w:rsidRPr="006A1540">
        <w:rPr>
          <w:rFonts w:ascii="Times New Roman" w:hAnsi="Times New Roman" w:cs="Times New Roman"/>
          <w:i/>
          <w:noProof/>
        </w:rPr>
        <w:t>Expository Times</w:t>
      </w:r>
      <w:r w:rsidRPr="006A1540">
        <w:rPr>
          <w:rFonts w:ascii="Times New Roman" w:hAnsi="Times New Roman" w:cs="Times New Roman"/>
          <w:noProof/>
        </w:rPr>
        <w:t xml:space="preserve"> 132, no. 6 (March 1, 2021): 259–70, https://doi.org/10.1177/0014524620977288.</w:t>
      </w:r>
      <w:r w:rsidRPr="006A1540">
        <w:rPr>
          <w:rFonts w:ascii="Times New Roman" w:hAnsi="Times New Roman" w:cs="Times New Roman"/>
        </w:rPr>
        <w:fldChar w:fldCharType="end"/>
      </w:r>
    </w:p>
  </w:footnote>
  <w:footnote w:id="5">
    <w:p w14:paraId="7E9EEF6F"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{"citationItems":[{"id":"ITEM-1","itemData":{"DOI":"10.1177/014610790203200204;","ISSN":"01461079","abstract":"The ancient literary form best fitting the Synoptic \"Eschatological Discourse\" is the final discourse, the final words of a person about to die, describing what was forthcoming for those near and dear to him/her. The nineteenth-century German theological terms \"apocalyptic\" and \"eschatology\" are misplaced and misleading when applied to New Testament documents in general and to the Synoptic final discourse in particular. Ancient self-evident presuppositions about the devolution of life might have naturally (i.e. culturally) served as latent assumptions in the Synoptic story line but do not receive explicit attention.","author":[{"dropping-particle":"","family":"Malina","given":"Bruce J.","non-dropping-particle":"","parse-names":false,"suffix":""}],"container-title":"Biblical Theology Bulletin","id":"ITEM-1","issue":"2","issued":{"date-parts":[["2002","6"]]},"page":"49-59","publisher":"Sage PublicationsSage CA: Thousand Oaks, CA","title":"Exegetical eschatology, the peasant present and the final discourse genre: The case of Mark 13","type":"article-journal","volume":"32"},"uris":["http://www.mendeley.com/documents/?uuid=5d77e7d7-b2c7-304a-ab07-7a265e22ddb1"]}],"mendeley":{"formattedCitation":"Bruce J. Malina, “Exegetical Eschatology, the Peasant Present and the Final Discourse Genre: The Case of Mark 13,” &lt;i&gt;Biblical Theology Bulletin&lt;/i&gt; 32, no. 2 (June 2002): 49–59, https://doi.org/10.1177/014610790203200204;","plainTextFormattedCitation":"Bruce J. Malina, “Exegetical Eschatology, the Peasant Present and the Final Discourse Genre: The Case of Mark 13,” Biblical Theology Bulletin 32, no. 2 (June 2002): 49–59, https://doi.org/10.1177/014610790203200204;","previouslyFormattedCitation":"Bruce J. Malina, “Exegetical Eschatology, the Peasant Present and the Final Discourse Genre: The Case of Mark 13,” &lt;i&gt;Biblical Theology Bulletin&lt;/i&gt; 32, no. 2 (June 2002): 49–59, https://doi.org/10.1177/014610790203200204;"},"properties":{"noteIndex":5},"schema":"https://github.com/citation-style-language/schema/raw/master/csl-citation.json"}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Bruce J. Malina, “Exegetical Eschatology, the Peasant Present and the Final Discourse Genre: The Case of Mark 13,” </w:t>
      </w:r>
      <w:r w:rsidRPr="006A1540">
        <w:rPr>
          <w:rFonts w:ascii="Times New Roman" w:hAnsi="Times New Roman" w:cs="Times New Roman"/>
          <w:i/>
          <w:noProof/>
        </w:rPr>
        <w:t>Biblical Theology Bulletin</w:t>
      </w:r>
      <w:r w:rsidRPr="006A1540">
        <w:rPr>
          <w:rFonts w:ascii="Times New Roman" w:hAnsi="Times New Roman" w:cs="Times New Roman"/>
          <w:noProof/>
        </w:rPr>
        <w:t xml:space="preserve"> 32, no. 2 (June 2002): 49–59, https://doi.org/10.1177/014610790203200204;</w:t>
      </w:r>
      <w:r w:rsidRPr="006A1540">
        <w:rPr>
          <w:rFonts w:ascii="Times New Roman" w:hAnsi="Times New Roman" w:cs="Times New Roman"/>
        </w:rPr>
        <w:fldChar w:fldCharType="end"/>
      </w:r>
    </w:p>
  </w:footnote>
  <w:footnote w:id="6">
    <w:p w14:paraId="32546C9C"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{"citationItems":[{"id":"ITEM-1","itemData":{"DOI":"10.37196/KENOSIS.V1I1.19","ISSN":"2656-4483","abstract":"Apakah Yerusalem Baru merupakan sebuah utopi?Sebuah imaginasi tentang sebuah tempat di mana tak ada lagi isak tangis dan air mata?Lewat tulisan ini, saya hendak memperlihatkan bahwa Yerusalem Baru merupakan konstruksi penulis Kitab Wahyu pada masanya dengan muatan atau kandungan ideologi.Ideologi tersebut dibangun tatkala penulis berhadapan dengan lingkungannya di mana terjadi sebuah krisis yang mengakibatkan penderitaan dalam kehidupan umat.Imperialisme dan kekuasaannya membawa dampak kekerasan,Â  ketidakadilan, kemiskinan dan marginalisasi dalam kehidupan manusia dan ciptaan, Â mesti dilawan atau ditentang. Dengan menggunakan retorika apokaluptik yang kaya dengan simbol-simbol yang bermakna, penulis Wahyu melakukan sebuah perlawanan dalam upaya mengkritik penggunaan kekuasaan dan pelaku kekuasaan yang manipulatif dan anarkhis.Hal ini bertujuan untuk menciptakan sebuah kehidupan yang damai dan sejahtera, adil, solider dan terbuka bagi kehidupan kemanusiaan dan seluruh ciptaan.","author":[{"dropping-particle":"","family":"Nancy Patty","given":"Febby","non-dropping-particle":"","parse-names":false,"suffix":""}],"container-title":"KENOSIS: Jurnal Kajian Teologi","id":"ITEM-1","issue":"1","issued":{"date-parts":[["2015","12","1"]]},"page":"1-14","publisher":"Institut Agama Kristen Negeri Ambon","title":"Kritik Terhadap Ideologi  Imperial Memaknai Simbol Yerusalem Baru Dan Fungsinya Dalam Wahyu 21:9-27","type":"article-journal","volume":"1"},"uris":["http://www.mendeley.com/documents/?uuid=3857ff4f-2347-37b5-8119-91b8e9e873cd"]}],"mendeley":{"formattedCitation":"Febby Nancy Patty, “Kritik Terhadap Ideologi  Imperial Memaknai Simbol Yerusalem Baru Dan Fungsinya Dalam Wahyu 21:9-27,” &lt;i&gt;KENOSIS: Jurnal Kajian Teologi&lt;/i&gt; 1, no. 1 (December 1, 2015): 1–14, https://doi.org/10.37196/KENOSIS.V1I1.19.","plainTextFormattedCitation":"Febby Nancy Patty, “Kritik Terhadap Ideologi  Imperial Memaknai Simbol Yerusalem Baru Dan Fungsinya Dalam Wahyu 21:9-27,” KENOSIS: Jurnal Kajian Teologi 1, no. 1 (December 1, 2015): 1–14, https://doi.org/10.37196/KENOSIS.V1I1.19.","previouslyFormattedCitation":"Febby Nancy Patty, “Kritik Terhadap Ideologi  Imperial Memaknai Simbol Yerusalem Baru Dan Fungsinya Dalam Wahyu 21:9-27,” &lt;i&gt;KENOSIS: Jurnal Kajian Teologi&lt;/i&gt; 1, no. 1 (December 1, 2015): 1–14, https://doi.org/10.37196/KENOSIS.V1I1.19."},"properties":{"noteIndex":6},"schema":"https://github.com/citation-style-language/schema/raw/master/csl-citation.json"}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Febby Nancy Patty, “Kritik Terhadap Ideologi  Imperial Memaknai Simbol Yerusalem Baru Dan Fungsinya Dalam Wahyu 21:9-27,” </w:t>
      </w:r>
      <w:r w:rsidRPr="006A1540">
        <w:rPr>
          <w:rFonts w:ascii="Times New Roman" w:hAnsi="Times New Roman" w:cs="Times New Roman"/>
          <w:i/>
          <w:noProof/>
        </w:rPr>
        <w:t>KENOSIS: Jurnal Kajian Teologi</w:t>
      </w:r>
      <w:r w:rsidRPr="006A1540">
        <w:rPr>
          <w:rFonts w:ascii="Times New Roman" w:hAnsi="Times New Roman" w:cs="Times New Roman"/>
          <w:noProof/>
        </w:rPr>
        <w:t xml:space="preserve"> 1, no. 1 (December 1, 2015): 1–14, https://doi.org/10.37196/KENOSIS.V1I1.19.</w:t>
      </w:r>
      <w:r w:rsidRPr="006A1540">
        <w:rPr>
          <w:rFonts w:ascii="Times New Roman" w:hAnsi="Times New Roman" w:cs="Times New Roman"/>
        </w:rPr>
        <w:fldChar w:fldCharType="end"/>
      </w:r>
    </w:p>
  </w:footnote>
  <w:footnote w:id="7">
    <w:p w14:paraId="6BD77D1A"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{"citationItems":[{"id":"ITEM-1","itemData":{"DOI":"10.1017/S0028688500024152","ISSN":"1469-8145","abstract":"In 1960, E. Käsemann wrote his now well-known essay, Die Anfänge christlicher Theologie’, in which he set out to explore the terra incognita of Christian beginnings. His objective was to allow ‘full validity’ to any ‘alien element’ he might find there. Käsemann identified the alien element he discovered as ‘apocalyptic’. The conclusion Käsemann drew from this discovery, spelled out in his first paper and its sequel, ‘Zum Thema der urchristlichen Apokalyptic’, was that this ‘apocalyptic…was the mother of all Christian theology’.","author":[{"dropping-particle":"","family":"Rollins","given":"Wayne G.","non-dropping-particle":"","parse-names":false,"suffix":""}],"container-title":"New Testament Studies","id":"ITEM-1","issue":"4","issued":{"date-parts":[["1971"]]},"page":"454-476","publisher":"Cambridge University Press","title":"The New Testament and Apocalyptic","type":"article-journal","volume":"17"},"uris":["http://www.mendeley.com/documents/?uuid=5cd181f8-79a7-33a5-9d0e-23819188099e"]}],"mendeley":{"formattedCitation":"Wayne G. Rollins, “The New Testament and Apocalyptic,” &lt;i&gt;New Testament Studies&lt;/i&gt; 17, no. 4 (1971): 454–76, https://doi.org/10.1017/S0028688500024152.","plainTextFormattedCitation":"Wayne G. Rollins, “The New Testament and Apocalyptic,” New Testament Studies 17, no. 4 (1971): 454–76, https://doi.org/10.1017/S0028688500024152.","previouslyFormattedCitation":"Wayne G. Rollins, “The New Testament and Apocalyptic,” &lt;i&gt;New Testament Studies&lt;/i&gt; 17, no. 4 (1971): 454–76, https://doi.org/10.1017/S0028688500024152."},"properties":{"noteIndex":7},"schema":"https://github.com/citation-style-language/schema/raw/master/csl-citation.json"}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Wayne G. Rollins, “The New Testament and Apocalyptic,” </w:t>
      </w:r>
      <w:r w:rsidRPr="006A1540">
        <w:rPr>
          <w:rFonts w:ascii="Times New Roman" w:hAnsi="Times New Roman" w:cs="Times New Roman"/>
          <w:i/>
          <w:noProof/>
        </w:rPr>
        <w:t>New Testament Studies</w:t>
      </w:r>
      <w:r w:rsidRPr="006A1540">
        <w:rPr>
          <w:rFonts w:ascii="Times New Roman" w:hAnsi="Times New Roman" w:cs="Times New Roman"/>
          <w:noProof/>
        </w:rPr>
        <w:t xml:space="preserve"> 17, no. 4 (1971): 454–76, https://doi.org/10.1017/S0028688500024152.</w:t>
      </w:r>
      <w:r w:rsidRPr="006A1540">
        <w:rPr>
          <w:rFonts w:ascii="Times New Roman" w:hAnsi="Times New Roman" w:cs="Times New Roman"/>
        </w:rPr>
        <w:fldChar w:fldCharType="end"/>
      </w:r>
    </w:p>
  </w:footnote>
  <w:footnote w:id="8">
    <w:p w14:paraId="44E745E2"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{"citationItems":[{"id":"ITEM-1","itemData":{"DOI":"10.1177/0040573618763575;","ISSN":"20442556","abstract":"Ernst Käsemann famously claimed that “apocalyptic was the mother of all Christian theology.” This claim is more than a merely historical remark about the origins of Christian theology. Käsemann’s work pointedly raises the question, What theological difference does it make to reclaim apocalyptic, not only as the historical-theological seedbed in which Christian theology was born, but also as the “mother” to which Christian theology today must return? I contend that Käsemann’s retrieval of apocalyptic provides an important corrective—or, more strongly put, a disruption—of what one might call the “ecclesial turn” in contemporary Protestant theology. In this article, the contemporary relevance of Käsemann’s distinctive theological voice is highlighted. I propose that the time is ripe for a Christian theology “with an apocalyptic sting.”.","author":[{"dropping-particle":"","family":"Siggelkow","given":"Ry O.","non-dropping-particle":"","parse-names":false,"suffix":""}],"container-title":"Theology Today","id":"ITEM-1","issue":"1","issued":{"date-parts":[["2018","4","1"]]},"page":"37-50","publisher":"SAGE Publications Inc.","title":"Ernst Käsemann and the Specter of Apocalyptic","type":"article-journal","volume":"75"},"uris":["http://www.mendeley.com/documents/?uuid=bfd558c6-2bdf-3947-bcc7-c46107b63199"]}],"mendeley":{"formattedCitation":"Ry O. Siggelkow, “Ernst Käsemann and the Specter of Apocalyptic,” &lt;i&gt;Theology Today&lt;/i&gt; 75, no. 1 (April 1, 2018): 37–50, https://doi.org/10.1177/0040573618763575;","plainTextFormattedCitation":"Ry O. Siggelkow, “Ernst Käsemann and the Specter of Apocalyptic,” Theology Today 75, no. 1 (April 1, 2018): 37–50, https://doi.org/10.1177/0040573618763575;","previouslyFormattedCitation":"Ry O. Siggelkow, “Ernst Käsemann and the Specter of Apocalyptic,” &lt;i&gt;Theology Today&lt;/i&gt; 75, no. 1 (April 1, 2018): 37–50, https://doi.org/10.1177/0040573618763575;"},"properties":{"noteIndex":8},"schema":"https://github.com/citation-style-language/schema/raw/master/csl-citation.json"}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Ry O. Siggelkow, “Ernst Käsemann and the Specter of Apocalyptic,” </w:t>
      </w:r>
      <w:r w:rsidRPr="006A1540">
        <w:rPr>
          <w:rFonts w:ascii="Times New Roman" w:hAnsi="Times New Roman" w:cs="Times New Roman"/>
          <w:i/>
          <w:noProof/>
        </w:rPr>
        <w:t>Theology Today</w:t>
      </w:r>
      <w:r w:rsidRPr="006A1540">
        <w:rPr>
          <w:rFonts w:ascii="Times New Roman" w:hAnsi="Times New Roman" w:cs="Times New Roman"/>
          <w:noProof/>
        </w:rPr>
        <w:t xml:space="preserve"> 75, no. 1 (April 1, 2018): 37–50, https://doi.org/10.1177/0040573618763575;</w:t>
      </w:r>
      <w:r w:rsidRPr="006A1540">
        <w:rPr>
          <w:rFonts w:ascii="Times New Roman" w:hAnsi="Times New Roman" w:cs="Times New Roman"/>
        </w:rPr>
        <w:fldChar w:fldCharType="end"/>
      </w:r>
    </w:p>
  </w:footnote>
  <w:footnote w:id="9">
    <w:p w14:paraId="7770B741"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“apocalyptic”","type":"article-journal","volume":"33"},"uris":["http://www.mendeley.com/documents/?uuid=387c2c9e-30b2-3ee9-88a0-911264bfc046"]}],"mendeley":{"formattedCitation":"Benjamin E. Reynolds, “The Necessity of Form and Spatial Content for Defining ‘Apocalypse’ and ‘Apocalyptic,’” &lt;i&gt;Journal for the Study of the Pseudepigrapha&lt;/i&gt; 33, no. 3 (March 1, 2024): 187–97, https://doi.org/10.1177/09518207231217237;","plainTextFormattedCitation":"Benjamin E. Reynolds, “The Necessity of Form and Spatial Content for Defining ‘Apocalypse’ and ‘Apocalyptic,’” Journal for the Study of the Pseudepigrapha 33, no. 3 (March 1, 2024): 187–97, https://doi.org/10.1177/09518207231217237;","previouslyFormattedCitation":"Benjamin E. Reynolds, “The Necessity of Form and Spatial Content for Defining ‘Apocalypse’ and ‘Apocalyptic,’” &lt;i&gt;Journal for the Study of the Pseudepigrapha&lt;/i&gt; 33, no. 3 (March 1, 2024): 187–97, https://doi.org/10.1177/09518207231217237;"},"properties":{"noteIndex":9},"schema":"https://github.com/citation-style-language/schema/raw/master/csl-citation.json"}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Benjamin E. Reynolds, “The Necessity of Form and Spatial Content for Defining ‘Apocalypse’ and ‘Apocalyptic,’” </w:t>
      </w:r>
      <w:r w:rsidRPr="006A1540">
        <w:rPr>
          <w:rFonts w:ascii="Times New Roman" w:hAnsi="Times New Roman" w:cs="Times New Roman"/>
          <w:i/>
          <w:noProof/>
        </w:rPr>
        <w:t>Journal for the Study of the Pseudepigrapha</w:t>
      </w:r>
      <w:r w:rsidRPr="006A1540">
        <w:rPr>
          <w:rFonts w:ascii="Times New Roman" w:hAnsi="Times New Roman" w:cs="Times New Roman"/>
          <w:noProof/>
        </w:rPr>
        <w:t xml:space="preserve"> 33, no. 3 (March 1, 2024): 187–97, https://doi.org/10.1177/09518207231217237;</w:t>
      </w:r>
      <w:r w:rsidRPr="006A1540">
        <w:rPr>
          <w:rFonts w:ascii="Times New Roman" w:hAnsi="Times New Roman" w:cs="Times New Roman"/>
        </w:rPr>
        <w:fldChar w:fldCharType="end"/>
      </w:r>
    </w:p>
  </w:footnote>
  <w:footnote w:id="10">
    <w:p w14:paraId="4A6428F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{"citationItems":[{"id":"ITEM-1","itemData":{"DOI":"10.15699/JBL.1342.2015.2916","ISSN":"0021-9231","abstract":"This essay explores the place of parabiblical literature in biblical studies through a focus on New Testament apocrypha. Countering the assumption that the significance of this literature pivots on its value for understanding the origins of Christianity, this essay calls for fresh attention to the afterlives of these writings. The first section traces the genealogy of the notion of the NT apocrypha as countercanon, as well as the history of the debate over whether \"apocrypha\" preserve secret or suppressed truths about Jesus and his earliest followers. It points to the influence of post-Reformation anthological efforts and new concerns for forgery and censorship in the wake of the advent of printing, especially for popularizing a disjunctive model whereby \"apocrypha\" are imagined to have been systematically suppressed by ecclesiarchs during the Christianization of the Roman Empire. The second section surveys evidence for the elasticity of such writings and for their reception in contexts as far-flung as medieval Christian art and contemporary Japanese anime. This evidence points to the value of alternate approaches to NT apocrypha, reread as an integral part of the making of the memory of the biblical past from late antiquity to the present.","author":[{"dropping-particle":"","family":"Reed","given":"Annette Yoshiko","non-dropping-particle":"","parse-names":false,"suffix":""}],"container-title":"Journal of Biblical Literature","id":"ITEM-1","issue":"2","issued":{"date-parts":[["2015","6","1"]]},"page":"401-425","publisher":"Duke University Press","title":"The Afterlives of New Testament Apocrypha","type":"article-journal","volume":"134"},"uris":["http://www.mendeley.com/documents/?uuid=559336b2-8a11-3a42-837a-4c9d49b6e2f9"]}],"mendeley":{"formattedCitation":"Annette Yoshiko Reed, “The Afterlives of New Testament Apocrypha,” &lt;i&gt;Journal of Biblical Literature&lt;/i&gt; 134, no. 2 (June 1, 2015): 401–25, https://doi.org/10.15699/JBL.1342.2015.2916.","plainTextFormattedCitation":"Annette Yoshiko Reed, “The Afterlives of New Testament Apocrypha,” Journal of Biblical Literature 134, no. 2 (June 1, 2015): 401–25, https://doi.org/10.15699/JBL.1342.2015.2916.","previouslyFormattedCitation":"Annette Yoshiko Reed, “The Afterlives of New Testament Apocrypha,” &lt;i&gt;Journal of Biblical Literature&lt;/i&gt; 134, no. 2 (June 1, 2015): 401–25, https://doi.org/10.15699/JBL.1342.2015.2916."},"properties":{"noteIndex":10},"schema":"https://github.com/citation-style-language/schema/raw/master/csl-citation.json"}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Annette Yoshiko Reed, “The Afterlives of New Testament Apocrypha,”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134, no. 2 (June 1, 2015): 401–25, https://doi.org/10.15699/JBL.1342.2015.2916.</w:t>
      </w:r>
      <w:r w:rsidRPr="006A1540">
        <w:rPr>
          <w:rFonts w:ascii="Times New Roman" w:hAnsi="Times New Roman" w:cs="Times New Roman"/>
        </w:rPr>
        <w:fldChar w:fldCharType="end"/>
      </w:r>
    </w:p>
  </w:footnote>
  <w:footnote w:id="11">
    <w:p w14:paraId="7F8553B0"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{"citationItems":[{"id":"ITEM-1","itemData":{"ISBN":"0190887451","abstract":"\"The field of Synoptic studies traditionally has had two basic foci. The question of how Matthew, Mark, and Luke are related to each other, what their sources are, and how the Gospels use their sources constitutes the first focus. Collectively, scholarship on the Synoptic Problem has tried to address these issues, and recent years have seen renewed interest and rigorous debate about some of the traditional approaches to the Synoptic Problem and how these approaches might inform the understanding of the origins of the early Jesus movement. The second focus involves thematic studies across the three Gospels. These are usually, but not exclusively, performed for theological purposes to tease out the early Jesus movement's thinking about the nature of Jesus, the motivations for his actions, the meaning of his death and resurrection, and his relationship to God. These studies pay less attention to the particular voices of the three individual Synoptic Gospels because they are trying to get to the overall theological character of Jesus\"-- Provided by publisher. Part I. Problem and nature of the synoptic Gospels -- History and prospects of the Synoptic problem / John S. Kloppenborg -- Minor sources and their role in the Synoptic problem / Paul Foster -- Use of sources in ancient compositions / James W. Barker -- Ancient rhetoric as an evaluative tool for literary dependence / Alexander Damm -- Paul's possible influence on the Synoptics / Cameron Evan Ferguson -- Oral tradition, writing, and the Synoptic problem: media dualism and Gospel origins / Alan Kirk -- Oral performance of the Synoptics / Lee A. Johnson -- Narrative design of the Synoptics / Michael Beth Dinkler -- Manuscripts : the problem with the Synoptic problem / Brent Nongbri -- Publication of the Synoptics and the problem of dating / Matthew Larsen -- The Synoptic Gospels and Apocryphal narratives / Janet E. Spittler -- The Gospel of Thomas and the Synoptics / Melissa Harl Sellew -- Part II. Particular features in comparison -- Suffering and sacrifice / Candida R. Moss -- Violent imaginaries / Sarah E. Rollens -- Kingdom, authority, and power / Michael Peppard -- Wealth, poverty, economy / Thomas R. Blanton IV -- Travel and itinerancy / Timothy Luckritz Marquis -- Food and meals / Soham Al-Suadi -- Healing and exorcism / Meghan Henning -- Sacred space / Karen Wenell -- History / Eve-Marie Becker -- Apocalyptic eschatology / Robyn J. Whitaker -- Resurrection and the afterlife / Alexey Somov -- Gosp…","author":[{"dropping-particle":"","family":"Ahearne-Kroll","given":"Stephen P..","non-dropping-particle":"","parse-names":false,"suffix":""}],"id":"ITEM-1","issued":{"date-parts":[["2023"]]},"number-of-pages":"608","publisher":"Oxford University Press","publisher-place":"Oxford ","title":"The Oxford handbook of the synoptic gospels","type":"book"},"uris":["http://www.mendeley.com/documents/?uuid=8a323b28-c66e-33f4-aad1-e664c16e777c"]}],"mendeley":{"formattedCitation":"Stephen P.. Ahearne-Kroll, &lt;i&gt;The Oxford Handbook of the Synoptic Gospels&lt;/i&gt; (Oxford : Oxford University Press, 2023).","manualFormatting":"Stephen P.. Ahearne-Kroll, The Oxford Handbook of the Synoptic Gospels (Oxford : Oxford University Press, 2023), 413.","plainTextFormattedCitation":"Stephen P.. Ahearne-Kroll, The Oxford Handbook of the Synoptic Gospels (Oxford : Oxford University Press, 2023).","previouslyFormattedCitation":"Stephen P.. Ahearne-Kroll, &lt;i&gt;The Oxford Handbook of the Synoptic Gospels&lt;/i&gt; (Oxford : Oxford University Press, 2023)."},"properties":{"noteIndex":11},"schema":"https://github.com/citation-style-language/schema/raw/master/csl-citation.json"}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Stephen P.. Ahearne-Kroll, </w:t>
      </w:r>
      <w:r w:rsidRPr="006A1540">
        <w:rPr>
          <w:rFonts w:ascii="Times New Roman" w:hAnsi="Times New Roman" w:cs="Times New Roman"/>
          <w:i/>
          <w:noProof/>
        </w:rPr>
        <w:t>The Oxford Handbook of the Synoptic Gospels</w:t>
      </w:r>
      <w:r w:rsidRPr="006A1540">
        <w:rPr>
          <w:rFonts w:ascii="Times New Roman" w:hAnsi="Times New Roman" w:cs="Times New Roman"/>
          <w:noProof/>
        </w:rPr>
        <w:t xml:space="preserve"> (Oxford : Oxford University Press, 2023), 413.</w:t>
      </w:r>
      <w:r w:rsidRPr="006A1540">
        <w:rPr>
          <w:rFonts w:ascii="Times New Roman" w:hAnsi="Times New Roman" w:cs="Times New Roman"/>
        </w:rPr>
        <w:fldChar w:fldCharType="end"/>
      </w:r>
    </w:p>
  </w:footnote>
  <w:footnote w:id="12">
    <w:p w14:paraId="38E888B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Revelation","type":"book"},"uris":["http://www.mendeley.com/documents/?uuid=6660096a-e190-3790-bc01-b1ea124bd6dc"]}],"mendeley":{"formattedCitation":"Jacques Ellul, &lt;i&gt;Apocalypse : The Book of Revelation&lt;/i&gt; (Bordeaux: Wipf &amp; Stock, 2019).","manualFormatting":"Jacques Ellul, Apocalypse : The Book of Revelation (Bordeaux: Wipf &amp; Stock, 2019), 10.","plainTextFormattedCitation":"Jacques Ellul, Apocalypse : The Book of Revelation (Bordeaux: Wipf &amp; Stock, 2019).","previouslyFormattedCitation":"Jacques Ellul, &lt;i&gt;Apocalypse : The Book of Revelation&lt;/i&gt; (Bordeaux: Wipf &amp; Stock, 2019)."},"properties":{"noteIndex":12},"schema":"https://github.com/citation-style-language/schema/raw/master/csl-citation.json"}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Jacques Ellul, </w:t>
      </w:r>
      <w:r w:rsidRPr="006A1540">
        <w:rPr>
          <w:rFonts w:ascii="Times New Roman" w:hAnsi="Times New Roman" w:cs="Times New Roman"/>
          <w:i/>
          <w:noProof/>
        </w:rPr>
        <w:t>Apocalypse : The Book of Revelation</w:t>
      </w:r>
      <w:r w:rsidRPr="006A1540">
        <w:rPr>
          <w:rFonts w:ascii="Times New Roman" w:hAnsi="Times New Roman" w:cs="Times New Roman"/>
          <w:noProof/>
        </w:rPr>
        <w:t xml:space="preserve"> (Bordeaux: Wipf &amp; Stock, 2019), 10.</w:t>
      </w:r>
      <w:r w:rsidRPr="006A1540">
        <w:rPr>
          <w:rFonts w:ascii="Times New Roman" w:hAnsi="Times New Roman" w:cs="Times New Roman"/>
        </w:rPr>
        <w:fldChar w:fldCharType="end"/>
      </w:r>
    </w:p>
  </w:footnote>
  <w:footnote w:id="13">
    <w:p w14:paraId="4BD19F0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{"citationItems":[{"id":"ITEM-1","itemData":{"DOI":"10.1177/13684310211067980;","ISSN":"14617137","abstract":"In recent years, images of climate catastrophe have become commonplace. However, Black visions of the confluence of the Anthropocene and the apocalypse have been largely ignored. As we argue in this article, Black social thought offers crucial resources for drawing out the implicit exclusions of dominant representations of climate breakdown and developing an alternative account of the planet’s future. By reading a range of critical race theorists, from Frederick Douglass and W. E. B. Du Bois to Octavia Butler and Ta-Nehisi Coates, we propose a rethinking of the climate apocalypse. The African American theoretical and cultural tradition elaborates an image of the end of the world that emphasises the non-revelatory nature of climate catastrophe, warns against associating collapse with rebirth, and articulates a mode of maroon survivalism in which the apocalypse is an event to be endured and escaped rather than fatalistically expected or infinitely delayed.","author":[{"dropping-particle":"","family":"Davidson","given":"Joe P.L.","non-dropping-particle":"","parse-names":false,"suffix":""},{"dropping-particle":"","family":"Silva","given":"Filipe Carreira","non-dropping-particle":"da","parse-names":false,"suffix":""}],"container-title":"European Journal of Social Theory","id":"ITEM-1","issue":"4","issued":{"date-parts":[["2022","11","1"]]},"page":"521-538","publisher":"SAGE Publications Ltd","title":"Fear of a Black planet: Climate apocalypse, Anthropocene futures and Black social thought","type":"article-journal","volume":"25"},"uris":["http://www.mendeley.com/documents/?uuid=cb2dc436-c680-3bd9-aa5c-b93722e4a29a"]}],"mendeley":{"formattedCitation":"Joe P.L. Davidson and Filipe Carreira da Silva, “Fear of a Black Planet: Climate Apocalypse, Anthropocene Futures and Black Social Thought,” &lt;i&gt;European Journal of Social Theory&lt;/i&gt; 25, no. 4 (November 1, 2022): 521–38, https://doi.org/10.1177/13684310211067980;","plainTextFormattedCitation":"Joe P.L. Davidson and Filipe Carreira da Silva, “Fear of a Black Planet: Climate Apocalypse, Anthropocene Futures and Black Social Thought,” European Journal of Social Theory 25, no. 4 (November 1, 2022): 521–38, https://doi.org/10.1177/13684310211067980;","previouslyFormattedCitation":"Joe P.L. Davidson and Filipe Carreira da Silva, “Fear of a Black Planet: Climate Apocalypse, Anthropocene Futures and Black Social Thought,” &lt;i&gt;European Journal of Social Theory&lt;/i&gt; 25, no. 4 (November 1, 2022): 521–38, https://doi.org/10.1177/13684310211067980;"},"properties":{"noteIndex":13},"schema":"https://github.com/citation-style-language/schema/raw/master/csl-citation.json"}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and Filipe Carreira da Silva, “Fear of a Black Planet: Climate Apocalypse, Anthropocene Futures and Black Social Thought,” </w:t>
      </w:r>
      <w:r w:rsidRPr="006A1540">
        <w:rPr>
          <w:rFonts w:ascii="Times New Roman" w:hAnsi="Times New Roman" w:cs="Times New Roman"/>
          <w:i/>
          <w:noProof/>
        </w:rPr>
        <w:t>European Journal of Social Theory</w:t>
      </w:r>
      <w:r w:rsidRPr="006A1540">
        <w:rPr>
          <w:rFonts w:ascii="Times New Roman" w:hAnsi="Times New Roman" w:cs="Times New Roman"/>
          <w:noProof/>
        </w:rPr>
        <w:t xml:space="preserve"> 25, no. 4 (November 1, 2022): 521–38, https://doi.org/10.1177/13684310211067980;</w:t>
      </w:r>
      <w:r w:rsidRPr="006A1540">
        <w:rPr>
          <w:rFonts w:ascii="Times New Roman" w:hAnsi="Times New Roman" w:cs="Times New Roman"/>
        </w:rPr>
        <w:fldChar w:fldCharType="end"/>
      </w:r>
    </w:p>
  </w:footnote>
  <w:footnote w:id="14">
    <w:p w14:paraId="43CEEBD8" w14:textId="35C713F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{"citationItems":[{"id":"ITEM-1","itemData":{"DOI":"10.4102/HTS.V80I1.9978;","ISSN":"20728050","abstract":"Mark 13 is famously known as the most challenging text in the entire Markan gospel. In Mark 13:7–8, the Markan Jesus foretells a tumultuous period marked by wars, rumours of wars, nations in conflict and natural hazards, aligning with common motifs in apocalyptic literature. The language vividly depicts a world in upheaval, emphasising cosmic and earthly disturbances as harbingers of climactic historical moments. The destruction of the temple, announced in Mark 13:2, is subject to both literal and symbolic interpretations, with some associating it with the historical event of the Second Temple’s destruction in 70 CE and others perceiving it as a symbol of the end of an age. Approaching Mark 13 without being triggered by violent connotations is unthinkable. Hence, responsible interpretation is pivotal in addressing such potentially violent connotations, particularly considering contemporary world conflicts. Sensitivity, without compromising the truth of the message of Mark 13, is crucial when considering the text’s impact on war-torn communities. This applies both to a reading that simulates the possible intention of the text within the context in which the Gospel, according to Mark, originated and to a historically informed use of such a reading considering contemporary conflicts. This study aims to employ a historiographical hermeneutic as an investigative tool to contribute a plausible understanding of the present text and avoid utilising this text as proof to promote violence and wars today. Especially, when one considers the recent catastrophes: natural hazards, civil unrest and wars across the world. Some are quick to utilise the Olivet discourse to explain such gruesome activities. Contribution: This study contextualizes Mark 13 within the 1st century CE, focusing on the Second Temple’s destruction in 70 CE. It promotes a sensitive interpretation, avoiding justifications for contemporary violence, and highlights the text’s relevance by drawing parallels between its turmoil and current global conflicts, encouraging ethical reflection.","author":[{"dropping-particle":"","family":"Hombana","given":"Mphumezi","non-dropping-particle":"","parse-names":false,"suffix":""}],"container-title":"HTS Teologiese Studies / Theological Studies","id":"ITEM-1","issue":"1","issued":{"date-parts":[["2024"]]},"publisher":"AOSIS (pty) Ltd","title":"Violence and apocalyptic notions in Mark 13","type":"article-journal","volume":"80"},"uris":["http://www.mendeley.com/documents/?uuid=f6ddc6e1-dfd7-359b-8224-60d37f91b361"]}],"mendeley":{"formattedCitation":"Mphumezi Hombana, “Violence and Apocalyptic Notions in Mark 13,” &lt;i&gt;HTS Teologiese Studies / Theological Studies&lt;/i&gt; 80, no. 1 (2024), https://doi.org/10.4102/HTS.V80I1.9978;","plainTextFormattedCitation":"Mphumezi Hombana, “Violence and Apocalyptic Notions in Mark 13,” HTS Teologiese Studies / Theological Studies 80, no. 1 (2024), https://doi.org/10.4102/HTS.V80I1.9978;","previouslyFormattedCitation":"Mphumezi Hombana, “Violence and Apocalyptic Notions in Mark 13,” &lt;i&gt;HTS Teologiese Studies / Theological Studies&lt;/i&gt; 80, no. 1 (2024), https://doi.org/10.4102/HTS.V80I1.9978;"},"properties":{"noteIndex":14},"schema":"https://github.com/citation-style-language/schema/raw/master/csl-citation.json"}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Mphumezi Hombana, “Violence and Apocalyptic Notions in Mark 13,” </w:t>
      </w:r>
      <w:r w:rsidRPr="00DE4870">
        <w:rPr>
          <w:rFonts w:ascii="Times New Roman" w:hAnsi="Times New Roman" w:cs="Times New Roman"/>
          <w:i/>
          <w:noProof/>
        </w:rPr>
        <w:t>HTS Teologiese Studies / Theological Studies</w:t>
      </w:r>
      <w:r w:rsidRPr="00DE4870">
        <w:rPr>
          <w:rFonts w:ascii="Times New Roman" w:hAnsi="Times New Roman" w:cs="Times New Roman"/>
          <w:noProof/>
        </w:rPr>
        <w:t xml:space="preserve"> 80, no. 1 (2024), https://doi.org/10.4102/HTS.V80I1.9978;</w:t>
      </w:r>
      <w:r w:rsidRPr="006A1540">
        <w:rPr>
          <w:rFonts w:ascii="Times New Roman" w:hAnsi="Times New Roman" w:cs="Times New Roman"/>
        </w:rPr>
        <w:fldChar w:fldCharType="end"/>
      </w:r>
    </w:p>
  </w:footnote>
  <w:footnote w:id="15">
    <w:p w14:paraId="743A938F" w14:textId="1AF286EA"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{"citationItems":[{"id":"ITEM-1","itemData":{"DOI":"10.1177/00209643221108832;","ISSN":"2159340X","abstract":"Apocalyptic thinking permeates Paul’s ideas about the gospel, God, the present age, and what is to come. Paul in his letters not only writes about the revelations that he himself has received (Gal 1:11–12, 2:2), but also how the gospel reveals God’s ultimate justice (Rom 1:17). Apocalypticism as an ideology is fundamentally concerned with justice and the expectation of a future intervention that will conclusively reconcile the injustices of the world with the justice of God. Though of course Paul never sat down and wrote an “Apocalypse” or even an apocalyptic letter, his letters reveal glimpses of the apocalyptic ways Paul thought about the world and humanity’s place in it. This article reviews the history and main tenets of apocalypticism and then examines three fundamental areas of apocalyptic thinking as expressed in Paul’s letters: the idea of apocalypse as full disclosure, the apocalyptic promise of full justice, and Paul’s use of apocalyptic ideas to reorient his readers to thinking about true-but-hidden identity, both of the “present evil age” (Gal 1:4) and of one’s current place in it. Paul draws upon and employs apocalyptic imagery to solve practical problems in his communities, equipping them to face the world with a full cosmic perspective.","author":[{"dropping-particle":"","family":"Kensky","given":"Meira Z.","non-dropping-particle":"","parse-names":false,"suffix":""}],"container-title":"Interpretation: A Journal of Bible and Theology","id":"ITEM-1","issue":"4","issued":{"date-parts":[["2022","10","1"]]},"page":"328-338","publisher":"SAGE Publications Ltd","title":"Paul and the Apocalypse of the Gospel","type":"article-journal","volume":"76"},"uris":["http://www.mendeley.com/documents/?uuid=7a8f2c32-1b7f-3012-9940-808bfc1d1cdd"]}],"mendeley":{"formattedCitation":"Meira Z. Kensky, “Paul and the Apocalypse of the Gospel,” &lt;i&gt;Interpretation: A Journal of Bible and Theology&lt;/i&gt; 76, no. 4 (October 1, 2022): 328–38, https://doi.org/10.1177/00209643221108832;","plainTextFormattedCitation":"Meira Z. Kensky, “Paul and the Apocalypse of the Gospel,” Interpretation: A Journal of Bible and Theology 76, no. 4 (October 1, 2022): 328–38, https://doi.org/10.1177/00209643221108832;","previouslyFormattedCitation":"Meira Z. Kensky, “Paul and the Apocalypse of the Gospel,” &lt;i&gt;Interpretation: A Journal of Bible and Theology&lt;/i&gt; 76, no. 4 (October 1, 2022): 328–38, https://doi.org/10.1177/00209643221108832;"},"properties":{"noteIndex":15},"schema":"https://github.com/citation-style-language/schema/raw/master/csl-citation.json"}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Meira Z. Kensky, “Paul and the Apocalypse of the Gospel,” </w:t>
      </w:r>
      <w:r w:rsidRPr="00DE4870">
        <w:rPr>
          <w:rFonts w:ascii="Times New Roman" w:hAnsi="Times New Roman" w:cs="Times New Roman"/>
          <w:i/>
          <w:noProof/>
        </w:rPr>
        <w:t>Interpretation: A Journal of Bible and Theology</w:t>
      </w:r>
      <w:r w:rsidRPr="00DE4870">
        <w:rPr>
          <w:rFonts w:ascii="Times New Roman" w:hAnsi="Times New Roman" w:cs="Times New Roman"/>
          <w:noProof/>
        </w:rPr>
        <w:t xml:space="preserve"> 76, no. 4 (October 1, 2022): 328–38, https://doi.org/10.1177/00209643221108832;</w:t>
      </w:r>
      <w:r w:rsidRPr="006A1540">
        <w:rPr>
          <w:rFonts w:ascii="Times New Roman" w:hAnsi="Times New Roman" w:cs="Times New Roman"/>
        </w:rPr>
        <w:fldChar w:fldCharType="end"/>
      </w:r>
    </w:p>
  </w:footnote>
  <w:footnote w:id="16">
    <w:p w14:paraId="063BC9D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{"citationItems":[{"id":"ITEM-1","itemData":{"ISBN":"9780813235127","abstract":"\"The letters of the Apostle Paul are central witnesses to the Christian faith and to the earliest history of Christianity. And yet, when students, preachers, and others turn to Paul, they find many things \"hard to understand\" (2 Peter 3:16) in these ancient writings. This book offers an introduction for those who study, teach, and preach these biblical books. Steeped in up-to-date scholarship and a passion for the gospel Paul preached, Prothro draws readers into Paul's life and letters in order to help them hear the Apostle's voice. The book's chapters offer introductions to Paul's background, life, and legacy; each includes the following: an introduction to ancient letter writing; a guide to understanding Paul's theology across the letters; a survey of the portrait of Paul in the Book of Acts; separate treatments of each letter's background and purpose; treatments of key theological topics in each letter; a thorough outline of each letter showing its arguments and how they make sense. Prothro not only offers answers but models how to ask questions, helping us reason through Paul's letters as ancient documents and as Christian Scripture\"–","author":[{"dropping-particle":"","family":"Prothro","given":"James B.","non-dropping-particle":"","parse-names":false,"suffix":""}],"container-title":"Journal GEEJ","id":"ITEM-1","issue":"2","issued":{"date-parts":[["2021"]]},"publisher":"The Catholic University of America Press","publisher-place":"Boston","title":"The Apostle Paul And His Letters : An Introduction","type":"book","volume":"7"},"uris":["http://www.mendeley.com/documents/?uuid=8f4b5343-ce45-3d8c-a32d-63e50ee32866"]}],"mendeley":{"formattedCitation":"James B. Prothro, &lt;i&gt;The Apostle Paul And His Letters : An Introduction&lt;/i&gt;, &lt;i&gt;Journal GEEJ&lt;/i&gt;, vol. 7 (Boston: The Catholic University of America Press, 2021).","manualFormatting":"James B. Prothro, The Apostle Paul And His Letters : An Introduction, Journal GEEJ, vol. 7 (Boston: The Catholic University of America Press, 2021), 25.","plainTextFormattedCitation":"James B. Prothro, The Apostle Paul And His Letters : An Introduction, Journal GEEJ, vol. 7 (Boston: The Catholic University of America Press, 2021).","previouslyFormattedCitation":"James B. Prothro, &lt;i&gt;The Apostle Paul And His Letters : An Introduction&lt;/i&gt;, &lt;i&gt;Journal GEEJ&lt;/i&gt;, vol. 7 (Boston: The Catholic University of America Press, 2021)."},"properties":{"noteIndex":16},"schema":"https://github.com/citation-style-language/schema/raw/master/csl-citation.json"}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James B. Prothro, </w:t>
      </w:r>
      <w:r w:rsidRPr="006A1540">
        <w:rPr>
          <w:rFonts w:ascii="Times New Roman" w:hAnsi="Times New Roman" w:cs="Times New Roman"/>
          <w:i/>
          <w:noProof/>
        </w:rPr>
        <w:t>The Apostle Paul And His Letters : An Introduction</w:t>
      </w:r>
      <w:r w:rsidRPr="006A1540">
        <w:rPr>
          <w:rFonts w:ascii="Times New Roman" w:hAnsi="Times New Roman" w:cs="Times New Roman"/>
          <w:noProof/>
        </w:rPr>
        <w:t xml:space="preserve">, </w:t>
      </w:r>
      <w:r w:rsidRPr="006A1540">
        <w:rPr>
          <w:rFonts w:ascii="Times New Roman" w:hAnsi="Times New Roman" w:cs="Times New Roman"/>
          <w:i/>
          <w:noProof/>
        </w:rPr>
        <w:t>Journal GEEJ</w:t>
      </w:r>
      <w:r w:rsidRPr="006A1540">
        <w:rPr>
          <w:rFonts w:ascii="Times New Roman" w:hAnsi="Times New Roman" w:cs="Times New Roman"/>
          <w:noProof/>
        </w:rPr>
        <w:t>, vol. 7 (Boston: The Catholic University of America Press, 2021), 25.</w:t>
      </w:r>
      <w:r w:rsidRPr="006A1540">
        <w:rPr>
          <w:rFonts w:ascii="Times New Roman" w:hAnsi="Times New Roman" w:cs="Times New Roman"/>
        </w:rPr>
        <w:fldChar w:fldCharType="end"/>
      </w:r>
    </w:p>
  </w:footnote>
  <w:footnote w:id="17">
    <w:p w14:paraId="3EBAFE5E" w14:textId="7AE1B2A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{"citationItems":[{"id":"ITEM-1","itemData":{"DOI":"10.5621.44.3.0437","ISSN":"0091-7729","abstract":"Through a broad survey of fictional, religious, philosophical, and political end-time narratives, this essay identifies two strategies for telling stories about the end of the world. Apocalyptic narratives use the idea of the end to give structure to the experience of history. By narrating the end as a moment of rupture that creates an absolute division between old and new worlds, they frame history as a series of clearly defined and therefore comprehensible transitions between distinct moments or epochs. Postapocalyptic narratives complicate this neatly organized account by narrating \"ends\" as complex historical transformations that involve survivals and continuities and thus blur before/after distinctions. Rather than providing a comprehensive and therefore existentially stabilizing overview of history, they draw attention to the indeterminate nature of ongoing processes of historical change. By focusing on the conceptual understanding of historical change that underwrites different kinds of end-time narratives, the essay clarifies the theoretical terminology of apocalypse and postapocalypse, and articulates a clearer understanding of the ways in which different kinds of contemporary stories about the end of the world are used to provide conceptual support for political action in the present.","author":[{"dropping-particle":"","family":"Pitetti","given":"Connor","non-dropping-particle":"","parse-names":false,"suffix":""}],"container-title":"Science Fiction Studies","id":"ITEM-1","issue":"Part 3 (133)","issued":{"date-parts":[["2017","11","1"]]},"page":"437-454","publisher":"University of California Press","title":"Uses of the End of the World: Apocalypse and Postapocalypse as Narrative Modes","type":"article-journal","volume":"44"},"uris":["http://www.mendeley.com/documents/?uuid=72dfb9ea-717b-34ff-94d2-d2318e519428"]}],"mendeley":{"formattedCitation":"Connor Pitetti, “Uses of the End of the World: Apocalypse and Postapocalypse as Narrative Modes,” &lt;i&gt;Science Fiction Studies&lt;/i&gt; 44, no. Part 3 (133) (November 1, 2017): 437–54, https://doi.org/10.5621.44.3.0437.","plainTextFormattedCitation":"Connor Pitetti, “Uses of the End of the World: Apocalypse and Postapocalypse as Narrative Modes,” Science Fiction Studies 44, no. Part 3 (133) (November 1, 2017): 437–54, https://doi.org/10.5621.44.3.0437.","previouslyFormattedCitation":"Connor Pitetti, “Uses of the End of the World: Apocalypse and Postapocalypse as Narrative Modes,” &lt;i&gt;Science Fiction Studies&lt;/i&gt; 44, no. Part 3 (133) (November 1, 2017): 437–54, https://doi.org/10.5621.44.3.0437."},"properties":{"noteIndex":17},"schema":"https://github.com/citation-style-language/schema/raw/master/csl-citation.json"}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Connor Pitetti, “Uses of the End of the World: Apocalypse and Postapocalypse as Narrative Modes,” </w:t>
      </w:r>
      <w:r w:rsidRPr="00DE4870">
        <w:rPr>
          <w:rFonts w:ascii="Times New Roman" w:hAnsi="Times New Roman" w:cs="Times New Roman"/>
          <w:i/>
          <w:noProof/>
        </w:rPr>
        <w:t>Science Fiction Studies</w:t>
      </w:r>
      <w:r w:rsidRPr="00DE4870">
        <w:rPr>
          <w:rFonts w:ascii="Times New Roman" w:hAnsi="Times New Roman" w:cs="Times New Roman"/>
          <w:noProof/>
        </w:rPr>
        <w:t xml:space="preserve"> 44, no. Part 3 (133) (November 1, 2017): 437–54, https://doi.org/10.5621.44.3.0437.</w:t>
      </w:r>
      <w:r w:rsidRPr="006A1540">
        <w:rPr>
          <w:rFonts w:ascii="Times New Roman" w:hAnsi="Times New Roman" w:cs="Times New Roman"/>
        </w:rPr>
        <w:fldChar w:fldCharType="end"/>
      </w:r>
    </w:p>
  </w:footnote>
  <w:footnote w:id="18">
    <w:p w14:paraId="26BD3E02" w14:textId="4CE5D325"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{"citationItems":[{"id":"ITEM-1","itemData":{"DOI":"10.1177/0953946817737504;","ISSN":"17455235","abstract":"Apocalypticism has been widely denounced as a framework that devalues the world and its history, funding moral dualism. While this is certainly true of many forms of apocalypticism, it is not an accurate understanding of ancient apocalyptic texts. This article establishes a framework of theological virtue ethics drawn particularly from Herbert McCabe, in which human rationality and Christian morality are understood as political, linguistic, narrative, bodily and sacramental. From within this framework, Anathea Portier-Young’s work is considered, relating early Jewish apocalyptic to trauma theory and describing how these texts narrated socio-political catastrophe in order to open up possibilities of resistance and hope. These considerations point us towards a constructive understanding of apocalyptic imagination and praxis within a political, linguistic, narrative, bodily and sacramental framework. Contemporary employments of Afro-pessimism in Black theology, particularly in J. Kameron Carter, then interrogate the proposed apocalyptic imagination, asking whether Christian apocalyptic praxis can cultivate hope in the face of the catastrophe of modern racism.","author":[{"dropping-particle":"","family":"Phillips","given":"Elizabeth","non-dropping-particle":"","parse-names":false,"suffix":""}],"container-title":"Studies in Christian Ethics","id":"ITEM-1","issue":"1","issued":{"date-parts":[["2018","2","1"]]},"page":"17-33","publisher":"SAGE Publications Inc.","title":"Narrating catastrophe, cultivating hope: Apocalyptic practices and theological virtue","type":"article-journal","volume":"31"},"uris":["http://www.mendeley.com/documents/?uuid=4cb56320-0b83-3518-a0b9-a53a5229eb99"]}],"mendeley":{"formattedCitation":"Elizabeth Phillips, “Narrating Catastrophe, Cultivating Hope: Apocalyptic Practices and Theological Virtue,” &lt;i&gt;Studies in Christian Ethics&lt;/i&gt; 31, no. 1 (February 1, 2018): 17–33, https://doi.org/10.1177/0953946817737504;","plainTextFormattedCitation":"Elizabeth Phillips, “Narrating Catastrophe, Cultivating Hope: Apocalyptic Practices and Theological Virtue,” Studies in Christian Ethics 31, no. 1 (February 1, 2018): 17–33, https://doi.org/10.1177/0953946817737504;","previouslyFormattedCitation":"Elizabeth Phillips, “Narrating Catastrophe, Cultivating Hope: Apocalyptic Practices and Theological Virtue,” &lt;i&gt;Studies in Christian Ethics&lt;/i&gt; 31, no. 1 (February 1, 2018): 17–33, https://doi.org/10.1177/0953946817737504;"},"properties":{"noteIndex":18},"schema":"https://github.com/citation-style-language/schema/raw/master/csl-citation.json"}</w:instrText>
      </w:r>
      <w:r>
        <w:fldChar w:fldCharType="separate"/>
      </w:r>
      <w:r w:rsidRPr="00DE4870">
        <w:rPr>
          <w:noProof/>
        </w:rPr>
        <w:t xml:space="preserve">Elizabeth Phillips, “Narrating Catastrophe, Cultivating Hope: Apocalyptic Practices and Theological Virtue,” </w:t>
      </w:r>
      <w:r w:rsidRPr="00DE4870">
        <w:rPr>
          <w:i/>
          <w:noProof/>
        </w:rPr>
        <w:t>Studies in Christian Ethics</w:t>
      </w:r>
      <w:r w:rsidRPr="00DE4870">
        <w:rPr>
          <w:noProof/>
        </w:rPr>
        <w:t xml:space="preserve"> 31, no. 1 (February 1, 2018): 17–33, https://doi.org/10.1177/0953946817737504;</w:t>
      </w:r>
      <w:r>
        <w:fldChar w:fldCharType="end"/>
      </w:r>
    </w:p>
  </w:footnote>
  <w:footnote w:id="19">
    <w:p w14:paraId="45008EBF"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“apocalyptic”","type":"article-journal","volume":"33"},"uris":["http://www.mendeley.com/documents/?uuid=387c2c9e-30b2-3ee9-88a0-911264bfc046"]}],"mendeley":{"formattedCitation":"Reynolds, “The Necessity of Form and Spatial Content for Defining ‘Apocalypse’ and ‘Apocalyptic.’”","plainTextFormattedCitation":"Reynolds, “The Necessity of Form and Spatial Content for Defining ‘Apocalypse’ and ‘Apocalyptic.’”","previouslyFormattedCitation":"Reynolds, “The Necessity of Form and Spatial Content for Defining ‘Apocalypse’ and ‘Apocalyptic.’”"},"properties":{"noteIndex":19},"schema":"https://github.com/citation-style-language/schema/raw/master/csl-citation.json"}</w:instrText>
      </w:r>
      <w:r>
        <w:fldChar w:fldCharType="separate"/>
      </w:r>
      <w:r w:rsidRPr="006A1540">
        <w:rPr>
          <w:noProof/>
        </w:rPr>
        <w:t>Reynolds, “The Necessity of Form and Spatial Content for Defining ‘Apocalypse’ and ‘Apocalyptic.’”</w:t>
      </w:r>
      <w:r>
        <w:fldChar w:fldCharType="end"/>
      </w:r>
    </w:p>
  </w:footnote>
  <w:footnote w:id="20">
    <w:p w14:paraId="4170FBD2"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Revelation","type":"book"},"uris":["http://www.mendeley.com/documents/?uuid=6660096a-e190-3790-bc01-b1ea124bd6dc"]}],"mendeley":{"formattedCitation":"Ellul, &lt;i&gt;Apocalypse</w:instrText>
      </w:r>
      <w:r>
        <w:rPr>
          <w:rFonts w:ascii="Arial" w:hAnsi="Arial" w:cs="Arial"/>
        </w:rPr>
        <w:instrText> </w:instrText>
      </w:r>
      <w:r>
        <w:instrText>: The Book of Revelation&lt;/i&gt;.","plainTextFormattedCitation":"Ellul, Apocalypse</w:instrText>
      </w:r>
      <w:r>
        <w:rPr>
          <w:rFonts w:ascii="Arial" w:hAnsi="Arial" w:cs="Arial"/>
        </w:rPr>
        <w:instrText> </w:instrText>
      </w:r>
      <w:r>
        <w:instrText>: The Book of Revelation.","previouslyFormattedCitation":"Ellul, &lt;i&gt;Apocalypse</w:instrText>
      </w:r>
      <w:r>
        <w:rPr>
          <w:rFonts w:ascii="Arial" w:hAnsi="Arial" w:cs="Arial"/>
        </w:rPr>
        <w:instrText> </w:instrText>
      </w:r>
      <w:r>
        <w:instrText>: The Book of Revelation&lt;/i&gt;."},"properties":{"noteIndex":20},"schema":"https://github.com/citation-style-language/schema/raw/master/csl-citation.json"}</w:instrText>
      </w:r>
      <w:r>
        <w:fldChar w:fldCharType="separate"/>
      </w:r>
      <w:r w:rsidRPr="006A1540">
        <w:rPr>
          <w:noProof/>
        </w:rPr>
        <w:t xml:space="preserve">Ellul, </w:t>
      </w:r>
      <w:r w:rsidRPr="006A1540">
        <w:rPr>
          <w:i/>
          <w:noProof/>
        </w:rPr>
        <w:t>Apocalypse</w:t>
      </w:r>
      <w:r w:rsidRPr="006A1540">
        <w:rPr>
          <w:rFonts w:ascii="Arial" w:hAnsi="Arial" w:cs="Arial"/>
          <w:i/>
          <w:noProof/>
        </w:rPr>
        <w:t> </w:t>
      </w:r>
      <w:r w:rsidRPr="006A1540">
        <w:rPr>
          <w:i/>
          <w:noProof/>
        </w:rPr>
        <w:t>: The Book of Revelation</w:t>
      </w:r>
      <w:r w:rsidRPr="006A1540">
        <w:rPr>
          <w:noProof/>
        </w:rPr>
        <w:t>.</w:t>
      </w:r>
      <w:r>
        <w:fldChar w:fldCharType="end"/>
      </w:r>
    </w:p>
  </w:footnote>
  <w:footnote w:id="21">
    <w:p w14:paraId="2679773D" w14:textId="77777777" w:rsidR="00C241DB" w:rsidRDefault="00C241DB" w:rsidP="00C241DB">
      <w:pPr>
        <w:pStyle w:val="FootnoteText"/>
        <w:ind w:firstLine="720"/>
      </w:pPr>
      <w:r>
        <w:rPr>
          <w:rStyle w:val="FootnoteReference"/>
        </w:rPr>
        <w:footnoteRef/>
      </w:r>
      <w:r>
        <w:t xml:space="preserve"> </w:t>
      </w:r>
      <w:r>
        <w:fldChar w:fldCharType="begin" w:fldLock="1"/>
      </w:r>
      <w: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Gospel","type":"article-journal","volume":"37"},"uris":["http://www.mendeley.com/documents/?uuid=e892ac9c-e47c-33b9-b572-6c50b27fdcfe"]}],"mendeley":{"formattedCitation":"Shively, “What Type of Resistance? How Apocalyptic Discourse Functions as Social Discourse in Mark’s Gospel.”","plainTextFormattedCitation":"Shively, “What Type of Resistance? How Apocalyptic Discourse Functions as Social Discourse in Mark’s Gospel.”","previouslyFormattedCitation":"Shively, “What Type of Resistance? How Apocalyptic Discourse Functions as Social Discourse in Mark’s Gospel.”"},"properties":{"noteIndex":21},"schema":"https://github.com/citation-style-language/schema/raw/master/csl-citation.json"}</w:instrText>
      </w:r>
      <w:r>
        <w:fldChar w:fldCharType="separate"/>
      </w:r>
      <w:r w:rsidRPr="004228D3">
        <w:rPr>
          <w:noProof/>
        </w:rPr>
        <w:t>Shively, “What Type of Resistance? How Apocalyptic Discourse Functions as Social Discourse in Mark’s Gospel.”</w:t>
      </w:r>
      <w:r>
        <w:fldChar w:fldCharType="end"/>
      </w:r>
    </w:p>
  </w:footnote>
  <w:footnote w:id="22">
    <w:p w14:paraId="1CE031BC"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{"citationItems":[{"id":"ITEM-1","itemData":{"DOI":"10.1177/002096439504900405","ISSN":"0020-9643","abstract":"\"In light of pronounced emphasis on scientific methodology, determinate meanings of texts, and the notion of scholars as objective, the question of how to relate the interpretation of biblical texts to real-life readers is one that biblical criticism has largely ignored. In cultural studies, however, a model of reading and interpreting is used that related the significance of ancient texts to real-life readers. If one pursues Johannine research using this model instead of those typically associated with biblical criticism, the results one obtains are profoundly different.\"","author":[{"dropping-particle":"","family":"Segovia","given":"Fernando F.","non-dropping-particle":"","parse-names":false,"suffix":""}],"container-title":"Interpretation","id":"ITEM-1","issue":"4","issued":{"date-parts":[["1995","10"]]},"page":"370-378","publisher":"SAGE PublicationsSage UK: London, England","title":"The Significance of Social Location in Reading John's Story","type":"article-journal","volume":"49"},"uris":["http://www.mendeley.com/documents/?uuid=321854ba-f29a-36e6-8fcf-cb0e49cdcf8a"]}],"mendeley":{"formattedCitation":"Fernando F. Segovia, “The Significance of Social Location in Reading John’s Story,” &lt;i&gt;Interpretation&lt;/i&gt; 49, no. 4 (October 1995): 370–78, https://doi.org/10.1177/002096439504900405.","plainTextFormattedCitation":"Fernando F. Segovia, “The Significance of Social Location in Reading John’s Story,” Interpretation 49, no. 4 (October 1995): 370–78, https://doi.org/10.1177/002096439504900405.","previouslyFormattedCitation":"Fernando F. Segovia, “The Significance of Social Location in Reading John’s Story,” &lt;i&gt;Interpretation&lt;/i&gt; 49, no. 4 (October 1995): 370–78, https://doi.org/10.1177/002096439504900405."},"properties":{"noteIndex":22},"schema":"https://github.com/citation-style-language/schema/raw/master/csl-citation.json"}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Fernando F. Segovia, “The Significance of Social Location in Reading John’s Story,” </w:t>
      </w:r>
      <w:r w:rsidRPr="006A1540">
        <w:rPr>
          <w:rFonts w:ascii="Times New Roman" w:hAnsi="Times New Roman" w:cs="Times New Roman"/>
          <w:i/>
          <w:noProof/>
        </w:rPr>
        <w:t>Interpretation</w:t>
      </w:r>
      <w:r w:rsidRPr="006A1540">
        <w:rPr>
          <w:rFonts w:ascii="Times New Roman" w:hAnsi="Times New Roman" w:cs="Times New Roman"/>
          <w:noProof/>
        </w:rPr>
        <w:t xml:space="preserve"> 49, no. 4 (October 1995): 370–78, https://doi.org/10.1177/002096439504900405.</w:t>
      </w:r>
      <w:r w:rsidRPr="006A1540">
        <w:rPr>
          <w:rFonts w:ascii="Times New Roman" w:hAnsi="Times New Roman" w:cs="Times New Roman"/>
        </w:rPr>
        <w:fldChar w:fldCharType="end"/>
      </w:r>
    </w:p>
  </w:footnote>
  <w:footnote w:id="23">
    <w:p w14:paraId="5FE0B33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{"citationItems":[{"id":"ITEM-1","itemData":{"abstract":"Around the turn of the first Millennium AD, both in Christian polities such as the Byzantine Empire as well as in Buddhist communities such as in Heian Japan, expectations of an end of times emerged. Although based on different religious and independent chronological interpretations, they gained attraction at the same time due to the parallel observation and interpretation of the same astronomical phenomena (such as sightings of Halley's Comet in 989 AD) or of simultaneous climate anomalies, which can partly be connected with the Oort Solar Minimum of the 11th century. This paper explores and compares the interplay between natural phenomena, political and religious unrest and apocalyptic interpretations on the basis of historical and natural scientific evidence.","author":[{"dropping-particle":"","family":"Preiser-Kapeller","given":"Johannes","non-dropping-particle":"","parse-names":false,"suffix":""}],"container-title":"History and Philosophy of Physics","id":"ITEM-1","issued":{"date-parts":[["2022","6","21"]]},"title":"Global apocalypse at the turn of the first Millennium AD? Climate fluctuations, astronomic phenomena and socio-political turbulences in 10th and 11th century Byzantium and Japan in comparative perspective","type":"article-journal"},"uris":["http://www.mendeley.com/documents/?uuid=b1f0ef49-3d11-330d-a948-0e7336232812"]}],"mendeley":{"formattedCitation":"Johannes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https://arxiv.org/pdf/2206.10109.","plainTextFormattedCitation":"Johannes Preiser-Kapeller, “Global Apocalypse at the Turn of the First Millennium AD? Climate Fluctuations, Astronomic Phenomena and Socio-Political Turbulences in 10th and 11th Century Byzantium and Japan in Comparative Perspective,” History and Philosophy of Physics, June 21, 2022, https://arxiv.org/pdf/2206.10109.","previouslyFormattedCitation":"Johannes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https://arxiv.org/pdf/2206.10109."},"properties":{"noteIndex":23},"schema":"https://github.com/citation-style-language/schema/raw/master/csl-citation.json"}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Johannes Preiser-Kapeller, “Global Apocalypse at the Turn of the First Millennium AD? Climate Fluctuations, Astronomic Phenomena and Socio-Political Turbulences in 10th and 11th Century Byzantium and Japan in Comparative Perspective,” </w:t>
      </w:r>
      <w:r w:rsidRPr="006A1540">
        <w:rPr>
          <w:rFonts w:ascii="Times New Roman" w:hAnsi="Times New Roman" w:cs="Times New Roman"/>
          <w:i/>
          <w:noProof/>
        </w:rPr>
        <w:t>History and Philosophy of Physics</w:t>
      </w:r>
      <w:r w:rsidRPr="006A1540">
        <w:rPr>
          <w:rFonts w:ascii="Times New Roman" w:hAnsi="Times New Roman" w:cs="Times New Roman"/>
          <w:noProof/>
        </w:rPr>
        <w:t>, June 21, 2022, https://arxiv.org/pdf/2206.10109.</w:t>
      </w:r>
      <w:r w:rsidRPr="006A1540">
        <w:rPr>
          <w:rFonts w:ascii="Times New Roman" w:hAnsi="Times New Roman" w:cs="Times New Roman"/>
        </w:rPr>
        <w:fldChar w:fldCharType="end"/>
      </w:r>
    </w:p>
  </w:footnote>
  <w:footnote w:id="24">
    <w:p w14:paraId="4A482E7B"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{"citationItems":[{"id":"ITEM-1","itemData":{"DOI":"10.2307/3265975","ISSN":"00219231","author":[{"dropping-particle":"","family":"Toews","given":"John E.","non-dropping-particle":"","parse-names":false,"suffix":""},{"dropping-particle":"","family":"Regner","given":"Friedemann","non-dropping-particle":"","parse-names":false,"suffix":""}],"container-title":"Journal of Biblical Literature","id":"ITEM-1","issue":"3","issued":{"date-parts":[["1981","9"]]},"page":"474","publisher":"JSTOR","title":"\"Paulus und Jesus\" im neunzehnten Jahrhundert. Beitrage zur Geschichte des Themas \"Paulus und Jesus\" in der neutestamentlichen Theologie","type":"article-journal","volume":"100"},"uris":["http://www.mendeley.com/documents/?uuid=f3b65ab1-e3a0-3b2e-b63f-b24ffa130503"]}],"mendeley":{"formattedCitation":"John E. Toews and Friedemann Regner, “‘Paulus Und Jesus’ Im Neunzehnten Jahrhundert. Beitrage Zur Geschichte Des Themas ‘Paulus Und Jesus’ in Der Neutestamentlichen Theologie,” &lt;i&gt;Journal of Biblical Literature&lt;/i&gt; 100, no. 3 (September 1981): 474, https://doi.org/10.2307/3265975.","plainTextFormattedCitation":"John E. Toews and Friedemann Regner, “‘Paulus Und Jesus’ Im Neunzehnten Jahrhundert. Beitrage Zur Geschichte Des Themas ‘Paulus Und Jesus’ in Der Neutestamentlichen Theologie,” Journal of Biblical Literature 100, no. 3 (September 1981): 474, https://doi.org/10.2307/3265975.","previouslyFormattedCitation":"John E. Toews and Friedemann Regner, “‘Paulus Und Jesus’ Im Neunzehnten Jahrhundert. Beitrage Zur Geschichte Des Themas ‘Paulus Und Jesus’ in Der Neutestamentlichen Theologie,” &lt;i&gt;Journal of Biblical Literature&lt;/i&gt; 100, no. 3 (September 1981): 474, https://doi.org/10.2307/3265975."},"properties":{"noteIndex":24},"schema":"https://github.com/citation-style-language/schema/raw/master/csl-citation.json"}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John E. Toews and Friedemann Regner, “‘Paulus Und Jesus’ Im Neunzehnten Jahrhundert. Beitrage Zur Geschichte Des Themas ‘Paulus Und Jesus’ in Der Neutestamentlichen Theologie,”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100, no. 3 (September 1981): 474, https://doi.org/10.2307/3265975.</w:t>
      </w:r>
      <w:r w:rsidRPr="006A1540">
        <w:rPr>
          <w:rFonts w:ascii="Times New Roman" w:hAnsi="Times New Roman" w:cs="Times New Roman"/>
        </w:rPr>
        <w:fldChar w:fldCharType="end"/>
      </w:r>
    </w:p>
  </w:footnote>
  <w:footnote w:id="25">
    <w:p w14:paraId="4E2BF4EE"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{"citationItems":[{"id":"ITEM-1","itemData":{"DOI":"10.1177/0142064X0102308102;","ISSN":"0142064X","abstract":"It is proposed that the name ‘Titus’ in 2 Corinthians and Galatians is nothing more than an informal name used by Timothy. 1 Cor. 4.17, 16.10, 2 Cor. 2.13, 7.6, 13-14, 12.18 and Acts 19.22 all refer to the same journey of Titus-Timothy. The ‘tearful’ letter was written before I Corinthians and was carried by Titus-Timothy, who took the land route to Corinth via the Troad and Macedonia. He was delayed on his way to Corinth and this caused Paul to cancel his own planned visit to that city. Paul gave his revised plan in 1 Corinthians, which arrived before Titus-Timothy and the ‘tearful’ letter. © 2001, Sage Publications. All rights reserved.","author":[{"dropping-particle":"","family":"Fellows","given":"Richard G.","non-dropping-particle":"","parse-names":false,"suffix":""}],"container-title":"Journal for the Study of the New Testament","id":"ITEM-1","issue":"81","issued":{"date-parts":[["2001"]]},"page":"33-58","publisher":"Sage PublicationsSage CA: Thousand Oaks, CA","title":"Was Titus Timothy?","type":"article-journal","volume":"23"},"uris":["http://www.mendeley.com/documents/?uuid=59c3ce71-240a-3c23-be15-0a406a0639f2"]}],"mendeley":{"formattedCitation":"Richard G. Fellows, “Was Titus Timothy?,” &lt;i&gt;Journal for the Study of the New Testament&lt;/i&gt; 23, no. 81 (2001): 33–58, https://doi.org/10.1177/0142064X0102308102;","plainTextFormattedCitation":"Richard G. Fellows, “Was Titus Timothy?,” Journal for the Study of the New Testament 23, no. 81 (2001): 33–58, https://doi.org/10.1177/0142064X0102308102;","previouslyFormattedCitation":"Richard G. Fellows, “Was Titus Timothy?,” &lt;i&gt;Journal for the Study of the New Testament&lt;/i&gt; 23, no. 81 (2001): 33–58, https://doi.org/10.1177/0142064X0102308102;"},"properties":{"noteIndex":25},"schema":"https://github.com/citation-style-language/schema/raw/master/csl-citation.json"}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Richard G. Fellows, “Was Titus Timothy?,”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23, no. 81 (2001): 33–58, https://doi.org/10.1177/0142064X0102308102;</w:t>
      </w:r>
      <w:r w:rsidRPr="006A1540">
        <w:rPr>
          <w:rFonts w:ascii="Times New Roman" w:hAnsi="Times New Roman" w:cs="Times New Roman"/>
        </w:rPr>
        <w:fldChar w:fldCharType="end"/>
      </w:r>
    </w:p>
  </w:footnote>
  <w:footnote w:id="26">
    <w:p w14:paraId="07603CE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{"citationItems":[{"id":"ITEM-1","itemData":{"DOI":"10.3390/","ISSN":"2077-1444","abstract":"Jewish apocalyptic literature emerged as a form of resistance literature during the intertestamental period. A product of marginalized communities, such literature is highly political, articulating the worldview of the politically oppressed and those who considered their religious freedoms to be under threat. As resistance literature, apocalypses cathartically utilize vivid descriptions of violence and poetic symbols of hope to encourage those who identify as victims to maintain their resistance to political pressure or injustice. This paper explores the ways the Christian Book of Revelation builds on this tradition to envisage hope in the face of systemic evil, political oppression, and injustice. Neither the noun nor verb for hope appear in Revelation, yet its eschatological vision of vindication, victory, and shared rule in New Jerusalem for those who are oppressed has inspired many Christians to hope for a new world order with significant implications for the present. After considering the historical context of Revelation, this paper will examine the ways the apocalyptic imagination of Revelation continues to be invoked and (mis)used in contemporary Christianized political discourse. I argue that the Book of Revelation continues to appeal precisely because it offers a framework for believing that the victim will become the victor in the eschaton.","author":[{"dropping-particle":"","family":"Whitaker","given":"Robyn","non-dropping-particle":"","parse-names":false,"suffix":""}],"container-title":"Religions","id":"ITEM-1","issue":"9","issued":{"date-parts":[["2020","9","5"]]},"page":"455","publisher":"Multidisciplinary Digital Publishing Institute","title":"Victim to Victor: The Appeal of Apocalyptic Hope","type":"article-journal","volume":"11"},"uris":["http://www.mendeley.com/documents/?uuid=52273f55-422d-347b-9af6-1b98895ca58e"]}],"mendeley":{"formattedCitation":"Robyn Whitaker, “Victim to Victor: The Appeal of Apocalyptic Hope,” &lt;i&gt;Religions&lt;/i&gt; 11, no. 9 (September 5, 2020): 455, https://doi.org/10.3390/.","plainTextFormattedCitation":"Robyn Whitaker, “Victim to Victor: The Appeal of Apocalyptic Hope,” Religions 11, no. 9 (September 5, 2020): 455, https://doi.org/10.3390/.","previouslyFormattedCitation":"Robyn Whitaker, “Victim to Victor: The Appeal of Apocalyptic Hope,” &lt;i&gt;Religions&lt;/i&gt; 11, no. 9 (September 5, 2020): 455, https://doi.org/10.3390/."},"properties":{"noteIndex":26},"schema":"https://github.com/citation-style-language/schema/raw/master/csl-citation.json"}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Robyn Whitaker, “Victim to Victor: The Appeal of Apocalyptic Hope,” </w:t>
      </w:r>
      <w:r w:rsidRPr="006A1540">
        <w:rPr>
          <w:rFonts w:ascii="Times New Roman" w:hAnsi="Times New Roman" w:cs="Times New Roman"/>
          <w:i/>
          <w:noProof/>
        </w:rPr>
        <w:t>Religions</w:t>
      </w:r>
      <w:r w:rsidRPr="006A1540">
        <w:rPr>
          <w:rFonts w:ascii="Times New Roman" w:hAnsi="Times New Roman" w:cs="Times New Roman"/>
          <w:noProof/>
        </w:rPr>
        <w:t xml:space="preserve"> 11, no. 9 (September 5, 2020): 455, https://doi.org/10.3390/.</w:t>
      </w:r>
      <w:r w:rsidRPr="006A1540">
        <w:rPr>
          <w:rFonts w:ascii="Times New Roman" w:hAnsi="Times New Roman" w:cs="Times New Roman"/>
        </w:rPr>
        <w:fldChar w:fldCharType="end"/>
      </w:r>
    </w:p>
  </w:footnote>
  <w:footnote w:id="27">
    <w:p w14:paraId="120D6015"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{"citationItems":[{"id":"ITEM-1","itemData":{"DOI":"10.1017/S0003055424000479","ISSN":"0003-0554","abstract":"The apocalypse is frequently deployed by political movements, especially contemporary climate activists, to advance their causes. This article develops a framework for defending such invocations of the end of the world. With many other political theorists, I suggest that the apocalypse is a dangerous concept, not least because of its association with authoritarian accounts of history. However, we should not reject the apocalypse. I argue for a form of anti-anti-apocalypticism, using the criticisms directed against the concept as a launchpad to rethink it in viable terms. While acknowledging the value of different ways of defending the apocalypse, I highlight the importance of the causes of apocalyptic movements. Simply put, apocalypses from below are defensible because they have the capacity to clarify the political position of the oppressed and open new political possibilities for the group. By contrast, apocalypses from above, because they fail to fulfill these functions, are not.","author":[{"dropping-particle":"","family":"Davidson","given":"Joe P.L.","non-dropping-particle":"","parse-names":false,"suffix":""}],"container-title":"American Political Science Review","id":"ITEM-1","issue":"1","issued":{"date-parts":[["2025","2","1"]]},"page":"479-491","publisher":"Cambridge University Press","title":"The Apocalypse from Below: The Dangerous Idea of the End of the World, the Politics of the Oppressed, and Anti-Anti-Apocalypticism","type":"article-journal","volume":"119"},"uris":["http://www.mendeley.com/documents/?uuid=22c3e931-0c2f-3cc9-a1f0-bc17c623ae8a"]}],"mendeley":{"formattedCitation":"Joe P.L. Davidson, “The Apocalypse from Below: The Dangerous Idea of the End of the World, the Politics of the Oppressed, and Anti-Anti-Apocalypticism,” &lt;i&gt;American Political Science Review&lt;/i&gt; 119, no. 1 (February 1, 2025): 479–91, https://doi.org/10.1017/S0003055424000479.","plainTextFormattedCitation":"Joe P.L. Davidson, “The Apocalypse from Below: The Dangerous Idea of the End of the World, the Politics of the Oppressed, and Anti-Anti-Apocalypticism,” American Political Science Review 119, no. 1 (February 1, 2025): 479–91, https://doi.org/10.1017/S0003055424000479.","previouslyFormattedCitation":"Joe P.L. Davidson, “The Apocalypse from Below: The Dangerous Idea of the End of the World, the Politics of the Oppressed, and Anti-Anti-Apocalypticism,” &lt;i&gt;American Political Science Review&lt;/i&gt; 119, no. 1 (February 1, 2025): 479–91, https://doi.org/10.1017/S0003055424000479."},"properties":{"noteIndex":27},"schema":"https://github.com/citation-style-language/schema/raw/master/csl-citation.json"}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“The Apocalypse from Below: The Dangerous Idea of the End of the World, the Politics of the Oppressed, and Anti-Anti-Apocalypticism,” </w:t>
      </w:r>
      <w:r w:rsidRPr="006A1540">
        <w:rPr>
          <w:rFonts w:ascii="Times New Roman" w:hAnsi="Times New Roman" w:cs="Times New Roman"/>
          <w:i/>
          <w:noProof/>
        </w:rPr>
        <w:t>American Political Science Review</w:t>
      </w:r>
      <w:r w:rsidRPr="006A1540">
        <w:rPr>
          <w:rFonts w:ascii="Times New Roman" w:hAnsi="Times New Roman" w:cs="Times New Roman"/>
          <w:noProof/>
        </w:rPr>
        <w:t xml:space="preserve"> 119, no. 1 (February 1, 2025): 479–91, https://doi.org/10.1017/S0003055424000479.</w:t>
      </w:r>
      <w:r w:rsidRPr="006A1540">
        <w:rPr>
          <w:rFonts w:ascii="Times New Roman" w:hAnsi="Times New Roman" w:cs="Times New Roman"/>
        </w:rPr>
        <w:fldChar w:fldCharType="end"/>
      </w:r>
    </w:p>
  </w:footnote>
  <w:footnote w:id="28">
    <w:p w14:paraId="262BCA44"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{"citationItems":[{"id":"ITEM-1","itemData":{"DOI":"10.1057/S41296-023-00649-X","ISBN":"0123456789","ISSN":"1476-9336","abstract":"Many contemporary thinkers of the Anthropocene, who attempt to articulate a non-modern and relational ontology, all too readily dismiss critical theory inherited from the Frankfurt School for being anthropocentric, failing to acknowledge certain basic similarities. Instead, this article argues that the scaffolding of Anthropocene thinking—the recognition of the origins of the contemporary condition of ‘loss of world’ and the hope of ‘living on in the ruins’—share much with earlier critical theorists’ recognition that the Holocaust necessitated a fundamental break with the past. In reading these two sets of literatures together, we suggest we can get a better grasp of the stakes involved in the contemporary crisis of critique, and in the speculative framings enabling alternative futures to come into being.","author":[{"dropping-particle":"","family":"Bargués","given":"Pol","non-dropping-particle":"","parse-names":false,"suffix":""},{"dropping-particle":"","family":"Chandler","given":"David","non-dropping-particle":"","parse-names":false,"suffix":""},{"dropping-particle":"","family":"Schindler","given":"Sebastian","non-dropping-particle":"","parse-names":false,"suffix":""},{"dropping-particle":"","family":"Waldow","given":"Valerie","non-dropping-particle":"","parse-names":false,"suffix":""}],"container-title":"Contemporary Political Theory","id":"ITEM-1","issue":"2","issued":{"date-parts":[["2023","8","1"]]},"page":"187-204","publisher":"Palgrave","title":"Hope after ‘the end of the world’: rethinking critique in the Anthropocene","type":"article-journal","volume":"23"},"uris":["http://www.mendeley.com/documents/?uuid=6458c129-0dbc-3c85-a922-f62025946915"]}],"mendeley":{"formattedCitation":"Pol Bargués et al., “Hope after ‘the End of the World’: Rethinking Critique in the Anthropocene,” &lt;i&gt;Contemporary Political Theory&lt;/i&gt; 23, no. 2 (August 1, 2023): 187–204, https://doi.org/10.1057/S41296-023-00649-X.","plainTextFormattedCitation":"Pol Bargués et al., “Hope after ‘the End of the World’: Rethinking Critique in the Anthropocene,” Contemporary Political Theory 23, no. 2 (August 1, 2023): 187–204, https://doi.org/10.1057/S41296-023-00649-X.","previouslyFormattedCitation":"Pol Bargués et al., “Hope after ‘the End of the World’: Rethinking Critique in the Anthropocene,” &lt;i&gt;Contemporary Political Theory&lt;/i&gt; 23, no. 2 (August 1, 2023): 187–204, https://doi.org/10.1057/S41296-023-00649-X."},"properties":{"noteIndex":28},"schema":"https://github.com/citation-style-language/schema/raw/master/csl-citation.json"}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Pol Bargués et al., “Hope after ‘the End of the World’: Rethinking Critique in the Anthropocene,” </w:t>
      </w:r>
      <w:r w:rsidRPr="006A1540">
        <w:rPr>
          <w:rFonts w:ascii="Times New Roman" w:hAnsi="Times New Roman" w:cs="Times New Roman"/>
          <w:i/>
          <w:noProof/>
        </w:rPr>
        <w:t>Contemporary Political Theory</w:t>
      </w:r>
      <w:r w:rsidRPr="006A1540">
        <w:rPr>
          <w:rFonts w:ascii="Times New Roman" w:hAnsi="Times New Roman" w:cs="Times New Roman"/>
          <w:noProof/>
        </w:rPr>
        <w:t xml:space="preserve"> 23, no. 2 (August 1, 2023): 187–204, https://doi.org/10.1057/S41296-023-00649-X.</w:t>
      </w:r>
      <w:r w:rsidRPr="006A1540">
        <w:rPr>
          <w:rFonts w:ascii="Times New Roman" w:hAnsi="Times New Roman" w:cs="Times New Roman"/>
        </w:rPr>
        <w:fldChar w:fldCharType="end"/>
      </w:r>
    </w:p>
  </w:footnote>
  <w:footnote w:id="29">
    <w:p w14:paraId="78FB54DD"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{"citationItems":[{"id":"ITEM-1","itemData":{"DOI":"10.1177/20503032241240773;","ISSN":"20503040","abstract":"The right-wing has accused the climate movement, and the climate science upon which it is based, of being apocalyptic to in order to discredit it. This editorial discusses whether we should accept describing the climate movement as apocalyptic. It does so by exploring the etymology of the term and its use in its religious/historical contexts. It discusses its relationship to the interrelated terms of prophecy, messianism, eschatology, and millenarianism. Through a deconstruction and demystification of the term apocalypse in its biblical historical context, it argues that we need to have a secular understanding of it which is indeed applicable to the climate crisis.","author":[{"dropping-particle":"","family":"Goldstein","given":"Warren S.","non-dropping-particle":"","parse-names":false,"suffix":""}],"container-title":"Critical Research on Religion","id":"ITEM-1","issue":"1","issued":{"date-parts":[["2024","4","1"]]},"page":"3-11","publisher":"SAGE Publications Ltd","title":"On climate apocalypse","type":"article-journal","volume":"12"},"uris":["http://www.mendeley.com/documents/?uuid=65bdfd94-2f82-3be6-8bdf-6c76b322b4e6"]}],"mendeley":{"formattedCitation":"Warren S. Goldstein, “On Climate Apocalypse,” &lt;i&gt;Critical Research on Religion&lt;/i&gt; 12, no. 1 (April 1, 2024): 3–11, https://doi.org/10.1177/20503032241240773;","plainTextFormattedCitation":"Warren S. Goldstein, “On Climate Apocalypse,” Critical Research on Religion 12, no. 1 (April 1, 2024): 3–11, https://doi.org/10.1177/20503032241240773;","previouslyFormattedCitation":"Warren S. Goldstein, “On Climate Apocalypse,” &lt;i&gt;Critical Research on Religion&lt;/i&gt; 12, no. 1 (April 1, 2024): 3–11, https://doi.org/10.1177/20503032241240773;"},"properties":{"noteIndex":29},"schema":"https://github.com/citation-style-language/schema/raw/master/csl-citation.json"}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Warren S. Goldstein, “On Climate Apocalypse,” </w:t>
      </w:r>
      <w:r w:rsidRPr="006A1540">
        <w:rPr>
          <w:rFonts w:ascii="Times New Roman" w:hAnsi="Times New Roman" w:cs="Times New Roman"/>
          <w:i/>
          <w:noProof/>
        </w:rPr>
        <w:t>Critical Research on Religion</w:t>
      </w:r>
      <w:r w:rsidRPr="006A1540">
        <w:rPr>
          <w:rFonts w:ascii="Times New Roman" w:hAnsi="Times New Roman" w:cs="Times New Roman"/>
          <w:noProof/>
        </w:rPr>
        <w:t xml:space="preserve"> 12, no. 1 (April 1, 2024): 3–11, https://doi.org/10.1177/20503032241240773;</w:t>
      </w:r>
      <w:r w:rsidRPr="006A1540">
        <w:rPr>
          <w:rFonts w:ascii="Times New Roman" w:hAnsi="Times New Roman" w:cs="Times New Roman"/>
        </w:rPr>
        <w:fldChar w:fldCharType="end"/>
      </w:r>
    </w:p>
  </w:footnote>
  <w:footnote w:id="30">
    <w:p w14:paraId="5CF38B09"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{"citationItems":[{"id":"ITEM-1","itemData":{"DOI":"10.15575/JT.V7I2.37676","ISSN":"2615-5028","abstract":"Penelitian ini mengeksplorasi konsep kiamat dalam kompleksitas dan ambiguitasnya. Di satu pihak, mengikuti perspektif Mark Fisher, kiamat dilihat   berkaitan erat dengan kondisi eksternal, khususnya percaturan ideologis antara kapitalisme dan sosialisme. Di pihak lain kiamat juga dilihat dari perspektif internal, yakni dari sistem naratif yang diyakini menjadi sikap mental-spiritual. Peneliti menggunakan pendekatan kualitatif, dengan teknik pengumpulan data studi literatur. Sumber utama yang digunakan adalah teks dari Mark Fisher, yang kemudian ditanggapi berdasarkan perspektif Filsafat Perennial, Psikiatri maupun Neuroscience. Hasil penelitian menunjukan bahwa wacana tentang kiamat memang bisa dilihat sebagai gejala kecemasan dan ketidakpastian yang berkaitan erat dengan krisis kapitalisme, tapi yang lebih mendasar adalah sebagai akibat prevalensi sikap mental-spiritual negatif manusia sendiri. Pada akhirnya kiamat akan lebih baik bila dilihat sebagai peluang transformasi kesadaran kolektif ke arah nilai-nilai yang lebih positif","author":[{"dropping-particle":"","family":"Haq","given":"Mochamad Ziaul","non-dropping-particle":"","parse-names":false,"suffix":""},{"dropping-particle":"","family":"Sugiharto","given":"Ignasius Bambang","non-dropping-particle":"","parse-names":false,"suffix":""},{"dropping-particle":"","family":"Purwadi","given":"Yohanes Slamet","non-dropping-particle":"","parse-names":false,"suffix":""}],"container-title":"TEMALI : Jurnal Pembangunan Sosial","id":"ITEM-1","issue":"2","issued":{"date-parts":[["2024","8","5"]]},"page":"152-165","publisher":"Sunan Gunung Djati State Islamic University of Bandung","title":"Narasi Kiamat dan Kebuntuan Kapitalisme: Refleksi Kritis atas Kajian Apokaliptik Mark Fisher","type":"article-journal","volume":"7"},"uris":["http://www.mendeley.com/documents/?uuid=968b5a9c-35f3-3807-aa5b-639e2f8dbe90"]}],"mendeley":{"formattedCitation":"Mochamad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https://doi.org/10.15575/JT.V7I2.37676.","plainTextFormattedCitation":"Mochamad Ziaul Haq, Ignasius Bambang Sugiharto, and Yohanes Slamet Purwadi, “Narasi Kiamat Dan Kebuntuan Kapitalisme: Refleksi Kritis Atas Kajian Apokaliptik Mark Fisher,” TEMALI : Jurnal Pembangunan Sosial 7, no. 2 (August 5, 2024): 152–65, https://doi.org/10.15575/JT.V7I2.37676.","previouslyFormattedCitation":"Mochamad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https://doi.org/10.15575/JT.V7I2.37676."},"properties":{"noteIndex":30},"schema":"https://github.com/citation-style-language/schema/raw/master/csl-citation.json"}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Mochamad Ziaul Haq, Ignasius Bambang Sugiharto, and Yohanes Slamet Purwadi, “Narasi Kiamat Dan Kebuntuan Kapitalisme: Refleksi Kritis Atas Kajian Apokaliptik Mark Fisher,” </w:t>
      </w:r>
      <w:r w:rsidRPr="006A1540">
        <w:rPr>
          <w:rFonts w:ascii="Times New Roman" w:hAnsi="Times New Roman" w:cs="Times New Roman"/>
          <w:i/>
          <w:noProof/>
        </w:rPr>
        <w:t>TEMALI : Jurnal Pembangunan Sosial</w:t>
      </w:r>
      <w:r w:rsidRPr="006A1540">
        <w:rPr>
          <w:rFonts w:ascii="Times New Roman" w:hAnsi="Times New Roman" w:cs="Times New Roman"/>
          <w:noProof/>
        </w:rPr>
        <w:t xml:space="preserve"> 7, no. 2 (August 5, 2024): 152–65, https://doi.org/10.15575/JT.V7I2.37676.</w:t>
      </w:r>
      <w:r w:rsidRPr="006A1540">
        <w:rPr>
          <w:rFonts w:ascii="Times New Roman" w:hAnsi="Times New Roman" w:cs="Times New Roman"/>
        </w:rPr>
        <w:fldChar w:fldCharType="end"/>
      </w:r>
    </w:p>
  </w:footnote>
  <w:footnote w:id="31">
    <w:p w14:paraId="0629AFB7" w14:textId="77777777" w:rsidR="00C241DB" w:rsidRPr="006A1540" w:rsidRDefault="00C241DB" w:rsidP="00C241DB">
      <w:pPr>
        <w:pStyle w:val="FootnoteText"/>
        <w:ind w:firstLine="720"/>
        <w:jc w:val="both"/>
        <w:rPr>
          <w:rFonts w:ascii="Times New Roman" w:hAnsi="Times New Roman" w:cs="Times New Roman"/>
        </w:rPr>
      </w:pPr>
      <w:r w:rsidRPr="006A1540">
        <w:rPr>
          <w:rStyle w:val="FootnoteReference"/>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{"citationItems":[{"id":"ITEM-1","itemData":{"DOI":"10.4314/ACTAT.V23I1S.12","ISSN":"10158758","abstract":"This study investigates the theory that apocalyptic texts originated in, and reflect the convictions and activities of socially disadvantaged groups on the margins of society. After a brief introduction to the nature of this understanding of apocalyptic groups, the article investigates the issue in more depth by analysing an essay on Revelation written by D.H. Lawrence as concrete example of this theory from a non-scholarly perspective, followed by various scholarly readings of apocalyptic groups. In a following section, it analyses various formal, literary, hermeneutical and topical themes questioning the validity of this approach as well as research insights that revealed major weaknesses in this understanding. The article then concludes with an investigation of material that, ironically, indicates that apocalypses generally reflect a learned hermeneutical movement wishing to discover the ongoing relevance of sacred traditions in new situations.","author":[{"dropping-particle":"","family":"Villiers","given":"Pieter G.R.","non-dropping-particle":"De","parse-names":false,"suffix":""}],"container-title":"Acta Theologica","id":"ITEM-1","issued":{"date-parts":[["2016"]]},"page":"238-262","publisher":"University Of The Free State","title":"Apocalyptic groups and socially disadvantaged contexts","type":"article-journal","volume":"2016"},"uris":["http://www.mendeley.com/documents/?uuid=4047717d-523a-309f-8dab-c7607ce613cd"]}],"mendeley":{"formattedCitation":"Pieter G.R. De Villiers, “Apocalyptic Groups and Socially Disadvantaged Contexts,” &lt;i&gt;Acta Theologica&lt;/i&gt; 2016 (2016): 238–62, https://doi.org/10.4314/ACTAT.V23I1S.12.","plainTextFormattedCitation":"Pieter G.R. De Villiers, “Apocalyptic Groups and Socially Disadvantaged Contexts,” Acta Theologica 2016 (2016): 238–62, https://doi.org/10.4314/ACTAT.V23I1S.12.","previouslyFormattedCitation":"Pieter G.R. De Villiers, “Apocalyptic Groups and Socially Disadvantaged Contexts,” &lt;i&gt;Acta Theologica&lt;/i&gt; 2016 (2016): 238–62, https://doi.org/10.4314/ACTAT.V23I1S.12."},"properties":{"noteIndex":31},"schema":"https://github.com/citation-style-language/schema/raw/master/csl-citation.json"}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Pieter G.R. De Villiers, “Apocalyptic Groups and Socially Disadvantaged Contexts,” </w:t>
      </w:r>
      <w:r w:rsidRPr="006A1540">
        <w:rPr>
          <w:rFonts w:ascii="Times New Roman" w:hAnsi="Times New Roman" w:cs="Times New Roman"/>
          <w:i/>
          <w:noProof/>
        </w:rPr>
        <w:t>Acta Theologica</w:t>
      </w:r>
      <w:r w:rsidRPr="006A1540">
        <w:rPr>
          <w:rFonts w:ascii="Times New Roman" w:hAnsi="Times New Roman" w:cs="Times New Roman"/>
          <w:noProof/>
        </w:rPr>
        <w:t xml:space="preserve"> 2016 (2016): 238–62, https://doi.org/10.4314/ACTAT.V23I1S.12.</w:t>
      </w:r>
      <w:r w:rsidRPr="006A1540">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C3EA1"/>
    <w:rsid w:val="001C74B4"/>
    <w:rsid w:val="001D0EBD"/>
    <w:rsid w:val="00273E5A"/>
    <w:rsid w:val="00353E95"/>
    <w:rsid w:val="003A4350"/>
    <w:rsid w:val="00551449"/>
    <w:rsid w:val="0062511B"/>
    <w:rsid w:val="0076766C"/>
    <w:rsid w:val="009F4195"/>
    <w:rsid w:val="00AE35FD"/>
    <w:rsid w:val="00B66877"/>
    <w:rsid w:val="00C241DB"/>
    <w:rsid w:val="00C30472"/>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C241DB"/>
    <w:rPr>
      <w:rFonts w:asciiTheme="minorHAnsi" w:eastAsiaTheme="minorHAnsi" w:hAnsiTheme="minorHAnsi" w:cstheme="minorBidi"/>
      <w:kern w:val="2"/>
      <w:sz w:val="20"/>
      <w:szCs w:val="20"/>
      <w:lang w:val="id-ID" w:eastAsia="en-US"/>
      <w14:ligatures w14:val="standardContextual"/>
    </w:rPr>
  </w:style>
  <w:style w:type="character" w:customStyle="1" w:styleId="FootnoteTextChar">
    <w:name w:val="Footnote Text Char"/>
    <w:basedOn w:val="DefaultParagraphFont"/>
    <w:link w:val="FootnoteText"/>
    <w:uiPriority w:val="99"/>
    <w:semiHidden/>
    <w:rsid w:val="00C241DB"/>
    <w:rPr>
      <w:rFonts w:asciiTheme="minorHAnsi" w:eastAsiaTheme="minorHAnsi" w:hAnsiTheme="minorHAnsi" w:cstheme="minorBidi"/>
      <w:kern w:val="2"/>
      <w:sz w:val="20"/>
      <w:szCs w:val="20"/>
      <w:lang w:val="id-ID" w:eastAsia="en-US"/>
      <w14:ligatures w14:val="standardContextual"/>
    </w:rPr>
  </w:style>
  <w:style w:type="character" w:styleId="FootnoteReference">
    <w:name w:val="footnote reference"/>
    <w:basedOn w:val="DefaultParagraphFont"/>
    <w:uiPriority w:val="99"/>
    <w:semiHidden/>
    <w:unhideWhenUsed/>
    <w:rsid w:val="00C241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C8338168-77BC-47B4-A226-70910F748E7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6334</Words>
  <Characters>36105</Characters>
  <Application>Microsoft Office Word</Application>
  <DocSecurity>0</DocSecurity>
  <Lines>300</Lines>
  <Paragraphs>84</Paragraphs>
  <ScaleCrop>false</ScaleCrop>
  <Company/>
  <LinksUpToDate>false</LinksUpToDate>
  <CharactersWithSpaces>42355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24</cp:revision>
  <dcterms:created xsi:type="dcterms:W3CDTF">2023-02-22T06:25:00Z</dcterms:created>
  <dcterms:modified xsi:type="dcterms:W3CDTF">2026-05-20T05:56:00Z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208f3a00-50a1-3964-a51a-fa3b03b63fc4</vt:lpwstr>
  </property>
  <property fmtid="{D5CDD505-2E9C-101B-9397-08002B2CF9AE}" pid="25" name="Mendeley Citation Style_1">
    <vt:lpwstr>http://www.zotero.org/styles/chicago-fullnote-bibliography</vt:lpwstr>
  </property>
</Properties>
</file>