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r>
              <w:rPr>
                <w:rFonts w:eastAsia="Times New Roman"/>
                <w:b/>
                <w:i/>
                <w:color w:val="000000"/>
                <w:sz w:val="36"/>
                <w:szCs w:val="36"/>
              </w:rPr>
              <w:t>Jurnal Arrabona: Jurnal Teologi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B0EB6AE" w14:textId="546DE8A7" w:rsidR="00042C4A" w:rsidRPr="005803EC" w:rsidRDefault="00042C4A" w:rsidP="00042C4A">
            <w:pPr>
              <w:pBdr>
                <w:top w:val="nil"/>
                <w:left w:val="nil"/>
                <w:bottom w:val="nil"/>
                <w:right w:val="nil"/>
                <w:between w:val="nil"/>
              </w:pBdr>
              <w:spacing w:line="276" w:lineRule="auto"/>
              <w:jc w:val="center"/>
              <w:rPr>
                <w:b/>
                <w:bCs/>
                <w:sz w:val="28"/>
                <w:szCs w:val="28"/>
              </w:rPr>
            </w:pPr>
            <w:r w:rsidRPr="005803EC">
              <w:rPr>
                <w:b/>
                <w:bCs/>
                <w:sz w:val="28"/>
                <w:szCs w:val="28"/>
              </w:rPr>
              <w:t xml:space="preserve">Dua Tabiat Dalam Satu Pribadi: Analisis Historis Atas Perdebatan Kristologis Dan Relevansinya Bagi Gereja </w:t>
            </w:r>
            <w:proofErr w:type="gramStart"/>
            <w:r w:rsidRPr="005803EC">
              <w:rPr>
                <w:b/>
                <w:bCs/>
                <w:sz w:val="28"/>
                <w:szCs w:val="28"/>
              </w:rPr>
              <w:t>Di</w:t>
            </w:r>
            <w:proofErr w:type="gramEnd"/>
            <w:r w:rsidRPr="005803EC">
              <w:rPr>
                <w:b/>
                <w:bCs/>
                <w:sz w:val="28"/>
                <w:szCs w:val="28"/>
              </w:rPr>
              <w:t xml:space="preserve"> Indonesia</w:t>
            </w:r>
          </w:p>
          <w:p w14:paraId="1D7697BF" w14:textId="77777777" w:rsidR="00042C4A" w:rsidRPr="005803EC" w:rsidRDefault="00042C4A" w:rsidP="00042C4A">
            <w:pPr>
              <w:pBdr>
                <w:top w:val="nil"/>
                <w:left w:val="nil"/>
                <w:bottom w:val="nil"/>
                <w:right w:val="nil"/>
                <w:between w:val="nil"/>
              </w:pBdr>
              <w:spacing w:line="276" w:lineRule="auto"/>
              <w:jc w:val="center"/>
              <w:rPr>
                <w:rFonts w:eastAsia="Times New Roman"/>
                <w:b/>
                <w:color w:val="000000"/>
                <w:sz w:val="32"/>
                <w:szCs w:val="32"/>
              </w:rPr>
            </w:pPr>
          </w:p>
          <w:p w14:paraId="26CF9613" w14:textId="799A1401" w:rsidR="00AE35FD" w:rsidRPr="005803EC" w:rsidRDefault="00042C4A">
            <w:pPr>
              <w:keepNext/>
              <w:pBdr>
                <w:top w:val="nil"/>
                <w:left w:val="nil"/>
                <w:bottom w:val="nil"/>
                <w:right w:val="nil"/>
                <w:between w:val="nil"/>
              </w:pBdr>
              <w:tabs>
                <w:tab w:val="center" w:pos="5189"/>
                <w:tab w:val="left" w:pos="9525"/>
              </w:tabs>
              <w:jc w:val="center"/>
              <w:rPr>
                <w:b/>
                <w:iCs/>
                <w:color w:val="000000"/>
                <w:sz w:val="28"/>
                <w:szCs w:val="28"/>
              </w:rPr>
            </w:pPr>
            <w:r w:rsidRPr="005803EC">
              <w:rPr>
                <w:b/>
                <w:iCs/>
                <w:color w:val="000000"/>
                <w:sz w:val="28"/>
                <w:szCs w:val="28"/>
              </w:rPr>
              <w:t>Abdon Arnolus Amtiran</w:t>
            </w:r>
            <w:r w:rsidRPr="005803EC">
              <w:rPr>
                <w:b/>
                <w:iCs/>
                <w:color w:val="000000"/>
                <w:sz w:val="28"/>
                <w:szCs w:val="28"/>
                <w:vertAlign w:val="superscript"/>
              </w:rPr>
              <w:t>1</w:t>
            </w:r>
            <w:r w:rsidRPr="005803EC">
              <w:rPr>
                <w:iCs/>
                <w:color w:val="000000"/>
              </w:rPr>
              <w:t>*</w:t>
            </w:r>
            <w:r w:rsidRPr="005803EC">
              <w:rPr>
                <w:b/>
                <w:iCs/>
                <w:color w:val="000000"/>
                <w:sz w:val="28"/>
                <w:szCs w:val="28"/>
              </w:rPr>
              <w:t xml:space="preserve"> </w:t>
            </w:r>
          </w:p>
          <w:p w14:paraId="28AC2386" w14:textId="4A855EFE" w:rsidR="00C30472" w:rsidRPr="005803EC" w:rsidRDefault="00042C4A" w:rsidP="00042C4A">
            <w:pPr>
              <w:keepNext/>
              <w:pBdr>
                <w:top w:val="nil"/>
                <w:left w:val="nil"/>
                <w:bottom w:val="nil"/>
                <w:right w:val="nil"/>
                <w:between w:val="nil"/>
              </w:pBdr>
              <w:tabs>
                <w:tab w:val="center" w:pos="5189"/>
                <w:tab w:val="left" w:pos="9525"/>
              </w:tabs>
              <w:jc w:val="center"/>
              <w:rPr>
                <w:b/>
                <w:iCs/>
                <w:color w:val="000000"/>
                <w:sz w:val="28"/>
                <w:szCs w:val="28"/>
              </w:rPr>
            </w:pPr>
            <w:r w:rsidRPr="005803EC">
              <w:rPr>
                <w:b/>
                <w:iCs/>
                <w:color w:val="000000"/>
                <w:sz w:val="28"/>
                <w:szCs w:val="28"/>
              </w:rPr>
              <w:t>Remegises Danial Yohanis Pandie</w:t>
            </w:r>
            <w:r w:rsidRPr="005803EC">
              <w:rPr>
                <w:b/>
                <w:iCs/>
                <w:color w:val="000000"/>
                <w:sz w:val="28"/>
                <w:szCs w:val="28"/>
                <w:vertAlign w:val="superscript"/>
              </w:rPr>
              <w:t>2</w:t>
            </w:r>
            <w:r w:rsidRPr="005803EC">
              <w:rPr>
                <w:b/>
                <w:iCs/>
                <w:color w:val="000000"/>
                <w:sz w:val="28"/>
                <w:szCs w:val="28"/>
              </w:rPr>
              <w:t xml:space="preserve"> </w:t>
            </w:r>
          </w:p>
          <w:p w14:paraId="6EDB9016" w14:textId="1090A0CA" w:rsidR="00C30472" w:rsidRPr="005803EC" w:rsidRDefault="00000000">
            <w:pPr>
              <w:jc w:val="center"/>
            </w:pPr>
            <w:bookmarkStart w:id="0" w:name="_heading=h.gjdgxs" w:colFirst="0" w:colLast="0"/>
            <w:bookmarkEnd w:id="0"/>
            <w:r w:rsidRPr="005803EC">
              <w:rPr>
                <w:color w:val="000000"/>
                <w:vertAlign w:val="superscript"/>
              </w:rPr>
              <w:t>1</w:t>
            </w:r>
            <w:r w:rsidRPr="005803EC">
              <w:rPr>
                <w:iCs/>
                <w:color w:val="000000"/>
              </w:rPr>
              <w:t>Sekolah Tinggi Teologi</w:t>
            </w:r>
            <w:r w:rsidR="00042C4A" w:rsidRPr="005803EC">
              <w:rPr>
                <w:iCs/>
                <w:color w:val="000000"/>
              </w:rPr>
              <w:t xml:space="preserve"> IKAT, Jakarta, </w:t>
            </w:r>
            <w:r w:rsidR="00042C4A" w:rsidRPr="005803EC">
              <w:rPr>
                <w:iCs/>
                <w:color w:val="000000"/>
                <w:vertAlign w:val="superscript"/>
              </w:rPr>
              <w:t>2</w:t>
            </w:r>
            <w:r w:rsidR="00042C4A" w:rsidRPr="005803EC">
              <w:rPr>
                <w:iCs/>
                <w:color w:val="000000"/>
              </w:rPr>
              <w:t xml:space="preserve">Sekolah Tinggi Teologi Bethel </w:t>
            </w:r>
            <w:proofErr w:type="gramStart"/>
            <w:r w:rsidR="00042C4A" w:rsidRPr="005803EC">
              <w:rPr>
                <w:iCs/>
                <w:color w:val="000000"/>
              </w:rPr>
              <w:t>The</w:t>
            </w:r>
            <w:proofErr w:type="gramEnd"/>
            <w:r w:rsidR="00042C4A" w:rsidRPr="005803EC">
              <w:rPr>
                <w:iCs/>
                <w:color w:val="000000"/>
              </w:rPr>
              <w:t xml:space="preserve"> Way</w:t>
            </w:r>
          </w:p>
          <w:p w14:paraId="6E0D6691" w14:textId="5E0393A7" w:rsidR="00C30472" w:rsidRPr="00042C4A" w:rsidRDefault="00000000" w:rsidP="00042C4A">
            <w:pPr>
              <w:spacing w:line="360" w:lineRule="auto"/>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Correspondence:</w:t>
            </w:r>
            <w:r w:rsidR="00042C4A">
              <w:rPr>
                <w:i/>
                <w:color w:val="000000"/>
              </w:rPr>
              <w:t xml:space="preserve"> </w:t>
            </w:r>
            <w:hyperlink r:id="rId10" w:history="1">
              <w:r w:rsidR="00042C4A" w:rsidRPr="006F76E8">
                <w:rPr>
                  <w:rStyle w:val="Hyperlink"/>
                </w:rPr>
                <w:t>abdonamtiran@sttikat.ac.id</w:t>
              </w:r>
            </w:hyperlink>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042C4A"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00000"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440B6432" w:rsidR="00C30472" w:rsidRPr="00042C4A" w:rsidRDefault="00000000"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273E5A" w:rsidRPr="00042C4A">
              <w:rPr>
                <w:rFonts w:eastAsia="Times New Roman"/>
                <w:color w:val="000000"/>
                <w:sz w:val="36"/>
                <w:szCs w:val="36"/>
                <w:vertAlign w:val="subscript"/>
                <w:lang w:val="de-DE"/>
              </w:rPr>
              <w:t>00/11/</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00000">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12EF1881" w:rsidR="00C30472" w:rsidRPr="00F70658" w:rsidRDefault="00000000"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Doktrin dua tabiat dalam satu pribadi 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historis-teologis melalui studi literatur terhadap sumber-sumber teologi, dokumen konsili gereja, dan jurnal akademik. Hasil penelitian menunjukkan bahwa rumusan Konsili Kalsedon mengenai dua tabiat Kristus dalam satu pribadi menjadi dasar penting bagi ortodoksi gereja dalam menjaga keseimbangan antara keilahian dan kemanusiaan Kristus. Dalam konteks gereja Indonesia, pemahaman yang utuh mengenai dua natur Kristus penting untuk menghadapi tantangan pluralisme, penyederhanaan teologi digital, dan lemahnya pemahaman doktrinal jemaat. Kajian ini memberikan kontribusi bagi penguatan pendidikan teologi dan pembinaan iman gereja kontemporer.</w:t>
            </w:r>
          </w:p>
          <w:p w14:paraId="185E54D8" w14:textId="09A3AFAA" w:rsidR="00C30472" w:rsidRPr="00F70658" w:rsidRDefault="00000000" w:rsidP="00F70658">
            <w:pPr>
              <w:pBdr>
                <w:top w:val="nil"/>
                <w:left w:val="nil"/>
                <w:bottom w:val="nil"/>
                <w:right w:val="nil"/>
                <w:between w:val="nil"/>
              </w:pBdr>
              <w:rPr>
                <w:sz w:val="20"/>
                <w:szCs w:val="20"/>
                <w:lang w:val="de-DE"/>
              </w:rPr>
            </w:pPr>
            <w:r w:rsidRPr="00042C4A">
              <w:rPr>
                <w:rFonts w:eastAsia="Times New Roman"/>
                <w:b/>
                <w:i/>
                <w:color w:val="000000"/>
                <w:sz w:val="22"/>
                <w:szCs w:val="22"/>
                <w:lang w:val="de-DE"/>
              </w:rPr>
              <w:t>Kata Kunci:</w:t>
            </w:r>
            <w:r w:rsidR="00F70658">
              <w:rPr>
                <w:rFonts w:eastAsia="Times New Roman"/>
                <w:b/>
                <w:i/>
                <w:color w:val="000000"/>
                <w:sz w:val="22"/>
                <w:szCs w:val="22"/>
                <w:lang w:val="de-DE"/>
              </w:rPr>
              <w:t xml:space="preserve"> </w:t>
            </w:r>
            <w:r w:rsidR="00042C4A" w:rsidRPr="00C86660">
              <w:rPr>
                <w:sz w:val="20"/>
                <w:szCs w:val="20"/>
                <w:lang w:val="de-DE"/>
              </w:rPr>
              <w:t>Kristologi</w:t>
            </w:r>
            <w:r w:rsidR="00042C4A" w:rsidRPr="00F70658">
              <w:rPr>
                <w:sz w:val="20"/>
                <w:szCs w:val="20"/>
                <w:lang w:val="de-DE"/>
              </w:rPr>
              <w:t xml:space="preserve">, Dua Tabiat </w:t>
            </w:r>
            <w:r w:rsidR="00042C4A" w:rsidRPr="00C86660">
              <w:rPr>
                <w:sz w:val="20"/>
                <w:szCs w:val="20"/>
                <w:lang w:val="de-DE"/>
              </w:rPr>
              <w:t>Kristus</w:t>
            </w:r>
            <w:r w:rsidR="00042C4A" w:rsidRPr="00F70658">
              <w:rPr>
                <w:sz w:val="20"/>
                <w:szCs w:val="20"/>
                <w:lang w:val="de-DE"/>
              </w:rPr>
              <w:t xml:space="preserve">, Satu Pribadi, </w:t>
            </w:r>
            <w:r w:rsidR="00042C4A" w:rsidRPr="00C86660">
              <w:rPr>
                <w:sz w:val="20"/>
                <w:szCs w:val="20"/>
                <w:lang w:val="de-DE"/>
              </w:rPr>
              <w:t>Konsili Kalsedon</w:t>
            </w:r>
            <w:r w:rsidR="00042C4A" w:rsidRPr="00F70658">
              <w:rPr>
                <w:sz w:val="20"/>
                <w:szCs w:val="20"/>
                <w:lang w:val="de-DE"/>
              </w:rPr>
              <w:t xml:space="preserve">, Gereja </w:t>
            </w:r>
            <w:r w:rsidR="00042C4A" w:rsidRPr="00C86660">
              <w:rPr>
                <w:sz w:val="20"/>
                <w:szCs w:val="20"/>
                <w:lang w:val="de-DE"/>
              </w:rPr>
              <w:t>Indonesia</w:t>
            </w:r>
            <w:r w:rsidR="00042C4A" w:rsidRPr="00F70658">
              <w:rPr>
                <w:sz w:val="20"/>
                <w:szCs w:val="20"/>
                <w:lang w:val="de-DE"/>
              </w:rPr>
              <w:t>.</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06F5935C"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The doctrine of two natures in one person is 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two natures of Christ 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3CBD7FF0" w:rsidR="00C30472" w:rsidRPr="00F70658" w:rsidRDefault="00000000">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 xml:space="preserve">Christology, Two Natures </w:t>
            </w:r>
            <w:proofErr w:type="gramStart"/>
            <w:r w:rsidR="00042C4A" w:rsidRPr="00C86660">
              <w:rPr>
                <w:i/>
                <w:iCs/>
                <w:sz w:val="20"/>
                <w:szCs w:val="20"/>
              </w:rPr>
              <w:t>Of</w:t>
            </w:r>
            <w:proofErr w:type="gramEnd"/>
            <w:r w:rsidR="00042C4A" w:rsidRPr="00C86660">
              <w:rPr>
                <w:i/>
                <w:iCs/>
                <w:sz w:val="20"/>
                <w:szCs w:val="20"/>
              </w:rPr>
              <w:t xml:space="preserve"> Christ, One Person, Council Of Chalcedon, Indonesian Church.</w:t>
            </w: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21" w:type="dxa"/>
        <w:tblBorders>
          <w:top w:val="nil"/>
          <w:left w:val="nil"/>
          <w:bottom w:val="nil"/>
          <w:right w:val="nil"/>
          <w:insideH w:val="nil"/>
          <w:insideV w:val="nil"/>
        </w:tblBorders>
        <w:tblLayout w:type="fixed"/>
        <w:tblLook w:val="0400" w:firstRow="0" w:lastRow="0" w:firstColumn="0" w:lastColumn="0" w:noHBand="0" w:noVBand="1"/>
      </w:tblPr>
      <w:tblGrid>
        <w:gridCol w:w="5084"/>
        <w:gridCol w:w="3537"/>
      </w:tblGrid>
      <w:tr w:rsidR="00C30472" w14:paraId="28F858E4" w14:textId="77777777" w:rsidTr="00AC0A8B">
        <w:trPr>
          <w:trHeight w:val="87"/>
        </w:trPr>
        <w:tc>
          <w:tcPr>
            <w:tcW w:w="5084"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37"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B13D558" w14:textId="4D33A61F" w:rsidR="00042C4A" w:rsidRPr="00042C4A" w:rsidRDefault="00000000" w:rsidP="00042C4A">
      <w:pPr>
        <w:jc w:val="both"/>
        <w:rPr>
          <w:b/>
        </w:rPr>
      </w:pPr>
      <w:r>
        <w:rPr>
          <w:b/>
        </w:rPr>
        <w:t>PENDAHULUAN</w:t>
      </w:r>
    </w:p>
    <w:p w14:paraId="22EC6797" w14:textId="001B590E" w:rsidR="00042C4A" w:rsidRPr="00C86660" w:rsidRDefault="00042C4A" w:rsidP="00042C4A">
      <w:pPr>
        <w:spacing w:line="360" w:lineRule="auto"/>
        <w:ind w:firstLine="720"/>
        <w:jc w:val="both"/>
      </w:pPr>
      <w:r w:rsidRPr="00C86660">
        <w:t>Doktrin tentang dua tabiat dalam satu pribadi merupakan salah satu fondasi utama dalam Kristologi Kristen yang membahas hubungan antara natur ilahi dan natur manusia dalam pribadi Yesus Kristus. Gereja sepanjang sejarah memandang doktrin ini sebagai pusat pengakuan iman karena berkaitan langsung dengan identitas Kristus dan karya keselamatan yang dikerjakan-Nya. Persoalan mengenai bagaimana Kristus dapat sungguh-sungguh Allah sekaligus sungguh-sungguh manusia telah menjadi perdebatan panjang sejak masa gereja mula-mula. Perdebatan tersebut bukan hanya muncul sebagai diskusi konseptual, melainkan sebagai respons terhadap berbagai ajaran yang dianggap menyimpang dari kesaksian Alkitab. Ketegangan antara penekanan terhadap keilahian dan kemanusiaan Kristus melahirkan berbagai kontroversi teologis yang memengaruhi perkembangan doktrin gereja hingga masa kini.</w:t>
      </w:r>
    </w:p>
    <w:p w14:paraId="624EBE6E" w14:textId="6D007E70" w:rsidR="00042C4A" w:rsidRPr="00C86660" w:rsidRDefault="00042C4A" w:rsidP="00042C4A">
      <w:pPr>
        <w:spacing w:line="360" w:lineRule="auto"/>
        <w:ind w:firstLine="720"/>
        <w:jc w:val="both"/>
        <w:rPr>
          <w:lang w:val="de-DE"/>
        </w:rPr>
      </w:pPr>
      <w:r w:rsidRPr="00C86660">
        <w:t xml:space="preserve">Problem umum mengenai dua tabiat Kristus terletak pada kesulitan manusia memahami persatuan dua natur yang berbeda dalam satu pribadi tanpa jatuh pada ekstrem teologis tertentu. Rasio manusia cenderung memisahkan atau mencampurkan kedua natur tersebut. Ketika keilahian Kristus terlalu ditekankan, kemanusiaan-Nya sering dipahami tidak nyata. Sebaliknya, apabila kemanusiaan Kristus lebih ditonjolkan, maka keilahian-Nya dipandang terbatas atau bahkan disangkal. </w:t>
      </w:r>
      <w:r w:rsidRPr="00C86660">
        <w:rPr>
          <w:lang w:val="de-DE"/>
        </w:rPr>
        <w:t>Pergumulan inilah yang menjadi akar munculnya berbagai ajaran kontroversial dalam sejarah gereja. Ajaran Arius menempatkan Kristus sebagai ciptaan tertinggi dan bukan Allah sejati</w:t>
      </w:r>
      <w:r w:rsidR="002D3E1A">
        <w:rPr>
          <w:rStyle w:val="FootnoteReference"/>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FootnoteReference"/>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 xml:space="preserve">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tahun 451 M yang merumuskan bahwa Kristus memiliki dua natur yang bersatu dalam satu pribadi tanpa </w:t>
      </w:r>
      <w:r w:rsidRPr="00C86660">
        <w:rPr>
          <w:lang w:val="de-DE"/>
        </w:rPr>
        <w:lastRenderedPageBreak/>
        <w:t>percampuran, tanpa perubahan, tanpa pembagian, dan tanpa pemisahan.</w:t>
      </w:r>
      <w:r w:rsidR="002D3E1A">
        <w:rPr>
          <w:rStyle w:val="FootnoteReference"/>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01EC731B" w14:textId="7BDE2F6A" w:rsidR="00042C4A" w:rsidRPr="00C86660" w:rsidRDefault="00042C4A" w:rsidP="00042C4A">
      <w:pPr>
        <w:spacing w:line="360" w:lineRule="auto"/>
        <w:ind w:firstLine="720"/>
        <w:jc w:val="both"/>
        <w:rPr>
          <w:lang w:val="de-DE"/>
        </w:rPr>
      </w:pPr>
      <w:r w:rsidRPr="00C86660">
        <w:rPr>
          <w:lang w:val="de-DE"/>
        </w:rPr>
        <w:t>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R="00D805A3">
        <w:rPr>
          <w:rStyle w:val="FootnoteReference"/>
          <w:lang w:val="de-DE"/>
        </w:rPr>
        <w:footnoteReference w:id="4"/>
      </w:r>
    </w:p>
    <w:p w14:paraId="670890EC" w14:textId="54EE5A52" w:rsidR="00042C4A" w:rsidRPr="00C86660" w:rsidRDefault="00042C4A" w:rsidP="00042C4A">
      <w:pPr>
        <w:spacing w:line="360" w:lineRule="auto"/>
        <w:ind w:firstLine="720"/>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dua tabiat Kristus 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 sehingga pengajaran mengenai dua natur Kristus kehilangan kedalaman teologisnya.</w:t>
      </w:r>
      <w:r w:rsidRPr="00042C4A">
        <w:rPr>
          <w:lang w:val="de-DE"/>
        </w:rPr>
        <w:t xml:space="preserve"> </w:t>
      </w:r>
      <w:r w:rsidRPr="00C86660">
        <w:rPr>
          <w:lang w:val="de-DE"/>
        </w:rPr>
        <w:t xml:space="preserve">Persoalan lain muncul dari adanya kecenderungan teologi populer yang menekankan Yesus sebagai sahabat manusia tanpa memberi perhatian serius terhadap keilahian-Nya. Sebaliknya, terdapat pula pengajaran yang terlalu </w:t>
      </w:r>
      <w:r w:rsidRPr="00C86660">
        <w:rPr>
          <w:lang w:val="de-DE"/>
        </w:rPr>
        <w:lastRenderedPageBreak/>
        <w:t>menonjolkan kemuliaan ilahi Kristus sehingga penderitaan dan pergumulan kemanusiaan-Nya tidak dipahami secara utuh.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5BE35889" w14:textId="738A0F15" w:rsidR="002D3E1A" w:rsidRPr="002D3E1A" w:rsidRDefault="002D3E1A" w:rsidP="00C008F0">
      <w:pPr>
        <w:spacing w:line="360" w:lineRule="auto"/>
        <w:ind w:firstLine="720"/>
        <w:jc w:val="both"/>
        <w:rPr>
          <w:lang w:val="id-ID"/>
        </w:rPr>
      </w:pPr>
      <w:r w:rsidRPr="002D3E1A">
        <w:rPr>
          <w:lang w:val="id-ID"/>
        </w:rPr>
        <w:t xml:space="preserve">Sejumlah penelitian di Indonesia telah membahas doktrin Kristologi dan pengajaran mengenai dua tabiat Kristus dari berbagai perspektif. Herlianto </w:t>
      </w:r>
      <w:r w:rsidR="00C008F0">
        <w:rPr>
          <w:lang w:val="id-ID"/>
        </w:rPr>
        <w:t xml:space="preserve">menulis </w:t>
      </w:r>
      <w:r w:rsidRPr="002D3E1A">
        <w:rPr>
          <w:lang w:val="id-ID"/>
        </w:rPr>
        <w:t>Pelbagai Pandangan Tentang Kristus: Sebuah Diskusi Populer Tentang Kristologi menguraikan perkembangan pemikiran Kristologi dalam sejarah gereja serta berbagai pandangan mengenai pribadi Kristus.</w:t>
      </w:r>
      <w:r w:rsidR="00C008F0">
        <w:rPr>
          <w:rStyle w:val="FootnoteReference"/>
          <w:lang w:val="id-ID"/>
        </w:rPr>
        <w:footnoteReference w:id="5"/>
      </w:r>
      <w:r w:rsidRPr="002D3E1A">
        <w:rPr>
          <w:lang w:val="id-ID"/>
        </w:rPr>
        <w:t xml:space="preserve"> Kajian tersebut memberikan penjelasan historis mengenai perkembangan doktrin Kristologi, namun belum membahas secara mendalam relevansi problem dua tabiat Kristus dalam konteks gereja Indonesia kontemporer. </w:t>
      </w:r>
      <w:r w:rsidR="00C008F0" w:rsidRPr="00C008F0">
        <w:rPr>
          <w:lang w:val="id-ID"/>
        </w:rPr>
        <w:t>Tanyit</w:t>
      </w:r>
      <w:r w:rsidRPr="002D3E1A">
        <w:rPr>
          <w:lang w:val="id-ID"/>
        </w:rPr>
        <w:t xml:space="preserve"> membahas dimensi pelayanan pastoral dan pembinaan jemaat.</w:t>
      </w:r>
      <w:r w:rsidR="00C008F0">
        <w:rPr>
          <w:rStyle w:val="FootnoteReference"/>
          <w:lang w:val="id-ID"/>
        </w:rPr>
        <w:footnoteReference w:id="6"/>
      </w:r>
      <w:r w:rsidRPr="002D3E1A">
        <w:rPr>
          <w:lang w:val="id-ID"/>
        </w:rPr>
        <w:t xml:space="preserve"> Fokus penelitian diarahkan pada aspek pastoral dan pendidikan iman sehingga analisis historis mengenai konflik Kristologis belum dikembangkan secara komprehensif.</w:t>
      </w:r>
      <w:r w:rsidR="00C008F0">
        <w:rPr>
          <w:lang w:val="id-ID"/>
        </w:rPr>
        <w:t xml:space="preserve"> </w:t>
      </w:r>
      <w:r w:rsidRPr="002D3E1A">
        <w:rPr>
          <w:lang w:val="id-ID"/>
        </w:rPr>
        <w:t>Harefa, Paath, dan Pasaribu membahas tantangan pemahaman Kristologi di tengah perkembangan pemikiran postmodern dan kontekstualisasi teologi di Indonesia</w:t>
      </w:r>
      <w:r w:rsidR="00C008F0">
        <w:rPr>
          <w:lang w:val="id-ID"/>
        </w:rPr>
        <w:t xml:space="preserve"> </w:t>
      </w:r>
      <w:r w:rsidRPr="002D3E1A">
        <w:rPr>
          <w:lang w:val="id-ID"/>
        </w:rPr>
        <w:t>memperlihatkan adanya pergeseran pemahaman doktrinal di kalangan gereja modern, tetapi belum menghubungkan fenomena tersebut dengan akar historis perdebatan dua tabiat Kristus.</w:t>
      </w:r>
      <w:r w:rsidR="00C008F0">
        <w:rPr>
          <w:rStyle w:val="FootnoteReference"/>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FootnoteReference"/>
          <w:lang w:val="id-ID"/>
        </w:rPr>
        <w:footnoteReference w:id="8"/>
      </w:r>
      <w:r w:rsidRPr="002D3E1A">
        <w:rPr>
          <w:lang w:val="id-ID"/>
        </w:rPr>
        <w:t xml:space="preserve"> Akan tetapi, fokus penelitian lebih diarahkan pada strategi pendidikan dan keterlibatan jemaat, bukan pada kajian historis maupun teologis mengenai doktrin dua tabiat Kristus.</w:t>
      </w:r>
    </w:p>
    <w:p w14:paraId="6EB92D8C" w14:textId="391427B2" w:rsidR="00042C4A" w:rsidRPr="005803EC" w:rsidRDefault="00042C4A" w:rsidP="002D3E1A">
      <w:pPr>
        <w:spacing w:line="360" w:lineRule="auto"/>
        <w:ind w:firstLine="720"/>
        <w:jc w:val="both"/>
        <w:rPr>
          <w:lang w:val="de-DE"/>
        </w:rPr>
      </w:pPr>
      <w:r w:rsidRPr="002D3E1A">
        <w:rPr>
          <w:lang w:val="id-ID"/>
        </w:rPr>
        <w:t xml:space="preserve">Berdasarkan penelitian terdahulu, terlihat adanya celah penelitian antara studi historis mengenai perdebatan Kristologi dan relevansinya bagi gereja Indonesia masa kini. </w:t>
      </w:r>
      <w:r w:rsidRPr="00C86660">
        <w:rPr>
          <w:lang w:val="de-DE"/>
        </w:rPr>
        <w:t xml:space="preserve">Sebagian penelitian hanya berfokus pada sejarah doktrin gereja mula-mula, sedangkan </w:t>
      </w:r>
      <w:r w:rsidRPr="00C86660">
        <w:rPr>
          <w:lang w:val="de-DE"/>
        </w:rPr>
        <w:lastRenderedPageBreak/>
        <w:t>penelitian lain lebih menekankan aspek praktis pelayanan gereja modern tanpa menguraikan akar teologis problem Kristologi. Belum banyak penelitian yang secara khusus memusatkan perhatian pada problem dua tabiat dalam satu pribadi sebagai isu historis sekaligus problem kontekstual gereja Indonesia.</w:t>
      </w:r>
      <w:r w:rsidR="002D3E1A">
        <w:rPr>
          <w:lang w:val="de-DE"/>
        </w:rPr>
        <w:t xml:space="preserve"> </w:t>
      </w:r>
      <w:r w:rsidRPr="005803EC">
        <w:rPr>
          <w:lang w:val="de-DE"/>
        </w:rPr>
        <w:t>Kebaruan penelitian ini terletak pada fokus analisis terhadap problem persatuan dua natur Kristus dalam satu pribadi dengan pendekatan historis dan relevansi kontekstual bagi gereja di Indonesia. Penelitian ini tidak hanya membahas sejarah kontroversi Kristologis sejak Konsili Nikea hingga Konsili Kalsedon, tetapi juga mengaitkan problem tersebut dengan krisis pemahaman doktrin di tengah gereja modern Indonesia. Pendekatan ini memberikan kontribusi baru dalam studi Kristologi karena menghubungkan refleksi historis gereja mula-mula dengan kebutuhan pembinaan teologi kontemporer. Melalui kajian ini, doktrin dua tabiat dalam satu pribadi dipahami bukan sekadar rumusan dogmatis, melainkan fondasi iman yang memiliki implikasi langsung terhadap kehidupan, pengajaran, dan identitas gereja masa kini.</w:t>
      </w:r>
    </w:p>
    <w:p w14:paraId="38CC7AFE" w14:textId="77777777" w:rsidR="00C30472" w:rsidRPr="005803EC" w:rsidRDefault="00C30472">
      <w:pPr>
        <w:pBdr>
          <w:top w:val="nil"/>
          <w:left w:val="nil"/>
          <w:bottom w:val="nil"/>
          <w:right w:val="nil"/>
          <w:between w:val="nil"/>
        </w:pBdr>
        <w:jc w:val="both"/>
        <w:rPr>
          <w:rFonts w:eastAsia="Times New Roman"/>
          <w:color w:val="000000"/>
          <w:lang w:val="de-DE"/>
        </w:rPr>
      </w:pPr>
    </w:p>
    <w:p w14:paraId="179730E0" w14:textId="77777777" w:rsidR="00C30472" w:rsidRPr="005803EC" w:rsidRDefault="00000000">
      <w:pPr>
        <w:tabs>
          <w:tab w:val="left" w:pos="284"/>
        </w:tabs>
        <w:jc w:val="both"/>
        <w:rPr>
          <w:b/>
          <w:lang w:val="de-DE"/>
        </w:rPr>
      </w:pPr>
      <w:r w:rsidRPr="005803EC">
        <w:rPr>
          <w:b/>
          <w:lang w:val="de-DE"/>
        </w:rPr>
        <w:t>METODE PENELITIAN</w:t>
      </w:r>
    </w:p>
    <w:p w14:paraId="3A8DDBC8" w14:textId="77777777" w:rsidR="00776346" w:rsidRPr="00FF2B0D" w:rsidRDefault="00776346" w:rsidP="00776346">
      <w:pPr>
        <w:spacing w:line="360" w:lineRule="auto"/>
        <w:ind w:firstLine="720"/>
        <w:jc w:val="both"/>
        <w:rPr>
          <w:rFonts w:eastAsia="Times New Roman"/>
        </w:rPr>
      </w:pPr>
      <w:r w:rsidRPr="00FF2B0D">
        <w:rPr>
          <w:rFonts w:eastAsia="Times New Roman"/>
        </w:rPr>
        <w:t>Penelitian ini menggunakan pendekatan kualitatif dengan metode studi pustaka (library research). Pendekatan kualitatif dipilih karena penelitian ini berfokus pada pemahaman mendalam terhadap konsep teologis mengenai tabiat Yesus serta dinamika perdebatan yang menyertainya, baik dalam perspektif historis maupun kontekstual. Melalui pendekatan ini, peneliti berupaya menginterpretasikan data secara deskriptif-analitis untuk memperoleh pemahaman yang komprehensif.</w:t>
      </w:r>
      <w:r>
        <w:rPr>
          <w:rFonts w:eastAsia="Times New Roman"/>
        </w:rPr>
        <w:t xml:space="preserve"> </w:t>
      </w:r>
      <w:r w:rsidRPr="00FF2B0D">
        <w:rPr>
          <w:rFonts w:eastAsia="Times New Roman"/>
        </w:rPr>
        <w:t>Metode studi pustaka digunakan dengan mengkaji berbagai sumber tertulis yang relevan, seperti Alkitab, buku-buku teologi sistematika, dokumen-dokumen konsili gereja, jurnal ilmiah, serta literatur akademik lainnya yang berkaitan dengan kristologi. Selain itu, sumber-sumber kontemporer seperti artikel daring dan diskursus di media sosial juga dijadikan sebagai bahan analisis untuk memahami perkembangan isu dalam konteks kekinian, khususnya di Indonesia.</w:t>
      </w:r>
    </w:p>
    <w:p w14:paraId="6F354CD0" w14:textId="77777777" w:rsidR="00776346" w:rsidRPr="00AD64AB" w:rsidRDefault="00776346" w:rsidP="00776346">
      <w:pPr>
        <w:spacing w:line="360" w:lineRule="auto"/>
        <w:ind w:firstLine="720"/>
        <w:jc w:val="both"/>
        <w:rPr>
          <w:rFonts w:eastAsia="Times New Roman"/>
          <w:lang w:val="de-DE"/>
        </w:rPr>
      </w:pPr>
      <w:r w:rsidRPr="00FF2B0D">
        <w:rPr>
          <w:rFonts w:eastAsia="Times New Roman"/>
        </w:rPr>
        <w:t>Pendekatan historis digunakan untuk menelusuri perkembangan pemikiran mengenai tabiat Yesus sejak masa gereja mula-mula hingga terbentuknya rumusan doktrinal yang diakui secara luas. Dalam hal ini, penelitian menyoroti peristiwa-peristiwa penting seperti perdebatan teologis awal dan keputusan-keputusan konsili gereja yang berkontribusi terhadap pembentukan doktrin “dua tabiat dalam satu pribadi.” Pendekatan ini bertujuan untuk memberikan landasan yang kuat dalam memahami konteks munculnya berbagai pandangan kristologis.</w:t>
      </w:r>
      <w:r>
        <w:rPr>
          <w:rFonts w:eastAsia="Times New Roman"/>
        </w:rPr>
        <w:t xml:space="preserve"> </w:t>
      </w:r>
      <w:r w:rsidRPr="00FF2B0D">
        <w:rPr>
          <w:rFonts w:eastAsia="Times New Roman"/>
        </w:rPr>
        <w:t xml:space="preserve">Selain itu, penelitian ini juga menggunakan pendekatan teologis untuk menganalisis makna dan implikasi doktrin tersebut bagi kehidupan gereja. Pendekatan </w:t>
      </w:r>
      <w:r w:rsidRPr="00FF2B0D">
        <w:rPr>
          <w:rFonts w:eastAsia="Times New Roman"/>
        </w:rPr>
        <w:lastRenderedPageBreak/>
        <w:t xml:space="preserve">ini dilakukan dengan menelaah konsep-konsep utama dalam kristologi serta mengevaluasi relevansinya dalam konteks gereja di Indonesia saat ini. </w:t>
      </w:r>
      <w:r w:rsidRPr="00BE4060">
        <w:rPr>
          <w:rFonts w:eastAsia="Times New Roman"/>
          <w:lang w:val="de-DE"/>
        </w:rPr>
        <w:t>Analisis teologis ini bersifat reflektif-kritis, dengan tetap mengacu pada kerangka ajaran Kristen yang ortodoks.</w:t>
      </w:r>
    </w:p>
    <w:p w14:paraId="6AD0BA80" w14:textId="77777777" w:rsidR="00776346" w:rsidRPr="00AD64AB" w:rsidRDefault="00776346" w:rsidP="00776346">
      <w:pPr>
        <w:spacing w:line="360" w:lineRule="auto"/>
        <w:ind w:firstLine="720"/>
        <w:jc w:val="both"/>
        <w:rPr>
          <w:rFonts w:eastAsia="Times New Roman"/>
          <w:lang w:val="de-DE"/>
        </w:rPr>
      </w:pPr>
      <w:r w:rsidRPr="00BE4060">
        <w:rPr>
          <w:rFonts w:eastAsia="Times New Roman"/>
          <w:lang w:val="de-DE"/>
        </w:rPr>
        <w:t>Teknik analisis data yang digunakan adalah analisis isi (content analysis), yaitu dengan mengidentifikasi, mengkategorikan, dan menginterpretasikan tema-tema utama yang muncul dari berbagai sumber yang dikaji. Data yang telah dikumpulkan kemudian dianalisis secara sistematis untuk menemukan pola, hubungan, dan makna yang berkaitan dengan perdebatan mengenai tabiat Yesus.</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6C4811C0" w14:textId="77777777" w:rsidR="00C30472" w:rsidRPr="00776346" w:rsidRDefault="00C30472">
      <w:pPr>
        <w:jc w:val="both"/>
        <w:rPr>
          <w:b/>
          <w:lang w:val="de-DE"/>
        </w:rPr>
      </w:pPr>
    </w:p>
    <w:p w14:paraId="23DDDC07" w14:textId="77777777" w:rsidR="00C30472" w:rsidRPr="005803EC" w:rsidRDefault="00000000" w:rsidP="00776346">
      <w:pPr>
        <w:spacing w:after="120"/>
        <w:jc w:val="both"/>
        <w:rPr>
          <w:b/>
          <w:lang w:val="id-ID"/>
        </w:rPr>
      </w:pPr>
      <w:r w:rsidRPr="005803EC">
        <w:rPr>
          <w:b/>
          <w:lang w:val="id-ID"/>
        </w:rPr>
        <w:t>HASIL DAN PEMBAHASAN</w:t>
      </w:r>
    </w:p>
    <w:p w14:paraId="15C6830E" w14:textId="77777777" w:rsidR="00536CBE" w:rsidRPr="005803EC" w:rsidRDefault="00536CBE" w:rsidP="00536CBE">
      <w:pPr>
        <w:spacing w:line="360" w:lineRule="auto"/>
        <w:outlineLvl w:val="2"/>
        <w:rPr>
          <w:rFonts w:eastAsia="Times New Roman"/>
          <w:b/>
          <w:bCs/>
          <w:lang w:val="id-ID"/>
        </w:rPr>
      </w:pPr>
      <w:r w:rsidRPr="005803EC">
        <w:rPr>
          <w:rFonts w:eastAsia="Times New Roman"/>
          <w:b/>
          <w:bCs/>
          <w:lang w:val="id-ID"/>
        </w:rPr>
        <w:t>Hakikat Perdebatan Kristologis: Dua Tabiat dalam Satu Pribadi</w:t>
      </w:r>
    </w:p>
    <w:p w14:paraId="7B9E64D5" w14:textId="77777777" w:rsidR="00536CBE" w:rsidRPr="005803EC" w:rsidRDefault="00536CBE" w:rsidP="00536CBE">
      <w:pPr>
        <w:spacing w:line="360" w:lineRule="auto"/>
        <w:ind w:firstLine="720"/>
        <w:jc w:val="both"/>
        <w:rPr>
          <w:rFonts w:eastAsia="Times New Roman"/>
          <w:lang w:val="id-ID"/>
        </w:rPr>
      </w:pPr>
      <w:r w:rsidRPr="005803EC">
        <w:rPr>
          <w:rFonts w:eastAsia="Times New Roman"/>
          <w:lang w:val="id-ID"/>
        </w:rPr>
        <w:t>Perdebatan mengenai tabiat Yesus merupakan salah satu isu paling fundamental dalam kajian kristologi dalam tradisi Kekristenan. Persoalan ini tidak hanya menyangkut aspek doktrinal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3FCF1127" w14:textId="4BFF11FD" w:rsidR="00536CBE" w:rsidRPr="009D24CD" w:rsidRDefault="00536CBE" w:rsidP="009D24CD">
      <w:pPr>
        <w:spacing w:line="360" w:lineRule="auto"/>
        <w:ind w:firstLine="720"/>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r w:rsidRPr="00F000A3">
        <w:rPr>
          <w:rFonts w:eastAsia="Times New Roman"/>
          <w:lang w:val="id-ID"/>
        </w:rPr>
        <w:t>dua tabiat dalam satu pribadi</w:t>
      </w:r>
      <w:r w:rsidRPr="005803EC">
        <w:rPr>
          <w:rFonts w:eastAsia="Times New Roman"/>
          <w:lang w:val="id-ID"/>
        </w:rPr>
        <w:t xml:space="preserve"> (</w:t>
      </w:r>
      <w:r w:rsidRPr="005803EC">
        <w:rPr>
          <w:rFonts w:eastAsia="Times New Roman"/>
          <w:i/>
          <w:iCs/>
          <w:lang w:val="id-ID"/>
        </w:rPr>
        <w:t>dual nature in one person</w:t>
      </w:r>
      <w:r w:rsidRPr="005803EC">
        <w:rPr>
          <w:rFonts w:eastAsia="Times New Roman"/>
          <w:lang w:val="id-ID"/>
        </w:rPr>
        <w:t>). Konsep ini menegaskan bahwa Yesus Kristus adalah sungguh Allah (</w:t>
      </w:r>
      <w:r w:rsidRPr="005803EC">
        <w:rPr>
          <w:rFonts w:eastAsia="Times New Roman"/>
          <w:i/>
          <w:iCs/>
          <w:lang w:val="id-ID"/>
        </w:rPr>
        <w:t>vere Deus</w:t>
      </w:r>
      <w:r w:rsidRPr="005803EC">
        <w:rPr>
          <w:rFonts w:eastAsia="Times New Roman"/>
          <w:lang w:val="id-ID"/>
        </w:rPr>
        <w:t>) dan sungguh manusia (</w:t>
      </w:r>
      <w:r w:rsidRPr="005803EC">
        <w:rPr>
          <w:rFonts w:eastAsia="Times New Roman"/>
          <w:i/>
          <w:iCs/>
          <w:lang w:val="id-ID"/>
        </w:rPr>
        <w:t>vere homo</w:t>
      </w:r>
      <w:r w:rsidRPr="005803EC">
        <w:rPr>
          <w:rFonts w:eastAsia="Times New Roman"/>
          <w:lang w:val="id-ID"/>
        </w:rPr>
        <w:t>), yang keduanya hadir secara utuh dan sempurna dalam satu pribadi yang sama.</w:t>
      </w:r>
      <w:r w:rsidR="00776346">
        <w:rPr>
          <w:rStyle w:val="FootnoteReference"/>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r w:rsidRPr="005803EC">
        <w:rPr>
          <w:rFonts w:eastAsia="Times New Roman"/>
          <w:lang w:val="id-ID"/>
        </w:rPr>
        <w:t>ilahi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FootnoteReference"/>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w:t>
      </w:r>
      <w:r w:rsidRPr="00E144BD">
        <w:rPr>
          <w:rFonts w:eastAsia="Times New Roman"/>
          <w:lang w:val="id-ID"/>
        </w:rPr>
        <w:lastRenderedPageBreak/>
        <w:t>Dengan demikian, rumusan Kalsedon berfungsi sebagai batas teologis yang menjaga gereja dari dua kecenderungan ekstrem, yaitu penekanan berlebihan pada keilahian yang mengabaikan kemanusiaan (seperti dalam doketisme), maupun penekanan pada kemanusiaan yang mereduksi keilahian Kristus.</w:t>
      </w:r>
    </w:p>
    <w:p w14:paraId="05D1E0BC" w14:textId="4927A190" w:rsidR="00536CBE" w:rsidRPr="00B01286" w:rsidRDefault="009D24CD" w:rsidP="00536CBE">
      <w:pPr>
        <w:spacing w:line="360" w:lineRule="auto"/>
        <w:ind w:firstLine="720"/>
        <w:jc w:val="both"/>
        <w:rPr>
          <w:rFonts w:eastAsia="Times New Roman"/>
          <w:lang w:val="de-DE"/>
        </w:rPr>
      </w:pPr>
      <w:r>
        <w:rPr>
          <w:rFonts w:eastAsia="Times New Roman"/>
          <w:lang w:val="de-DE"/>
        </w:rPr>
        <w:t>K</w:t>
      </w:r>
      <w:r w:rsidR="00536CBE" w:rsidRPr="00B01286">
        <w:rPr>
          <w:rFonts w:eastAsia="Times New Roman"/>
          <w:lang w:val="de-DE"/>
        </w:rPr>
        <w:t>onsep dua tabiat dalam satu pribadi tidak hanya memiliki signifikansi doktrinal, tetapi juga implikasi soteriologis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ilahi yang cukup untuk menebus dosa manusia secara sempurna.</w:t>
      </w:r>
      <w:r w:rsidR="00776346">
        <w:rPr>
          <w:rStyle w:val="FootnoteReference"/>
          <w:rFonts w:eastAsia="Times New Roman"/>
          <w:lang w:val="de-DE"/>
        </w:rPr>
        <w:footnoteReference w:id="11"/>
      </w:r>
      <w:r w:rsidR="00536CBE" w:rsidRPr="00B01286">
        <w:rPr>
          <w:rFonts w:eastAsia="Times New Roman"/>
          <w:lang w:val="de-DE"/>
        </w:rPr>
        <w:t xml:space="preserve"> Oleh karena itu, integritas kedua natur Kristus merupakan dasar ontologis bagi doktrin keselamatan dalam Kekristenan.</w:t>
      </w:r>
    </w:p>
    <w:p w14:paraId="2E12A2EE" w14:textId="19302EB5" w:rsidR="00536CBE" w:rsidRDefault="00536CBE" w:rsidP="00BE3ED7">
      <w:pPr>
        <w:spacing w:line="360" w:lineRule="auto"/>
        <w:ind w:firstLine="720"/>
        <w:jc w:val="both"/>
        <w:rPr>
          <w:rFonts w:eastAsia="Times New Roman"/>
          <w:lang w:val="de-DE"/>
        </w:rPr>
      </w:pPr>
      <w:r w:rsidRPr="00B01286">
        <w:rPr>
          <w:rFonts w:eastAsia="Times New Roman"/>
          <w:lang w:val="de-DE"/>
        </w:rPr>
        <w:t>Dalam konteks kekinian, perdebatan mengenai tabiat Yesus 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emahaman yang mendalam dan seimbang mengenai dua tabiat Kristus 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dua tabiat dalam satu pribadi bukan sekadar warisan teologis masa lampau, melainkan fondasi iman yang terus relevan dalam menjawab tantangan pemikiran dan perdebatan teologis di setiap zaman. </w:t>
      </w:r>
    </w:p>
    <w:p w14:paraId="2845B496" w14:textId="77777777" w:rsidR="00AC0A8B" w:rsidRPr="00B01286" w:rsidRDefault="00AC0A8B" w:rsidP="00536CBE">
      <w:pPr>
        <w:spacing w:line="360" w:lineRule="auto"/>
        <w:ind w:firstLine="720"/>
        <w:jc w:val="both"/>
        <w:rPr>
          <w:rFonts w:eastAsia="Times New Roman"/>
          <w:lang w:val="de-DE"/>
        </w:rPr>
      </w:pPr>
    </w:p>
    <w:p w14:paraId="494308F5" w14:textId="77777777" w:rsidR="00536CBE" w:rsidRPr="00536CBE" w:rsidRDefault="00536CBE" w:rsidP="00536CBE">
      <w:pPr>
        <w:spacing w:line="360" w:lineRule="auto"/>
        <w:jc w:val="both"/>
        <w:rPr>
          <w:lang w:val="de-DE"/>
        </w:rPr>
      </w:pPr>
      <w:r w:rsidRPr="00C86660">
        <w:rPr>
          <w:b/>
          <w:bCs/>
          <w:lang w:val="de-DE"/>
        </w:rPr>
        <w:t>Sejarah Awal Perdebatan Kristologis dalam Gereja Mula-Mula</w:t>
      </w:r>
    </w:p>
    <w:p w14:paraId="2BBB69A2" w14:textId="000D2C7E" w:rsidR="00536CBE" w:rsidRPr="00F000A3" w:rsidRDefault="00536CBE" w:rsidP="00536CBE">
      <w:pPr>
        <w:spacing w:line="360" w:lineRule="auto"/>
        <w:ind w:firstLine="720"/>
        <w:jc w:val="both"/>
        <w:rPr>
          <w:lang w:val="de-DE"/>
        </w:rPr>
      </w:pPr>
      <w:r w:rsidRPr="00C86660">
        <w:rPr>
          <w:lang w:val="de-DE"/>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ousia (hakikat), hypostasis (pribadi), dan physis (natur) menjadi istilah penting dalam diskusi Kristologi gereja awal. Menurut  </w:t>
      </w:r>
      <w:r w:rsidR="00F000A3">
        <w:rPr>
          <w:lang w:val="de-DE"/>
        </w:rPr>
        <w:t>Norris</w:t>
      </w:r>
      <w:r w:rsidRPr="00C86660">
        <w:rPr>
          <w:lang w:val="de-DE"/>
        </w:rPr>
        <w:t xml:space="preserve"> perkembangan doktrin Kristologi tidak dapat dipisahkan dari </w:t>
      </w:r>
      <w:r w:rsidRPr="00C86660">
        <w:rPr>
          <w:lang w:val="de-DE"/>
        </w:rPr>
        <w:lastRenderedPageBreak/>
        <w:t>interaksi antara iman Kristen dan kebudayaan Yunani yang menyediakan bahasa filosofis untuk menjelaskan misteri inkarnasi Kristus.</w:t>
      </w:r>
      <w:r w:rsidR="00250EAA">
        <w:rPr>
          <w:rStyle w:val="FootnoteReference"/>
          <w:lang w:val="de-DE"/>
        </w:rPr>
        <w:footnoteReference w:id="12"/>
      </w:r>
    </w:p>
    <w:p w14:paraId="4FD04265" w14:textId="0C48420E" w:rsidR="00536CBE" w:rsidRPr="00C86660" w:rsidRDefault="00536CBE" w:rsidP="00536CBE">
      <w:pPr>
        <w:spacing w:line="360" w:lineRule="auto"/>
        <w:ind w:firstLine="720"/>
        <w:jc w:val="both"/>
      </w:pPr>
      <w:r w:rsidRPr="00C86660">
        <w:t>Pengaruh filsafat Yunani terlihat ketika gereja berusaha menjelaskan bagaimana Firman Allah dapat menjadi manusia tanpa kehilangan keilahian-Nya. Dalam konteks tersebut, muncul berbagai pandangan yang mencoba menafsirkan identitas Kristus secara rasional. Doketisme menganggap tubuh Kristus hanya penampakan semu dan bukan tubuh manusia sejati dipengaruhi oleh dualisme Yunani yang memandang materi sebagai sesuatu yang rendah dan tidak layak disatukan dengan keilahian.</w:t>
      </w:r>
      <w:r w:rsidR="00F000A3">
        <w:rPr>
          <w:rStyle w:val="FootnoteReference"/>
        </w:rPr>
        <w:footnoteReference w:id="13"/>
      </w:r>
      <w:r w:rsidRPr="00C86660">
        <w:t xml:space="preserve"> Ignatius dari Antiokhia menolak keras ajaran tersebut dengan menegaskan bahwa Kristus benar-benar lahir, menderita, dan mati sebagai manusia sejati. Menurut Ignatius, penolakan terhadap kemanusiaan Kristus akan merusak makna keselamatan karena Kristus datang untuk menebus manusia melalui keberadaan-Nya yang nyata dalam sejarah.</w:t>
      </w:r>
      <w:r w:rsidR="00E144BD">
        <w:rPr>
          <w:rStyle w:val="FootnoteReference"/>
        </w:rPr>
        <w:footnoteReference w:id="14"/>
      </w:r>
    </w:p>
    <w:p w14:paraId="038FEEAB" w14:textId="41046502" w:rsidR="00536CBE" w:rsidRPr="00C86660" w:rsidRDefault="00536CBE" w:rsidP="00536CBE">
      <w:pPr>
        <w:spacing w:line="360" w:lineRule="auto"/>
        <w:ind w:firstLine="720"/>
        <w:jc w:val="both"/>
      </w:pPr>
      <w:r w:rsidRPr="00C86660">
        <w:t>Konflik Kristologi semakin berkembang pada abad keempat melalui ajaran Arius yang menyatakan bahwa Kristus bukan Allah sejati, melainkan ciptaan tertinggi yang diciptakan sebelum dunia ada. Arianisme muncul dari upaya mempertahankan monoteisme secara mutlak sehingga Kristus ditempatkan di bawah Allah Bapa. Arius berpendapat bahwa pernah ada ketika Sang Anak tidak ada. Pandangan ini mendapat penolakan dari Athanasius yang menegaskan bahwa Kristus adalah Allah sejati yang sehakekat dengan Bapa.</w:t>
      </w:r>
      <w:r w:rsidR="002A2BAC">
        <w:rPr>
          <w:rStyle w:val="FootnoteReference"/>
        </w:rPr>
        <w:footnoteReference w:id="15"/>
      </w:r>
      <w:r w:rsidR="002A2BAC">
        <w:t xml:space="preserve"> </w:t>
      </w:r>
      <w:r w:rsidRPr="00C86660">
        <w:t>Athanasius menyatakan bahwa hanya Allah yang dapat menyelamatkan manusia, sehingga apabila Kristus bukan Allah sejati maka keselamatan manusia tidak mungkin terjadi. Pemikiran Athanasius menjadi dasar penting dalam Konsili Nikea tahun 325 M yang menetapkan istilah homoousios untuk menjelaskan bahwa Kristus memiliki hakikat yang sama dengan Bapa.</w:t>
      </w:r>
      <w:r w:rsidR="002A2BAC">
        <w:rPr>
          <w:rStyle w:val="FootnoteReference"/>
        </w:rPr>
        <w:footnoteReference w:id="16"/>
      </w:r>
    </w:p>
    <w:p w14:paraId="43C3BEA8" w14:textId="53FE6CA1" w:rsidR="00536CBE" w:rsidRPr="005C17D4" w:rsidRDefault="00536CBE" w:rsidP="00536CBE">
      <w:pPr>
        <w:spacing w:line="360" w:lineRule="auto"/>
        <w:ind w:firstLine="720"/>
        <w:jc w:val="both"/>
        <w:rPr>
          <w:lang w:val="de-DE"/>
        </w:rPr>
      </w:pPr>
      <w:r w:rsidRPr="00BE3ED7">
        <w:rPr>
          <w:lang w:val="de-DE"/>
        </w:rPr>
        <w:t xml:space="preserve">Pada abad kelima, konflik Kristologi berpusat pada hubungan antara natur ilahi dan manusia Kristus. </w:t>
      </w:r>
      <w:r w:rsidRPr="00C86660">
        <w:t xml:space="preserve">Tradisi Antiokhia lebih menekankan kemanusiaan Kristus, sedangkan tradisi Aleksandria lebih menonjolkan kesatuan pribadi Kristus. </w:t>
      </w:r>
      <w:r w:rsidRPr="00C86660">
        <w:rPr>
          <w:lang w:val="de-DE"/>
        </w:rPr>
        <w:t xml:space="preserve">Perdebatan ini terlihat dalam kontroversi antara Nestorius dan Kirilus dari Aleksandria. Nestorius menolak penggunaan gelar Theotokos bagi Maria karena dianggap mencampurkan natur ilahi dan </w:t>
      </w:r>
      <w:r w:rsidRPr="00C86660">
        <w:rPr>
          <w:lang w:val="de-DE"/>
        </w:rPr>
        <w:lastRenderedPageBreak/>
        <w:t xml:space="preserve">manusia Kristus. </w:t>
      </w:r>
      <w:r w:rsidRPr="00C86660">
        <w:t xml:space="preserve">Menurut Nestorius, Maria hanya melahirkan manusia Yesus dan bukan Allah. Kirilus menentang pandangan tersebut dengan menegaskan bahwa Kristus adalah satu pribadi yang utuh sehingga Maria layak disebut Theotokos karena yang lahir darinya adalah Firman Allah yang menjadi manusia. </w:t>
      </w:r>
      <w:r w:rsidRPr="00C86660">
        <w:rPr>
          <w:lang w:val="de-DE"/>
        </w:rPr>
        <w:t>Kirilus menekankan konsep persatuan hipostatik yang menyatakan bahwa dua natur Kristus bersatu dalam satu pribadi tanpa terpisah.</w:t>
      </w:r>
      <w:r w:rsidR="005C17D4">
        <w:rPr>
          <w:rStyle w:val="FootnoteReference"/>
          <w:lang w:val="de-DE"/>
        </w:rPr>
        <w:footnoteReference w:id="17"/>
      </w:r>
    </w:p>
    <w:p w14:paraId="47761723" w14:textId="21B2E5F0" w:rsidR="00536CBE" w:rsidRDefault="00536CBE" w:rsidP="00536CBE">
      <w:pPr>
        <w:spacing w:line="360" w:lineRule="auto"/>
        <w:ind w:firstLine="720"/>
        <w:jc w:val="both"/>
      </w:pPr>
      <w:r w:rsidRPr="00C86660">
        <w:t>Perdebatan Kristologi kembali memuncak melalui ajaran Eutyches yang terlalu menekankan kesatuan Kristus sehingga natur manusia-Nya dianggap larut ke dalam natur ilahi. Pandangan ini dikenal sebagai Monofisitisme. Gereja menilai ajaran tersebut berbahaya karena menghilangkan kemanusiaan Kristus yang sejati. Konflik ini mendorong lahirnya Konsili Kalsedon tahun 451 M yang merumuskan bahwa Kristus adalah satu pribadi dalam dua natur, tanpa percampuran, tanpa perubahan, tanpa pembagian, dan tanpa pemisahan.</w:t>
      </w:r>
      <w:r w:rsidR="005C17D4">
        <w:rPr>
          <w:rStyle w:val="FootnoteReference"/>
        </w:rPr>
        <w:footnoteReference w:id="18"/>
      </w:r>
      <w:r w:rsidRPr="00C86660">
        <w:t xml:space="preserve"> Menurut Leo Agung dalam Tome of Leo, masing-masing natur Kristus tetap mempertahankan sifatnya sendiri namun bekerja bersama dalam satu pribadi.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r w:rsidRPr="00C86660">
        <w:t>Pergumulan tersebut menghasilkan formulasi doktrin dua tabiat dalam satu pribadi yang menjadi fondasi penting bagi teologi Kristen dan pemahaman gereja mengenai karya keselamatan Kristus.</w:t>
      </w:r>
      <w:r w:rsidR="005C17D4">
        <w:rPr>
          <w:rStyle w:val="FootnoteReference"/>
        </w:rPr>
        <w:footnoteReference w:id="19"/>
      </w:r>
    </w:p>
    <w:p w14:paraId="644BF013" w14:textId="77777777" w:rsidR="00AC0A8B" w:rsidRDefault="00AC0A8B" w:rsidP="00536CBE">
      <w:pPr>
        <w:spacing w:line="360" w:lineRule="auto"/>
        <w:ind w:firstLine="720"/>
        <w:jc w:val="both"/>
      </w:pPr>
    </w:p>
    <w:p w14:paraId="186266F8" w14:textId="77777777" w:rsidR="00536CBE" w:rsidRDefault="00536CBE" w:rsidP="00536CBE">
      <w:pPr>
        <w:spacing w:line="360" w:lineRule="auto"/>
        <w:jc w:val="both"/>
      </w:pPr>
      <w:r w:rsidRPr="00C86660">
        <w:rPr>
          <w:b/>
          <w:bCs/>
        </w:rPr>
        <w:t>Analisis Historis Terhadap Kontroversi Dua Tabiat Kristus</w:t>
      </w:r>
    </w:p>
    <w:p w14:paraId="1214F5FD" w14:textId="5F7AB9E9" w:rsidR="00536CBE" w:rsidRPr="00715BBF" w:rsidRDefault="00536CBE" w:rsidP="00536CBE">
      <w:pPr>
        <w:spacing w:line="360" w:lineRule="auto"/>
        <w:ind w:firstLine="720"/>
        <w:jc w:val="both"/>
      </w:pPr>
      <w:r w:rsidRPr="00715BBF">
        <w:t>Kontroversi mengenai dua tabiat Kristus berkembang melalui pergumulan panjang gereja dalam memahami identitas Yesus Kristus sebagai Allah sejati dan manusia sejati. Perdebatan tersebut mencapai titik penting melalui pandangan Arius, Nestorius, dan Eutyches yang memunculkan konflik besar dalam sejarah gereja. Ketiga tokoh tersebut memberikan pengaruh signifikan terhadap pembentukan doktrin dua tabiat Kristus dalam satu pribadi yang kemudian dirumuskan secara resmi dalam Konsili Kalsedon tahun 451 M.</w:t>
      </w:r>
      <w:r>
        <w:t xml:space="preserve"> </w:t>
      </w:r>
      <w:r w:rsidRPr="00715BBF">
        <w:t xml:space="preserve">Arius, seorang presbiter dari Aleksandria, mengajarkan bahwa Kristus bukan Allah sejati melainkan ciptaan tertinggi Allah. Menurut Arius, Sang Anak tidak kekal bersama Bapa </w:t>
      </w:r>
      <w:r w:rsidRPr="00715BBF">
        <w:lastRenderedPageBreak/>
        <w:t xml:space="preserve">karena pernah ada ketika Sang Anak tidak ada. Pandangan ini bertujuan mempertahankan keesaan Allah secara mutlak, namun berdampak pada penolakan terhadap keilahian Kristus. Arianisme memandang Kristus berada di bawah Allah Bapa dan tidak memiliki hakikat ilahi yang sama. </w:t>
      </w:r>
      <w:r w:rsidRPr="00715BBF">
        <w:rPr>
          <w:lang w:val="de-DE"/>
        </w:rPr>
        <w:t>Pandangan tersebut menimbulkan krisis besar dalam gereja karena menyentuh inti keselamatan Kristen. Athanasius menentang keras ajaran Arius dengan menegaskan bahwa Kristus adalah Allah sejati yang sehakekat dengan Bapa. Athanasius berpendapat bahwa hanya Allah yang dapat menyelamatkan manusia, sehingga apabila Kristus bukan Allah sejati maka keselamatan menjadi tidak sempurna. Pemikiran Athanasius menjadi dasar Konsili Nikea tahun 325 M yang menetapkan istilah homoousios untuk menyatakan bahwa Kristus memiliki hakikat yang sama dengan Bapa.</w:t>
      </w:r>
      <w:r w:rsidR="004778D6">
        <w:rPr>
          <w:rStyle w:val="FootnoteReference"/>
          <w:lang w:val="de-DE"/>
        </w:rPr>
        <w:footnoteReference w:id="20"/>
      </w:r>
    </w:p>
    <w:p w14:paraId="492D9FBC" w14:textId="35F3CD84" w:rsidR="00536CBE" w:rsidRPr="00715BBF" w:rsidRDefault="00536CBE" w:rsidP="00536CBE">
      <w:pPr>
        <w:spacing w:line="360" w:lineRule="auto"/>
        <w:ind w:firstLine="720"/>
        <w:jc w:val="both"/>
      </w:pPr>
      <w:r w:rsidRPr="004778D6">
        <w:t xml:space="preserve">Menurut </w:t>
      </w:r>
      <w:r w:rsidR="004778D6" w:rsidRPr="004778D6">
        <w:t>No</w:t>
      </w:r>
      <w:r w:rsidR="004778D6">
        <w:t>rris</w:t>
      </w:r>
      <w:r w:rsidRPr="004778D6">
        <w:t xml:space="preserve">, kontroversi Arianisme menjadi titik awal gereja dalam merumuskan bahasa teologis yang lebih sistematis mengenai natur Kristus dan relasi-Nya dengan Allah Bapa. </w:t>
      </w:r>
      <w:r w:rsidRPr="004778D6">
        <w:rPr>
          <w:lang w:val="de-DE"/>
        </w:rPr>
        <w:t xml:space="preserve">Perdebatan ini memperlihatkan bahwa persoalan Kristologi bukan hanya menyangkut identitas Kristus, tetapi juga berkaitan langsung dengan doktrin keselamatan. </w:t>
      </w:r>
      <w:r w:rsidRPr="00715BBF">
        <w:t>Kontroversi berikutnya muncul melalui pandangan Nestorius, Patriark Konstantinopel, yang menolak penggunaan gelar Theotokos bagi Maria. Nestorius berpendapat bahwa Maria hanya melahirkan manusia Yesus dan bukan Allah. Pandangan tersebut lahir dari upaya menjaga perbedaan antara natur ilahi dan manusia Kristus agar tidak tercampur. Akan tetapi, gereja memandang pemikiran Nestorius berpotensi memisahkan Kristus menjadi dua pribadi yang berbeda. Kirilus dari Aleksandria menolak pandangan tersebut dan menegaskan bahwa Kristus adalah satu pribadi yang utuh, yaitu Firman Allah yang menjadi manusia. Kirilus menjelaskan bahwa dua natur Kristus bersatu secara hipostatik dalam satu pribadi tanpa kehilangan sifat masing-masing.</w:t>
      </w:r>
      <w:r w:rsidR="004778D6">
        <w:rPr>
          <w:rStyle w:val="FootnoteReference"/>
        </w:rPr>
        <w:footnoteReference w:id="21"/>
      </w:r>
    </w:p>
    <w:p w14:paraId="546571A3" w14:textId="703A45D8" w:rsidR="00536CBE" w:rsidRPr="0001095D" w:rsidRDefault="00536CBE" w:rsidP="0001095D">
      <w:pPr>
        <w:spacing w:line="360" w:lineRule="auto"/>
        <w:ind w:firstLine="720"/>
        <w:jc w:val="both"/>
      </w:pPr>
      <w:r w:rsidRPr="00715BBF">
        <w:t>Kontroversi Nestorianisme menghasilkan Konsili Efesus tahun 431 M yang menolak pandangan Nestorius dan mempertahankan kesatuan pribadi Kristus. Menurut McGrath, konflik antara Nestorius dan Kirilus menunjukkan kesulitan gereja menjelaskan hubungan antara dua natur Kristus tanpa jatuh pada pemisahan maupun pencampuran natur.</w:t>
      </w:r>
      <w:r w:rsidR="004778D6">
        <w:rPr>
          <w:rStyle w:val="FootnoteReference"/>
        </w:rPr>
        <w:footnoteReference w:id="22"/>
      </w:r>
      <w:r w:rsidRPr="00715BBF">
        <w:t xml:space="preserve"> </w:t>
      </w:r>
      <w:r w:rsidRPr="004778D6">
        <w:rPr>
          <w:lang w:val="de-DE"/>
        </w:rPr>
        <w:t xml:space="preserve">Perdebatan Kristologi berlanjut melalui ajaran Eutyches yang terlalu menekankan kesatuan Kristus. </w:t>
      </w:r>
      <w:r w:rsidRPr="00715BBF">
        <w:t xml:space="preserve">Eutyches mengajarkan bahwa setelah inkarnasi hanya terdapat satu natur dalam diri Kristus karena natur manusia-Nya telah larut ke dalam natur ilahi. Pandangan ini dikenal sebagai Monofisitisme. Gereja menilai ajaran tersebut menghilangkan kemanusiaan Kristus </w:t>
      </w:r>
      <w:r w:rsidRPr="00715BBF">
        <w:lastRenderedPageBreak/>
        <w:t>yang sejati. Jika Kristus tidak sungguh-sungguh manusia, maka penderitaan dan karya penebusan-Nya kehilangan makna representatif bagi manusia. Leo Agung melalui Tome of Leo menegaskan bahwa Kristus memiliki dua natur yang tetap utuh dalam satu pribadi.</w:t>
      </w:r>
      <w:r w:rsidR="004778D6">
        <w:rPr>
          <w:rStyle w:val="FootnoteReference"/>
        </w:rPr>
        <w:footnoteReference w:id="23"/>
      </w:r>
      <w:r w:rsidR="0001095D">
        <w:t xml:space="preserve"> </w:t>
      </w:r>
      <w:r w:rsidRPr="00715BBF">
        <w:rPr>
          <w:lang w:val="de-DE"/>
        </w:rPr>
        <w:t>Kontroversi yang dipicu oleh Arius, Nestorius, dan Eutyches memberikan dampak besar terhadap perkembangan doktrin gereja. Perdebatan tersebut mendorong gereja merumuskan doktrin dua tabiat dalam satu pribadi secara lebih sistematis melalui Konsili Kalsedon tahun 451 M.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FootnoteReference"/>
          <w:lang w:val="de-DE"/>
        </w:rPr>
        <w:footnoteReference w:id="24"/>
      </w:r>
    </w:p>
    <w:p w14:paraId="162DA4BE" w14:textId="77777777" w:rsidR="00AC0A8B" w:rsidRPr="00715BBF" w:rsidRDefault="00AC0A8B" w:rsidP="00536CBE">
      <w:pPr>
        <w:spacing w:line="360" w:lineRule="auto"/>
        <w:ind w:firstLine="360"/>
        <w:jc w:val="both"/>
        <w:rPr>
          <w:lang w:val="de-DE"/>
        </w:rPr>
      </w:pPr>
    </w:p>
    <w:p w14:paraId="52C54F42" w14:textId="77777777" w:rsidR="00536CBE" w:rsidRPr="00536CBE" w:rsidRDefault="00536CBE" w:rsidP="00AC0A8B">
      <w:pPr>
        <w:jc w:val="both"/>
        <w:rPr>
          <w:b/>
          <w:bCs/>
          <w:lang w:val="de-DE"/>
        </w:rPr>
      </w:pPr>
      <w:r w:rsidRPr="00C86660">
        <w:rPr>
          <w:b/>
          <w:bCs/>
          <w:lang w:val="de-DE"/>
        </w:rPr>
        <w:t>Konsili Kalsedon dan Formulasi Doktrin Dua Tabiat Dalam Satu Pribadi</w:t>
      </w:r>
    </w:p>
    <w:p w14:paraId="767E7708" w14:textId="5B225D3D" w:rsidR="00536CBE" w:rsidRPr="00715BBF" w:rsidRDefault="00536CBE" w:rsidP="00AC0A8B">
      <w:pPr>
        <w:spacing w:line="360" w:lineRule="auto"/>
        <w:ind w:firstLine="720"/>
        <w:jc w:val="both"/>
        <w:rPr>
          <w:lang w:val="de-DE"/>
        </w:rPr>
      </w:pPr>
      <w:r w:rsidRPr="00715BBF">
        <w:rPr>
          <w:lang w:val="de-DE"/>
        </w:rPr>
        <w:t>Konsili Kalsedon tahun 451 M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M.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FootnoteReference"/>
          <w:lang w:val="de-DE"/>
        </w:rPr>
        <w:footnoteReference w:id="25"/>
      </w:r>
    </w:p>
    <w:p w14:paraId="6CA968DC" w14:textId="3775B462" w:rsidR="00536CBE" w:rsidRPr="00715BBF" w:rsidRDefault="00536CBE" w:rsidP="00AC0A8B">
      <w:pPr>
        <w:spacing w:line="360" w:lineRule="auto"/>
        <w:ind w:firstLine="720"/>
        <w:jc w:val="both"/>
      </w:pPr>
      <w:r w:rsidRPr="00715BBF">
        <w:rPr>
          <w:lang w:val="de-DE"/>
        </w:rPr>
        <w:t>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FootnoteReference"/>
          <w:lang w:val="de-DE"/>
        </w:rPr>
        <w:footnoteReference w:id="26"/>
      </w:r>
      <w:r w:rsidRPr="00715BBF">
        <w:rPr>
          <w:lang w:val="de-DE"/>
        </w:rPr>
        <w:t xml:space="preserve"> Konflik semakin besar ketika Sinode Efesus tahun 449 M yang kemudian dikenal sebagai Robber Council mendukung Eutyches dan menolak pandangan lawannya. Keputusan tersebut menimbulkan </w:t>
      </w:r>
      <w:r w:rsidRPr="00715BBF">
        <w:rPr>
          <w:lang w:val="de-DE"/>
        </w:rPr>
        <w:lastRenderedPageBreak/>
        <w:t>reaksi keras dari gereja Barat, khususnya dari Leo Agung yang menulis Tome of Leo untuk menjelaskan ajaran ortodoks mengenai Kristus.</w:t>
      </w:r>
      <w:r w:rsidR="007538FC">
        <w:rPr>
          <w:rStyle w:val="FootnoteReference"/>
          <w:lang w:val="de-DE"/>
        </w:rPr>
        <w:footnoteReference w:id="27"/>
      </w:r>
    </w:p>
    <w:p w14:paraId="48CC9875" w14:textId="3BAD1426" w:rsidR="00536CBE" w:rsidRPr="00715BBF" w:rsidRDefault="00536CBE" w:rsidP="00AC0A8B">
      <w:pPr>
        <w:spacing w:line="360" w:lineRule="auto"/>
        <w:ind w:firstLine="720"/>
        <w:jc w:val="both"/>
      </w:pPr>
      <w:r w:rsidRPr="00715BBF">
        <w:t>Dalam Tome of Leo, Agung menegaskan bahwa Kristus memiliki dua natur yang tetap utuh dan bekerja sesuai karakteristik masing-masing dalam satu pribadi. Menurut Leo, masing-masing natur melakukan apa yang menjadi sifatnya dalam persekutuan dengan natur yang lain. Pandangan ini menjadi salah satu dasar penting dalam pembentukan rumusan Konsili Kalsedon. Konsili yang dihadiri lebih dari lima ratus uskup tersebut akhirnya menetapkan definisi Kristologi yang menyatakan bahwa Kristus adalah satu pribadi dalam dua natur, tanpa percampuran, tanpa perubahan, tanpa pembagian, dan tanpa pemisahan.</w:t>
      </w:r>
      <w:r w:rsidR="0001095D">
        <w:t xml:space="preserve"> </w:t>
      </w:r>
      <w:r w:rsidRPr="00715BBF">
        <w:t>Rumusan tanpa percampuran (asynchytos) dan tanpa perubahan (atreptos) ditujukan untuk menolak Monofisitisme yang mencampurkan natur ilahi dan manusia Kristus menjadi satu natur baru. Gereja menegaskan bahwa natur manusia Kristus tetap manusia sejati dan natur ilahi-Nya tetap Allah sejati. Kedua natur tersebut tidak saling melebur atau berubah satu sama lain. Pemahaman ini penting untuk mempertahankan pengakuan bahwa Kristus sungguh mengalami penderitaan, kelaparan, dan kematian sebagai manusia sejati, namun tetap memiliki kuasa ilahi sebagai Allah sejati.</w:t>
      </w:r>
      <w:r w:rsidR="00C249D8">
        <w:rPr>
          <w:rStyle w:val="FootnoteReference"/>
        </w:rPr>
        <w:footnoteReference w:id="28"/>
      </w:r>
    </w:p>
    <w:p w14:paraId="6C019DB6" w14:textId="4D8BF6DE" w:rsidR="00536CBE" w:rsidRPr="00715BBF" w:rsidRDefault="00536CBE" w:rsidP="00AC0A8B">
      <w:pPr>
        <w:spacing w:line="360" w:lineRule="auto"/>
        <w:ind w:firstLine="720"/>
        <w:jc w:val="both"/>
      </w:pPr>
      <w:r w:rsidRPr="00715BBF">
        <w:t xml:space="preserve">Sementara itu, rumusan tanpa pembagian (adiairetos) dan tanpa pemisahan (achoristos) diarahkan untuk menolak pandangan Nestorianisme yang dianggap memisahkan Kristus menjadi dua pribadi. </w:t>
      </w:r>
      <w:r w:rsidRPr="00715BBF">
        <w:rPr>
          <w:lang w:val="de-DE"/>
        </w:rPr>
        <w:t xml:space="preserve">Konsili menegaskan bahwa dua natur Kristus bersatu dalam satu hypostasis atau pribadi. Dengan demikian, Kristus bukan dua pribadi yang bekerja secara terpisah, melainkan satu pribadi ilahi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r w:rsidRPr="00715BBF">
        <w:t>Rumusan Kalsedon tidak berusaha menjelaskan secara filosofis bagaimana persatuan itu terjadi, tetapi menetapkan batas-batas teologis agar gereja tidak jatuh pada penyimpangan Kristologis.</w:t>
      </w:r>
      <w:r w:rsidR="00C249D8">
        <w:rPr>
          <w:rStyle w:val="FootnoteReference"/>
        </w:rPr>
        <w:footnoteReference w:id="29"/>
      </w:r>
    </w:p>
    <w:p w14:paraId="6570EDCB" w14:textId="6E05F9A1" w:rsidR="00AC0A8B" w:rsidRDefault="00536CBE" w:rsidP="00AC0A8B">
      <w:pPr>
        <w:spacing w:line="360" w:lineRule="auto"/>
        <w:ind w:firstLine="720"/>
        <w:jc w:val="both"/>
      </w:pPr>
      <w:r w:rsidRPr="0001095D">
        <w:rPr>
          <w:lang w:val="de-DE"/>
        </w:rPr>
        <w:lastRenderedPageBreak/>
        <w:t xml:space="preserve">Pengaruh Konsili Kalsedon sangat besar terhadap perkembangan ortodoksi gereja. </w:t>
      </w:r>
      <w:r w:rsidRPr="00715BBF">
        <w:t>Rumusan dua tabiat dalam satu pribadi menjadi dasar resmi Kristologi bagi gereja Katolik, Ortodoks Timur, dan sebagian besar tradisi Protestan. Konsili ini juga memberikan fondasi bagi doktrin keselamatan Kristen karena menegaskan bahwa Kristus adalah Allah sejati yang mampu menyelamatkan manusia dan manusia sejati yang mewakili umat manusia dalam karya penebusan. Kalsedon menjadi standar ortodoksi yang menjaga gereja dari reduksi terhadap identitas Kristus, baik melalui penolakan terhadap keilahian maupun kemanusiaan-Nya. Konsili Kalsedon tidak hanya memiliki nilai historis, tetapi juga memberikan pengaruh besar bagi teologi Kristen hingga masa kini. Rumusan dua tabiat dalam satu pribadi tetap menjadi fondasi penting dalam pengajaran gereja mengenai identitas Kristus, karya keselamatan, dan hubungan Allah dengan manusia.</w:t>
      </w:r>
      <w:r w:rsidR="00C249D8">
        <w:rPr>
          <w:rStyle w:val="FootnoteReference"/>
        </w:rPr>
        <w:footnoteReference w:id="30"/>
      </w:r>
    </w:p>
    <w:p w14:paraId="14A90B19" w14:textId="77777777" w:rsidR="00AC0A8B" w:rsidRPr="009D24CD" w:rsidRDefault="00AC0A8B" w:rsidP="00C249D8">
      <w:pPr>
        <w:spacing w:line="360" w:lineRule="auto"/>
        <w:jc w:val="both"/>
        <w:rPr>
          <w:lang w:val="de-DE"/>
        </w:rPr>
      </w:pPr>
    </w:p>
    <w:p w14:paraId="146219E2" w14:textId="77777777" w:rsidR="00AC0A8B" w:rsidRPr="005F0846" w:rsidRDefault="00AC0A8B" w:rsidP="00AC0A8B">
      <w:pPr>
        <w:spacing w:line="360" w:lineRule="auto"/>
        <w:jc w:val="both"/>
        <w:rPr>
          <w:b/>
          <w:bCs/>
        </w:rPr>
      </w:pPr>
      <w:r w:rsidRPr="005F0846">
        <w:rPr>
          <w:b/>
          <w:bCs/>
        </w:rPr>
        <w:t>Implikasi Soteriologis Doktrin Dua Tabiat Kristus Bagi Gereja di Indonesia</w:t>
      </w:r>
    </w:p>
    <w:p w14:paraId="1287AF59" w14:textId="77777777" w:rsidR="00AC0A8B" w:rsidRPr="005F0846" w:rsidRDefault="00AC0A8B" w:rsidP="0001095D">
      <w:pPr>
        <w:spacing w:line="360" w:lineRule="auto"/>
        <w:ind w:firstLine="720"/>
        <w:jc w:val="both"/>
        <w:rPr>
          <w:lang w:val="de-DE"/>
        </w:rPr>
      </w:pPr>
      <w:r w:rsidRPr="005F0846">
        <w:t xml:space="preserve">Doktrin dua tabiat dalam satu pribadi memiliki implikasi soteriologis yang sangat penting bagi kehidupan gereja di Indonesia karena berkaitan langsung dengan pemahaman mengenai keselamatan dalam iman Kristen. Gereja meyakini bahwa Yesus Kristus adalah Allah sejati dan manusia sejati yang bersatu dalam satu pribadi tanpa percampuran, tanpa perubahan, tanpa pembagian, dan tanpa pemisahan. Pengakuan tersebut bukan hanya rumusan dogmatis gereja mula-mula, melainkan dasar utama bagi pemahaman karya penebusan Kristus.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7A5E9E4E" w14:textId="75AC2EB4" w:rsidR="00AC0A8B" w:rsidRPr="005F0846" w:rsidRDefault="00AC0A8B" w:rsidP="00AC0A8B">
      <w:pPr>
        <w:spacing w:line="360" w:lineRule="auto"/>
        <w:ind w:firstLine="720"/>
        <w:jc w:val="both"/>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FootnoteReference"/>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w:t>
      </w:r>
      <w:r w:rsidRPr="00926B7A">
        <w:rPr>
          <w:lang w:val="de-DE"/>
        </w:rPr>
        <w:lastRenderedPageBreak/>
        <w:t xml:space="preserve">turut mengalami pergumulan manusia. </w:t>
      </w:r>
      <w:r w:rsidRPr="005F0846">
        <w:t>Gereja yang hidup di tengah kemiskinan, ketidakadilan sosial, konflik budaya, dan tekanan hidup modern membutuhkan pemahaman Kristologi yang menghadirkan solidaritas Allah terhadap penderitaan umat manusia.</w:t>
      </w:r>
    </w:p>
    <w:p w14:paraId="1AEC004A" w14:textId="2DC4FC42" w:rsidR="00AC0A8B" w:rsidRPr="00926B7A" w:rsidRDefault="00AC0A8B" w:rsidP="00AC0A8B">
      <w:pPr>
        <w:spacing w:line="360" w:lineRule="auto"/>
        <w:ind w:firstLine="720"/>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FootnoteReference"/>
          <w:lang w:val="de-DE"/>
        </w:rPr>
        <w:footnoteReference w:id="32"/>
      </w:r>
      <w:r w:rsidRPr="005F0846">
        <w:rPr>
          <w:lang w:val="de-DE"/>
        </w:rPr>
        <w:t xml:space="preserve"> Oleh sebab itu, diperlukan Pribadi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AD3C45D" w14:textId="40345F0A" w:rsidR="00AC0A8B" w:rsidRPr="005F0846" w:rsidRDefault="00AC0A8B" w:rsidP="00AC0A8B">
      <w:pPr>
        <w:spacing w:line="360" w:lineRule="auto"/>
        <w:ind w:firstLine="720"/>
        <w:jc w:val="both"/>
      </w:pPr>
      <w:r w:rsidRPr="005F0846">
        <w:rPr>
          <w:lang w:val="de-DE"/>
        </w:rPr>
        <w:t>Implikasi soteriologis doktrin dua tabiat Kristus 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FootnoteReference"/>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r w:rsidRPr="005F0846">
        <w:t>Kristus dipahami bukan hanya sebagai penyelamat individu, tetapi juga sumber rekonsiliasi dan damai sejahtera dalam kehidupan sosial.</w:t>
      </w:r>
    </w:p>
    <w:p w14:paraId="59210770" w14:textId="4EFE3E03" w:rsidR="00AC0A8B" w:rsidRPr="00926B7A" w:rsidRDefault="00AC0A8B" w:rsidP="00AC0A8B">
      <w:pPr>
        <w:spacing w:line="360" w:lineRule="auto"/>
        <w:ind w:firstLine="720"/>
        <w:jc w:val="both"/>
        <w:rPr>
          <w:lang w:val="de-DE"/>
        </w:rPr>
      </w:pPr>
      <w:r w:rsidRPr="005F0846">
        <w:rPr>
          <w:lang w:val="de-DE"/>
        </w:rPr>
        <w:t xml:space="preserve">Dalam konteks pelayanan gereja modern, doktrin dua tabiat Kristus 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w:t>
      </w:r>
      <w:r w:rsidRPr="005F0846">
        <w:rPr>
          <w:lang w:val="de-DE"/>
        </w:rPr>
        <w:lastRenderedPageBreak/>
        <w:t>manusia melalui inkarnasi dan salib.</w:t>
      </w:r>
      <w:r w:rsidR="00926B7A">
        <w:rPr>
          <w:rStyle w:val="FootnoteReference"/>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7DFC7436" w:rsidR="00AC0A8B" w:rsidRPr="005F0846" w:rsidRDefault="00AC0A8B" w:rsidP="00AC0A8B">
      <w:pPr>
        <w:spacing w:line="360" w:lineRule="auto"/>
        <w:ind w:firstLine="720"/>
        <w:jc w:val="both"/>
      </w:pPr>
      <w:r w:rsidRPr="005F0846">
        <w:t>Implikasi lain terlihat dalam pembentukan identitas gereja di Indonesia. Doktrin dua tabiat Kristus memberikan dasar bahwa gereja dipanggil hidup dalam relasi dengan Allah sekaligus hadir secara nyata dalam pergumulan dunia. Kristus yang ilahi menunjukkan dimensi transenden iman Kristen, sedangkan Kristus yang manusia menunjukkan keterlibatan Allah dalam sejarah dan kehidupan manusia. Pemahaman ini mendorong gereja untuk tidak hanya berfokus pada ritual keagamaan, tetapi juga menghadirkan pelayanan sosial, pendidikan, pendampingan pastoral, dan kepedulian terhadap penderitaan masyarakat.</w:t>
      </w:r>
      <w:r>
        <w:t xml:space="preserve"> </w:t>
      </w:r>
      <w:r w:rsidRPr="005F0846">
        <w:t>Menurut Moltmann, penderitaan Kristus menunjukkan solidaritas Allah dengan dunia yang terluka dan memberikan dasar pengharapan bagi manusia yang mengalami penderitaan.</w:t>
      </w:r>
      <w:r w:rsidR="00926B7A">
        <w:rPr>
          <w:rStyle w:val="FootnoteReference"/>
        </w:rPr>
        <w:footnoteReference w:id="35"/>
      </w:r>
      <w:r w:rsidRPr="005F0846">
        <w:t xml:space="preserve"> Dalam konteks Indonesia yang menghadapi tantangan sosial, ekonomi, dan budaya, pemahaman ini memperlihatkan bahwa doktrin dua tabiat Kristus memiliki relevansi praktis bagi kehidupan gereja dan masyarakat.</w:t>
      </w:r>
      <w:r>
        <w:t xml:space="preserve"> </w:t>
      </w:r>
      <w:r w:rsidRPr="005F0846">
        <w:t>Implikasi soteriologis doktrin dua tabiat Kristus menunjukkan bahwa formulasi Kristologi Kalsedon bukan sekadar warisan historis gereja, melainkan fondasi penting bagi pemahaman keselamatan, pelayanan gereja, dan kehidupan iman jemaat di Indonesia masa kini.</w:t>
      </w:r>
    </w:p>
    <w:p w14:paraId="43DD244D" w14:textId="77777777" w:rsidR="00536CBE" w:rsidRPr="00536CBE" w:rsidRDefault="00536CBE" w:rsidP="00AC0A8B">
      <w:pPr>
        <w:jc w:val="both"/>
      </w:pPr>
    </w:p>
    <w:p w14:paraId="1B7C2636" w14:textId="77777777" w:rsidR="00C30472" w:rsidRDefault="00000000">
      <w:pPr>
        <w:tabs>
          <w:tab w:val="left" w:pos="284"/>
        </w:tabs>
        <w:jc w:val="both"/>
        <w:rPr>
          <w:b/>
        </w:rPr>
      </w:pPr>
      <w:r>
        <w:rPr>
          <w:b/>
        </w:rPr>
        <w:t>KESIMPULAN</w:t>
      </w:r>
    </w:p>
    <w:p w14:paraId="227DEEE5" w14:textId="71C0C474" w:rsidR="00C30472" w:rsidRDefault="00000000" w:rsidP="00AC0A8B">
      <w:pPr>
        <w:tabs>
          <w:tab w:val="left" w:pos="284"/>
        </w:tabs>
        <w:spacing w:line="360" w:lineRule="auto"/>
        <w:jc w:val="both"/>
        <w:rPr>
          <w:lang w:val="id-ID"/>
        </w:rPr>
      </w:pPr>
      <w:r>
        <w:tab/>
      </w:r>
      <w:r>
        <w:tab/>
      </w:r>
      <w:r w:rsidR="00AC0A8B" w:rsidRPr="00AC0A8B">
        <w:rPr>
          <w:lang w:val="id-ID"/>
        </w:rPr>
        <w:t xml:space="preserve">Doktrin dua tabiat dalam satu pribadi merupakan fondasi utama Kristologi Kristen yang lahir melalui pergumulan panjang gereja mula-mula dalam memahami identitas Yesus Kristus sebagai Allah sejati dan manusia sejati. Perdebatan Kristologis yang melibatkan pandangan Arius, Nestorius, dan Eutyches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Kristologi masih dipengaruhi oleh pluralisme agama, perkembangan media digital, teologi populer, dan lemahnya pendidikan doktrinal jemaat yang menyebabkan banyak orang percaya memahami Kristus secara parsial dan lebih </w:t>
      </w:r>
      <w:r w:rsidR="00AC0A8B" w:rsidRPr="00AC0A8B">
        <w:rPr>
          <w:lang w:val="id-ID"/>
        </w:rPr>
        <w:lastRenderedPageBreak/>
        <w:t>bersifat praktis daripada teologis. Kondisi tersebut memperlihatkan pentingnya penguatan pengajaran Kristologi yang historis, alkitabiah, dan kontekstual agar gereja mampu memahami identitas Kristus secara utuh. Implikasi soteriologis doktrin dua tabiat Kristus 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Default="00000000">
      <w:pPr>
        <w:rPr>
          <w:b/>
        </w:rPr>
      </w:pPr>
      <w:r>
        <w:rPr>
          <w:b/>
        </w:rPr>
        <w:t xml:space="preserve">DAFTAR PUSTAKA </w:t>
      </w:r>
    </w:p>
    <w:p w14:paraId="7D05829C" w14:textId="0C0CF0A6" w:rsidR="00926B7A" w:rsidRPr="00926B7A" w:rsidRDefault="001B5B71" w:rsidP="00926B7A">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926B7A" w:rsidRPr="00926B7A">
        <w:rPr>
          <w:noProof/>
        </w:rPr>
        <w:t xml:space="preserve">. 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25–36. https://doi.org/10.36421/VERITAS.V3I1.79.</w:t>
      </w:r>
    </w:p>
    <w:p w14:paraId="5770909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Gultom, Mangarimbun, and Candra Gunawan Marisi Simanjuntak. “Konsep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Harrison, James R.., and L. L.. Welborn. </w:t>
      </w:r>
      <w:r w:rsidRPr="00926B7A">
        <w:rPr>
          <w:i/>
          <w:iCs/>
          <w:noProof/>
        </w:rPr>
        <w:t xml:space="preserve">The First Urban Churches 3: Ephesus Volume 9 </w:t>
      </w:r>
      <w:r w:rsidRPr="00926B7A">
        <w:rPr>
          <w:i/>
          <w:iCs/>
          <w:noProof/>
        </w:rPr>
        <w:lastRenderedPageBreak/>
        <w:t>Dari Writings from the Greco-Roman World Supplement</w:t>
      </w:r>
      <w:r w:rsidRPr="00926B7A">
        <w:rPr>
          <w:noProof/>
        </w:rPr>
        <w:t>. Fordham: SBL Press, Society of Biblical Literature, 2018.</w:t>
      </w:r>
    </w:p>
    <w:p w14:paraId="6C10971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Hutagalung, Rotua Julianovia, and Romi Lie. “Peran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Larsen, Kasper Bro. </w:t>
      </w:r>
      <w:r w:rsidRPr="00926B7A">
        <w:rPr>
          <w:i/>
          <w:iCs/>
          <w:noProof/>
        </w:rPr>
        <w:t>The Gospel of John as Genre Mosaic</w:t>
      </w:r>
      <w:r w:rsidRPr="00926B7A">
        <w:rPr>
          <w:noProof/>
        </w:rPr>
        <w:t>.  Aarhus: Vandenhoeck &amp; Ruprecht, 2015.</w:t>
      </w:r>
    </w:p>
    <w:p w14:paraId="6D6E3C1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Mari, Tommaso. “Greek,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Phillips Takaliuang, Morris. “Ancaman Ajaran Sesat Di Lingkungan Kekristenan: Suatu 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040CF" w14:textId="77777777" w:rsidR="008C563E" w:rsidRDefault="008C563E">
      <w:r>
        <w:separator/>
      </w:r>
    </w:p>
  </w:endnote>
  <w:endnote w:type="continuationSeparator" w:id="0">
    <w:p w14:paraId="67303F3D" w14:textId="77777777" w:rsidR="008C563E" w:rsidRDefault="008C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3532D92-D41E-49E5-8868-B89797E717CA}"/>
    <w:embedBold r:id="rId2" w:fontKey="{20356AD5-1923-4E34-A145-5CA2271A83E3}"/>
  </w:font>
  <w:font w:name="Calibri">
    <w:panose1 w:val="020F0502020204030204"/>
    <w:charset w:val="00"/>
    <w:family w:val="swiss"/>
    <w:pitch w:val="variable"/>
    <w:sig w:usb0="E4002EFF" w:usb1="C200247B" w:usb2="00000009" w:usb3="00000000" w:csb0="000001FF" w:csb1="00000000"/>
    <w:embedRegular r:id="rId3" w:fontKey="{87FCA5F1-8090-47C9-AD4B-1E38910325D4}"/>
    <w:embedBold r:id="rId4" w:fontKey="{13773524-76BD-4038-94D3-7DB1771FC5B3}"/>
  </w:font>
  <w:font w:name="Calisto MT">
    <w:panose1 w:val="02040603050505030304"/>
    <w:charset w:val="00"/>
    <w:family w:val="roman"/>
    <w:pitch w:val="variable"/>
    <w:sig w:usb0="00000003" w:usb1="00000000" w:usb2="00000000" w:usb3="00000000" w:csb0="00000001" w:csb1="00000000"/>
    <w:embedRegular r:id="rId5" w:fontKey="{24D2C6B1-C692-4E3B-805D-EEB4EB3F726C}"/>
    <w:embedBold r:id="rId6" w:fontKey="{E9CA05CC-4739-4026-9A39-3CE66A72402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D65E240C-6716-4BE6-9667-FFC207B18EA9}"/>
    <w:embedItalic r:id="rId8" w:fontKey="{A4ED1027-6D15-44DE-BDE6-95DC6F1F14AA}"/>
  </w:font>
  <w:font w:name="Lustria">
    <w:charset w:val="00"/>
    <w:family w:val="auto"/>
    <w:pitch w:val="default"/>
    <w:embedRegular r:id="rId9" w:fontKey="{DA138259-BD00-4A9D-BF02-0E1A86A26C9F}"/>
    <w:embedBold r:id="rId10" w:fontKey="{38648F43-6D52-48F6-A913-DD85D05CFDEB}"/>
    <w:embedItalic r:id="rId11" w:fontKey="{217F2AD5-E9AD-4FE5-B2ED-58A83911C271}"/>
  </w:font>
  <w:font w:name="Garamond">
    <w:panose1 w:val="02020404030301010803"/>
    <w:charset w:val="00"/>
    <w:family w:val="roman"/>
    <w:pitch w:val="variable"/>
    <w:sig w:usb0="00000287" w:usb1="00000000" w:usb2="00000000" w:usb3="00000000" w:csb0="0000009F" w:csb1="00000000"/>
    <w:embedRegular r:id="rId12" w:fontKey="{87B5766C-0D06-483F-9DC7-CBC2A544CD85}"/>
  </w:font>
  <w:font w:name="Cambria">
    <w:panose1 w:val="02040503050406030204"/>
    <w:charset w:val="00"/>
    <w:family w:val="roman"/>
    <w:pitch w:val="variable"/>
    <w:sig w:usb0="E00006FF" w:usb1="420024FF" w:usb2="02000000" w:usb3="00000000" w:csb0="0000019F" w:csb1="00000000"/>
    <w:embedRegular r:id="rId13" w:fontKey="{502D62EB-80C3-419A-A29E-C17AB6B65409}"/>
    <w:embedBoldItalic r:id="rId14" w:fontKey="{1455690F-6985-4E66-A3DF-235F9F9231C6}"/>
  </w:font>
  <w:font w:name="Corben">
    <w:charset w:val="00"/>
    <w:family w:val="auto"/>
    <w:pitch w:val="default"/>
    <w:embedRegular r:id="rId15" w:fontKey="{F147361E-70AA-4048-9804-3AA7EA30D943}"/>
  </w:font>
  <w:font w:name="Verdana">
    <w:panose1 w:val="020B0604030504040204"/>
    <w:charset w:val="00"/>
    <w:family w:val="swiss"/>
    <w:pitch w:val="variable"/>
    <w:sig w:usb0="A00006FF" w:usb1="4000205B" w:usb2="00000010" w:usb3="00000000" w:csb0="0000019F" w:csb1="00000000"/>
    <w:embedRegular r:id="rId16" w:fontKey="{6D0BBBE2-396C-46F9-9C83-F48172CDCDF8}"/>
    <w:embedBold r:id="rId17" w:fontKey="{8E164D68-92DD-460B-BFF2-0299D8F8AE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CBC3B" w14:textId="77777777" w:rsidR="008C563E" w:rsidRDefault="008C563E">
      <w:r>
        <w:separator/>
      </w:r>
    </w:p>
  </w:footnote>
  <w:footnote w:type="continuationSeparator" w:id="0">
    <w:p w14:paraId="4A92764A" w14:textId="77777777" w:rsidR="008C563E" w:rsidRDefault="008C563E">
      <w:r>
        <w:continuationSeparator/>
      </w:r>
    </w:p>
  </w:footnote>
  <w:footnote w:id="1">
    <w:p w14:paraId="4062DF4D" w14:textId="4AF8FA41" w:rsidR="002D3E1A" w:rsidRPr="002D3E1A" w:rsidRDefault="002D3E1A"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2D3E1A" w:rsidRPr="002D3E1A" w:rsidRDefault="002D3E1A"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2D3E1A" w:rsidRPr="002D3E1A" w:rsidRDefault="002D3E1A" w:rsidP="00926B7A">
      <w:pPr>
        <w:pStyle w:val="FootnoteText"/>
        <w:ind w:firstLine="720"/>
        <w:jc w:val="both"/>
        <w:rPr>
          <w:lang w:val="id-ID"/>
        </w:rPr>
      </w:pPr>
      <w:r>
        <w:rPr>
          <w:rStyle w:val="FootnoteReference"/>
        </w:rPr>
        <w:footnoteRef/>
      </w:r>
      <w:r w:rsidRPr="002D3E1A">
        <w:rPr>
          <w:lang w:val="id-ID"/>
        </w:rPr>
        <w:t xml:space="preserve"> </w:t>
      </w:r>
      <w:r>
        <w:fldChar w:fldCharType="begin" w:fldLock="1"/>
      </w:r>
      <w:r w:rsidR="00C008F0">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D805A3" w:rsidRPr="00D805A3" w:rsidRDefault="00D805A3" w:rsidP="00926B7A">
      <w:pPr>
        <w:pStyle w:val="FootnoteText"/>
        <w:ind w:firstLine="720"/>
        <w:jc w:val="both"/>
        <w:rPr>
          <w:lang w:val="id-ID"/>
        </w:rPr>
      </w:pPr>
      <w:r>
        <w:rPr>
          <w:rStyle w:val="FootnoteReference"/>
        </w:rPr>
        <w:footnoteRef/>
      </w:r>
      <w:r>
        <w:t xml:space="preserve"> </w:t>
      </w:r>
      <w:r>
        <w:fldChar w:fldCharType="begin" w:fldLock="1"/>
      </w:r>
      <w:r w:rsidR="00250EAA">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C008F0" w:rsidRPr="00C008F0" w:rsidRDefault="00C008F0"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sidR="00D805A3">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C008F0" w:rsidRPr="00C008F0" w:rsidRDefault="00C008F0" w:rsidP="00926B7A">
      <w:pPr>
        <w:pStyle w:val="FootnoteText"/>
        <w:ind w:firstLine="720"/>
        <w:jc w:val="both"/>
        <w:rPr>
          <w:lang w:val="id-ID"/>
        </w:rPr>
      </w:pPr>
      <w:r>
        <w:rPr>
          <w:rStyle w:val="FootnoteReference"/>
        </w:rPr>
        <w:footnoteRef/>
      </w:r>
      <w:r>
        <w:t xml:space="preserve"> </w:t>
      </w:r>
      <w:r>
        <w:fldChar w:fldCharType="begin" w:fldLock="1"/>
      </w:r>
      <w:r w:rsidR="00D805A3">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C008F0" w:rsidRPr="00C008F0" w:rsidRDefault="00C008F0"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sidR="00D805A3">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6C258C" w:rsidRPr="006C258C" w:rsidRDefault="006C258C" w:rsidP="00926B7A">
      <w:pPr>
        <w:pStyle w:val="FootnoteText"/>
        <w:ind w:firstLine="720"/>
        <w:jc w:val="both"/>
        <w:rPr>
          <w:lang w:val="id-ID"/>
        </w:rPr>
      </w:pPr>
      <w:r>
        <w:rPr>
          <w:rStyle w:val="FootnoteReference"/>
        </w:rPr>
        <w:footnoteRef/>
      </w:r>
      <w:r>
        <w:t xml:space="preserve"> </w:t>
      </w:r>
      <w:r>
        <w:fldChar w:fldCharType="begin" w:fldLock="1"/>
      </w:r>
      <w:r w:rsidR="00D805A3">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776346" w:rsidRPr="00E144BD" w:rsidRDefault="00776346"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776346" w:rsidRPr="00776346" w:rsidRDefault="00776346"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776346" w:rsidRPr="00776346" w:rsidRDefault="00776346" w:rsidP="00926B7A">
      <w:pPr>
        <w:pStyle w:val="FootnoteText"/>
        <w:ind w:firstLine="720"/>
        <w:jc w:val="both"/>
        <w:rPr>
          <w:lang w:val="id-ID"/>
        </w:rPr>
      </w:pPr>
      <w:r>
        <w:rPr>
          <w:rStyle w:val="FootnoteReference"/>
        </w:rPr>
        <w:footnoteRef/>
      </w:r>
      <w:r>
        <w:t xml:space="preserve"> </w:t>
      </w:r>
      <w:r>
        <w:fldChar w:fldCharType="begin" w:fldLock="1"/>
      </w:r>
      <w:r w:rsidR="002A2BAC">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250EAA" w:rsidRPr="00250EAA" w:rsidRDefault="00250EAA" w:rsidP="00926B7A">
      <w:pPr>
        <w:pStyle w:val="FootnoteText"/>
        <w:ind w:firstLine="720"/>
        <w:jc w:val="both"/>
        <w:rPr>
          <w:lang w:val="id-ID"/>
        </w:rPr>
      </w:pPr>
      <w:r>
        <w:rPr>
          <w:rStyle w:val="FootnoteReference"/>
        </w:rPr>
        <w:footnoteRef/>
      </w:r>
      <w:r>
        <w:t xml:space="preserve"> </w:t>
      </w:r>
      <w:r>
        <w:fldChar w:fldCharType="begin" w:fldLock="1"/>
      </w:r>
      <w:r w:rsidR="00776346">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sidR="00F000A3">
        <w:rPr>
          <w:noProof/>
        </w:rPr>
        <w:t>, 17</w:t>
      </w:r>
      <w:r w:rsidRPr="00250EAA">
        <w:rPr>
          <w:noProof/>
        </w:rPr>
        <w:t>.</w:t>
      </w:r>
      <w:r>
        <w:fldChar w:fldCharType="end"/>
      </w:r>
    </w:p>
  </w:footnote>
  <w:footnote w:id="13">
    <w:p w14:paraId="4B1AD82C" w14:textId="74D6BB22" w:rsidR="00F000A3" w:rsidRPr="00F000A3" w:rsidRDefault="00F000A3" w:rsidP="00926B7A">
      <w:pPr>
        <w:pStyle w:val="FootnoteText"/>
        <w:ind w:firstLine="720"/>
        <w:jc w:val="both"/>
        <w:rPr>
          <w:lang w:val="id-ID"/>
        </w:rPr>
      </w:pPr>
      <w:r>
        <w:rPr>
          <w:rStyle w:val="FootnoteReference"/>
        </w:rPr>
        <w:footnoteRef/>
      </w:r>
      <w:r>
        <w:t xml:space="preserve"> </w:t>
      </w:r>
      <w:r>
        <w:fldChar w:fldCharType="begin" w:fldLock="1"/>
      </w:r>
      <w:r w:rsidR="00776346">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E144BD" w:rsidRPr="00E144BD" w:rsidRDefault="00E144BD" w:rsidP="00926B7A">
      <w:pPr>
        <w:pStyle w:val="FootnoteText"/>
        <w:ind w:firstLine="720"/>
        <w:jc w:val="both"/>
        <w:rPr>
          <w:lang w:val="id-ID"/>
        </w:rPr>
      </w:pPr>
      <w:r>
        <w:rPr>
          <w:rStyle w:val="FootnoteReference"/>
        </w:rPr>
        <w:footnoteRef/>
      </w:r>
      <w:r>
        <w:t xml:space="preserve"> </w:t>
      </w:r>
      <w:r>
        <w:fldChar w:fldCharType="begin" w:fldLock="1"/>
      </w:r>
      <w:r w:rsidR="00776346">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2A2BAC" w:rsidRPr="002A2BAC" w:rsidRDefault="002A2BAC" w:rsidP="00926B7A">
      <w:pPr>
        <w:pStyle w:val="FootnoteText"/>
        <w:ind w:firstLine="720"/>
        <w:jc w:val="both"/>
        <w:rPr>
          <w:lang w:val="id-ID"/>
        </w:rPr>
      </w:pPr>
      <w:r>
        <w:rPr>
          <w:rStyle w:val="FootnoteReference"/>
        </w:rPr>
        <w:footnoteRef/>
      </w:r>
      <w:r>
        <w:t xml:space="preserve"> </w:t>
      </w:r>
      <w:r>
        <w:fldChar w:fldCharType="begin" w:fldLock="1"/>
      </w:r>
      <w:r w:rsidR="005C17D4">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2A2BAC" w:rsidRPr="002A2BAC" w:rsidRDefault="002A2BAC" w:rsidP="00926B7A">
      <w:pPr>
        <w:pStyle w:val="FootnoteText"/>
        <w:ind w:firstLine="720"/>
        <w:jc w:val="both"/>
        <w:rPr>
          <w:lang w:val="id-ID"/>
        </w:rPr>
      </w:pPr>
      <w:r>
        <w:rPr>
          <w:rStyle w:val="FootnoteReference"/>
        </w:rPr>
        <w:footnoteRef/>
      </w:r>
      <w:r>
        <w:t xml:space="preserve"> </w:t>
      </w:r>
      <w:r>
        <w:fldChar w:fldCharType="begin" w:fldLock="1"/>
      </w:r>
      <w:r w:rsidR="005C17D4">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C17D4" w:rsidRPr="005C17D4" w:rsidRDefault="005C17D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C17D4" w:rsidRPr="005C17D4" w:rsidRDefault="005C17D4" w:rsidP="00926B7A">
      <w:pPr>
        <w:pStyle w:val="FootnoteText"/>
        <w:ind w:firstLine="720"/>
        <w:jc w:val="both"/>
        <w:rPr>
          <w:lang w:val="id-ID"/>
        </w:rPr>
      </w:pPr>
      <w:r>
        <w:rPr>
          <w:rStyle w:val="FootnoteReference"/>
        </w:rPr>
        <w:footnoteRef/>
      </w:r>
      <w:r w:rsidRPr="005C17D4">
        <w:rPr>
          <w:lang w:val="id-ID"/>
        </w:rPr>
        <w:t xml:space="preserve"> </w:t>
      </w:r>
      <w:r>
        <w:fldChar w:fldCharType="begin" w:fldLock="1"/>
      </w:r>
      <w:r w:rsidR="004778D6">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C17D4" w:rsidRPr="005C17D4" w:rsidRDefault="005C17D4" w:rsidP="00926B7A">
      <w:pPr>
        <w:pStyle w:val="FootnoteText"/>
        <w:ind w:firstLine="720"/>
        <w:jc w:val="both"/>
        <w:rPr>
          <w:lang w:val="id-ID"/>
        </w:rPr>
      </w:pPr>
      <w:r>
        <w:rPr>
          <w:rStyle w:val="FootnoteReference"/>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5C17D4">
        <w:rPr>
          <w:noProof/>
        </w:rPr>
        <w:t xml:space="preserve">Samuel Cohen, “Eutychianorum Furor! Heresiological Comparison and the Invention of Eutychians in Leo I’s Christological Polemic,” </w:t>
      </w:r>
      <w:r w:rsidRPr="005C17D4">
        <w:rPr>
          <w:i/>
          <w:noProof/>
        </w:rPr>
        <w:t>Entangled Religions</w:t>
      </w:r>
      <w:r w:rsidRPr="005C17D4">
        <w:rPr>
          <w:noProof/>
        </w:rPr>
        <w:t xml:space="preserve"> 11, no. 4 (December 21, 2023), https://doi.org/10.46586/ER.11.2020.9434.</w:t>
      </w:r>
      <w:r>
        <w:fldChar w:fldCharType="end"/>
      </w:r>
    </w:p>
  </w:footnote>
  <w:footnote w:id="20">
    <w:p w14:paraId="023B0ACC" w14:textId="24919EF1" w:rsidR="004778D6" w:rsidRPr="004778D6" w:rsidRDefault="004778D6"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778D6">
        <w:rPr>
          <w:noProof/>
        </w:rPr>
        <w:t xml:space="preserve">Dunn, </w:t>
      </w:r>
      <w:r w:rsidRPr="004778D6">
        <w:rPr>
          <w:i/>
          <w:noProof/>
        </w:rPr>
        <w:t>Arianism</w:t>
      </w:r>
      <w:r w:rsidRPr="004778D6">
        <w:rPr>
          <w:noProof/>
        </w:rPr>
        <w:t>.</w:t>
      </w:r>
      <w:r>
        <w:fldChar w:fldCharType="end"/>
      </w:r>
    </w:p>
  </w:footnote>
  <w:footnote w:id="21">
    <w:p w14:paraId="652023A2" w14:textId="53F44440" w:rsidR="004778D6" w:rsidRPr="004778D6" w:rsidRDefault="004778D6"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778D6">
        <w:rPr>
          <w:noProof/>
        </w:rPr>
        <w:t xml:space="preserve">Norris, </w:t>
      </w:r>
      <w:r w:rsidRPr="004778D6">
        <w:rPr>
          <w:i/>
          <w:noProof/>
        </w:rPr>
        <w:tab/>
        <w:t>The Christological Controversy Sources of Early Christian Thought</w:t>
      </w:r>
      <w:r w:rsidRPr="004778D6">
        <w:rPr>
          <w:noProof/>
        </w:rPr>
        <w:t>.</w:t>
      </w:r>
      <w:r>
        <w:fldChar w:fldCharType="end"/>
      </w:r>
    </w:p>
  </w:footnote>
  <w:footnote w:id="22">
    <w:p w14:paraId="3D3CF4B4" w14:textId="2E1D8972" w:rsidR="004778D6" w:rsidRPr="004778D6" w:rsidRDefault="004778D6"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778D6">
        <w:rPr>
          <w:noProof/>
        </w:rPr>
        <w:t xml:space="preserve">Alister E McGrath, </w:t>
      </w:r>
      <w:r w:rsidRPr="004778D6">
        <w:rPr>
          <w:i/>
          <w:noProof/>
        </w:rPr>
        <w:t>Christian Spirituality</w:t>
      </w:r>
      <w:r w:rsidRPr="004778D6">
        <w:rPr>
          <w:noProof/>
        </w:rPr>
        <w:t>, 1st ed. (UK: Blackweell Publishing, 2003).</w:t>
      </w:r>
      <w:r>
        <w:fldChar w:fldCharType="end"/>
      </w:r>
    </w:p>
  </w:footnote>
  <w:footnote w:id="23">
    <w:p w14:paraId="3D441894" w14:textId="40CB4720" w:rsidR="004778D6" w:rsidRPr="004778D6" w:rsidRDefault="004778D6" w:rsidP="00926B7A">
      <w:pPr>
        <w:pStyle w:val="FootnoteText"/>
        <w:ind w:firstLine="720"/>
        <w:jc w:val="both"/>
        <w:rPr>
          <w:lang w:val="id-ID"/>
        </w:rPr>
      </w:pPr>
      <w:r>
        <w:rPr>
          <w:rStyle w:val="FootnoteReference"/>
        </w:rPr>
        <w:footnoteRef/>
      </w:r>
      <w:r>
        <w:t xml:space="preserve"> </w:t>
      </w:r>
      <w:r>
        <w:fldChar w:fldCharType="begin" w:fldLock="1"/>
      </w:r>
      <w:r w:rsidR="0001095D">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01095D" w:rsidRPr="0001095D" w:rsidRDefault="0001095D"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01095D" w:rsidRPr="0001095D" w:rsidRDefault="0001095D"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sidR="007538FC">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05354DB" w:rsidR="007538FC" w:rsidRPr="007538FC" w:rsidRDefault="007538FC" w:rsidP="00926B7A">
      <w:pPr>
        <w:pStyle w:val="FootnoteText"/>
        <w:ind w:firstLine="720"/>
        <w:jc w:val="both"/>
        <w:rPr>
          <w:lang w:val="id-ID"/>
        </w:rPr>
      </w:pPr>
      <w:r>
        <w:rPr>
          <w:rStyle w:val="FootnoteReference"/>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 xml:space="preserve">Samuel Wailan et al., “YESUS KRISTUS: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7538FC" w:rsidRPr="007538FC" w:rsidRDefault="007538FC" w:rsidP="00926B7A">
      <w:pPr>
        <w:pStyle w:val="FootnoteText"/>
        <w:ind w:firstLine="720"/>
        <w:jc w:val="both"/>
        <w:rPr>
          <w:lang w:val="id-ID"/>
        </w:rPr>
      </w:pPr>
      <w:r>
        <w:rPr>
          <w:rStyle w:val="FootnoteReference"/>
        </w:rPr>
        <w:footnoteRef/>
      </w:r>
      <w:r>
        <w:t xml:space="preserve"> </w:t>
      </w:r>
      <w:r>
        <w:fldChar w:fldCharType="begin" w:fldLock="1"/>
      </w:r>
      <w:r w:rsidR="00C249D8">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C249D8" w:rsidRPr="00C249D8" w:rsidRDefault="00C249D8"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C249D8" w:rsidRPr="00C249D8" w:rsidRDefault="00C249D8"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C249D8" w:rsidRPr="00C249D8" w:rsidRDefault="00C249D8" w:rsidP="00926B7A">
      <w:pPr>
        <w:pStyle w:val="FootnoteText"/>
        <w:ind w:firstLine="720"/>
        <w:jc w:val="both"/>
        <w:rPr>
          <w:lang w:val="id-ID"/>
        </w:rPr>
      </w:pPr>
      <w:r>
        <w:rPr>
          <w:rStyle w:val="FootnoteReference"/>
        </w:rPr>
        <w:footnoteRef/>
      </w:r>
      <w:r>
        <w:t xml:space="preserve"> </w:t>
      </w:r>
      <w:r>
        <w:fldChar w:fldCharType="begin" w:fldLock="1"/>
      </w:r>
      <w:r w:rsidR="00926B7A">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926B7A" w:rsidRPr="00926B7A" w:rsidRDefault="00926B7A"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926B7A" w:rsidRPr="00926B7A" w:rsidRDefault="00926B7A"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926B7A">
        <w:rPr>
          <w:noProof/>
        </w:rPr>
        <w:t xml:space="preserve">Isaac Boaheng, “Theological Appraisal of the Satisfaction Theory of Atonement,” </w:t>
      </w:r>
      <w:r w:rsidRPr="00926B7A">
        <w:rPr>
          <w:i/>
          <w:noProof/>
        </w:rPr>
        <w:t>Stellenbosch Theological Journal</w:t>
      </w:r>
      <w:r w:rsidRPr="00926B7A">
        <w:rPr>
          <w:noProof/>
        </w:rPr>
        <w:t xml:space="preserve"> 10, no. 1 (July 10, 2024): 123–35, https://doi.org/10.17570/STJ.2024.V10N1.4.</w:t>
      </w:r>
      <w:r>
        <w:fldChar w:fldCharType="end"/>
      </w:r>
    </w:p>
  </w:footnote>
  <w:footnote w:id="33">
    <w:p w14:paraId="342EE3BE" w14:textId="1DF73679" w:rsidR="00926B7A" w:rsidRPr="00926B7A" w:rsidRDefault="00926B7A"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926B7A" w:rsidRPr="00926B7A" w:rsidRDefault="00926B7A"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926B7A" w:rsidRPr="00926B7A" w:rsidRDefault="00926B7A"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42C4A"/>
    <w:rsid w:val="001B5B71"/>
    <w:rsid w:val="00250EAA"/>
    <w:rsid w:val="00273E5A"/>
    <w:rsid w:val="002A2BAC"/>
    <w:rsid w:val="002D3E1A"/>
    <w:rsid w:val="00353E95"/>
    <w:rsid w:val="003A4350"/>
    <w:rsid w:val="004778D6"/>
    <w:rsid w:val="00536CBE"/>
    <w:rsid w:val="005803EC"/>
    <w:rsid w:val="005C17D4"/>
    <w:rsid w:val="006C258C"/>
    <w:rsid w:val="007538FC"/>
    <w:rsid w:val="00776346"/>
    <w:rsid w:val="008C563E"/>
    <w:rsid w:val="00905DBB"/>
    <w:rsid w:val="00926B7A"/>
    <w:rsid w:val="009D24CD"/>
    <w:rsid w:val="009F4195"/>
    <w:rsid w:val="00AC0A8B"/>
    <w:rsid w:val="00AE35FD"/>
    <w:rsid w:val="00B66877"/>
    <w:rsid w:val="00BE3ED7"/>
    <w:rsid w:val="00C008F0"/>
    <w:rsid w:val="00C249D8"/>
    <w:rsid w:val="00C30472"/>
    <w:rsid w:val="00C5326C"/>
    <w:rsid w:val="00D805A3"/>
    <w:rsid w:val="00DF3D85"/>
    <w:rsid w:val="00E144BD"/>
    <w:rsid w:val="00E50795"/>
    <w:rsid w:val="00F000A3"/>
    <w:rsid w:val="00F55765"/>
    <w:rsid w:val="00F70658"/>
    <w:rsid w:val="00F903B5"/>
    <w:rsid w:val="00FA2A5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FollowedHyperlink">
    <w:name w:val="FollowedHyperlink"/>
    <w:basedOn w:val="DefaultParagraphFont"/>
    <w:uiPriority w:val="99"/>
    <w:semiHidden/>
    <w:unhideWhenUsed/>
    <w:rsid w:val="005803EC"/>
    <w:rPr>
      <w:color w:val="800080" w:themeColor="followedHyperlink"/>
      <w:u w:val="single"/>
    </w:rPr>
  </w:style>
  <w:style w:type="character" w:styleId="UnresolvedMention">
    <w:name w:val="Unresolved Mention"/>
    <w:basedOn w:val="DefaultParagraphFont"/>
    <w:uiPriority w:val="99"/>
    <w:semiHidden/>
    <w:unhideWhenUsed/>
    <w:rsid w:val="002D3E1A"/>
    <w:rPr>
      <w:color w:val="605E5C"/>
      <w:shd w:val="clear" w:color="auto" w:fill="E1DFDD"/>
    </w:rPr>
  </w:style>
  <w:style w:type="paragraph" w:styleId="FootnoteText">
    <w:name w:val="footnote text"/>
    <w:basedOn w:val="Normal"/>
    <w:link w:val="FootnoteTextChar"/>
    <w:uiPriority w:val="99"/>
    <w:semiHidden/>
    <w:unhideWhenUsed/>
    <w:rsid w:val="002D3E1A"/>
    <w:rPr>
      <w:sz w:val="20"/>
      <w:szCs w:val="20"/>
    </w:rPr>
  </w:style>
  <w:style w:type="character" w:customStyle="1" w:styleId="FootnoteTextChar">
    <w:name w:val="Footnote Text Char"/>
    <w:basedOn w:val="DefaultParagraphFont"/>
    <w:link w:val="FootnoteText"/>
    <w:uiPriority w:val="99"/>
    <w:semiHidden/>
    <w:rsid w:val="002D3E1A"/>
    <w:rPr>
      <w:rFonts w:eastAsia="SimSun"/>
      <w:sz w:val="20"/>
      <w:szCs w:val="20"/>
      <w:lang w:eastAsia="zh-CN"/>
    </w:rPr>
  </w:style>
  <w:style w:type="character" w:styleId="FootnoteReference">
    <w:name w:val="footnote reference"/>
    <w:basedOn w:val="DefaultParagraphFont"/>
    <w:uiPriority w:val="99"/>
    <w:semiHidden/>
    <w:unhideWhenUsed/>
    <w:rsid w:val="002D3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abdonamtiran@sttikat.ac.id"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6A460F-A2AA-4653-9373-EAEB7D421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17</Pages>
  <Words>6333</Words>
  <Characters>36099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26</cp:revision>
  <dcterms:created xsi:type="dcterms:W3CDTF">2023-02-22T06:25:00Z</dcterms:created>
  <dcterms:modified xsi:type="dcterms:W3CDTF">2026-05-25T05:17:00Z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