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4A0C99" w14:paraId="709FEF72" w14:textId="77777777" w:rsidTr="00B66877">
        <w:tc>
          <w:tcPr>
            <w:tcW w:w="8789" w:type="dxa"/>
            <w:gridSpan w:val="2"/>
            <w:tcBorders>
              <w:top w:val="single" w:sz="4" w:space="0" w:color="000000"/>
              <w:bottom w:val="single" w:sz="4" w:space="0" w:color="000000"/>
            </w:tcBorders>
          </w:tcPr>
          <w:p w14:paraId="045B5D8E" w14:textId="0A99E6F6" w:rsidR="00C30472" w:rsidRPr="004A0C99" w:rsidRDefault="00000000">
            <w:pPr>
              <w:pBdr>
                <w:top w:val="nil"/>
                <w:left w:val="nil"/>
                <w:bottom w:val="nil"/>
                <w:right w:val="nil"/>
                <w:between w:val="nil"/>
              </w:pBdr>
              <w:spacing w:line="276" w:lineRule="auto"/>
              <w:ind w:left="34"/>
              <w:jc w:val="center"/>
              <w:rPr>
                <w:rFonts w:eastAsia="Times New Roman"/>
                <w:b/>
                <w:i/>
                <w:color w:val="000000"/>
                <w:sz w:val="36"/>
                <w:szCs w:val="36"/>
              </w:rPr>
            </w:pPr>
            <w:r w:rsidRPr="004A0C99">
              <w:rPr>
                <w:rFonts w:eastAsia="Times New Roman"/>
                <w:b/>
                <w:i/>
                <w:color w:val="000000"/>
                <w:sz w:val="36"/>
                <w:szCs w:val="36"/>
              </w:rPr>
              <w:t>Jurnal Arrabona: Jurnal Teologi dan Misi</w:t>
            </w:r>
            <w:r w:rsidRPr="004A0C99">
              <w:rPr>
                <w:rFonts w:eastAsia="Times New Roman"/>
                <w:b/>
                <w:i/>
                <w:color w:val="000000"/>
                <w:sz w:val="28"/>
                <w:szCs w:val="28"/>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sidRPr="004A0C99">
                <w:rPr>
                  <w:rFonts w:ascii="Lustria" w:eastAsia="Lustria" w:hAnsi="Lustria" w:cs="Lustria"/>
                  <w:color w:val="0000FF"/>
                  <w:sz w:val="20"/>
                  <w:szCs w:val="20"/>
                  <w:u w:val="single"/>
                </w:rPr>
                <w:t>https://jurnal.sttarrabona.ac.id/JurnalSTTA/</w:t>
              </w:r>
            </w:hyperlink>
          </w:p>
          <w:p w14:paraId="4BEF448A" w14:textId="7D17F5F6"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AE35FD" w:rsidRPr="004A0C99">
              <w:t>8</w:t>
            </w:r>
            <w:r w:rsidRPr="004A0C99">
              <w:rPr>
                <w:rFonts w:eastAsia="Times New Roman"/>
                <w:color w:val="000000"/>
              </w:rPr>
              <w:t>, No.</w:t>
            </w:r>
            <w:r w:rsidR="00273E5A" w:rsidRPr="004A0C99">
              <w:rPr>
                <w:rFonts w:eastAsia="Times New Roman"/>
                <w:color w:val="000000"/>
              </w:rPr>
              <w:t>2</w:t>
            </w:r>
            <w:r w:rsidR="00F903B5" w:rsidRPr="004A0C99">
              <w:rPr>
                <w:rFonts w:eastAsia="Times New Roman"/>
                <w:color w:val="000000"/>
              </w:rPr>
              <w:t>,</w:t>
            </w:r>
            <w:r w:rsidRPr="004A0C99">
              <w:rPr>
                <w:rFonts w:eastAsia="Times New Roman"/>
                <w:color w:val="000000"/>
              </w:rPr>
              <w:t xml:space="preserve"> </w:t>
            </w:r>
            <w:r w:rsidR="00273E5A" w:rsidRPr="004A0C99">
              <w:rPr>
                <w:rFonts w:eastAsia="Times New Roman"/>
                <w:color w:val="000000"/>
              </w:rPr>
              <w:t>Februari</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4A0C99"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4A0C99" w:rsidRDefault="00F903B5" w:rsidP="00F903B5">
            <w:pPr>
              <w:pBdr>
                <w:top w:val="nil"/>
                <w:left w:val="nil"/>
                <w:bottom w:val="nil"/>
                <w:right w:val="nil"/>
                <w:between w:val="nil"/>
              </w:pBdr>
              <w:spacing w:line="276" w:lineRule="auto"/>
              <w:rPr>
                <w:rFonts w:ascii="Lustria" w:eastAsia="Lustria" w:hAnsi="Lustria" w:cs="Lustria"/>
                <w:b/>
                <w:color w:val="000000"/>
                <w:sz w:val="32"/>
                <w:szCs w:val="32"/>
              </w:rPr>
            </w:pPr>
          </w:p>
          <w:p w14:paraId="5CEB67C4" w14:textId="3449CF4A" w:rsidR="004A0C99" w:rsidRPr="00CB166E" w:rsidRDefault="004A0C99" w:rsidP="00CB166E">
            <w:pPr>
              <w:jc w:val="center"/>
              <w:rPr>
                <w:sz w:val="32"/>
                <w:szCs w:val="32"/>
              </w:rPr>
            </w:pPr>
            <w:r w:rsidRPr="004A0C99">
              <w:rPr>
                <w:sz w:val="32"/>
                <w:szCs w:val="32"/>
              </w:rPr>
              <w:t>Sintesis Teologi Kovenan dan Doktrin Justifikasi dalam Terang 2 Korintus 5:21: Kajian Hermeneutis-Kovenantal</w:t>
            </w:r>
          </w:p>
          <w:p w14:paraId="5A6EA0FD" w14:textId="77777777" w:rsidR="004A0C99" w:rsidRPr="004A0C99" w:rsidRDefault="004A0C99" w:rsidP="004A0C99">
            <w:pPr>
              <w:jc w:val="center"/>
              <w:rPr>
                <w:b/>
                <w:i/>
                <w:color w:val="000000"/>
                <w:sz w:val="28"/>
                <w:szCs w:val="28"/>
              </w:rPr>
            </w:pPr>
          </w:p>
          <w:p w14:paraId="6E0D6691" w14:textId="77777777" w:rsidR="004A0C99" w:rsidRPr="004A0C99" w:rsidRDefault="004A0C99" w:rsidP="004A0C99">
            <w:pPr>
              <w:jc w:val="center"/>
              <w:rPr>
                <w:rFonts w:ascii="Lustria" w:eastAsia="Lustria" w:hAnsi="Lustria" w:cs="Lustria"/>
                <w:color w:val="000000"/>
                <w:sz w:val="18"/>
                <w:szCs w:val="18"/>
              </w:rPr>
            </w:pPr>
          </w:p>
        </w:tc>
      </w:tr>
      <w:tr w:rsidR="00C30472" w:rsidRPr="004A0C99"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4A0C99" w:rsidRDefault="00000000">
            <w:pPr>
              <w:pBdr>
                <w:top w:val="nil"/>
                <w:left w:val="nil"/>
                <w:bottom w:val="nil"/>
                <w:right w:val="nil"/>
                <w:between w:val="nil"/>
              </w:pBdr>
              <w:rPr>
                <w:rFonts w:ascii="Lustria" w:eastAsia="Lustria" w:hAnsi="Lustria" w:cs="Lustria"/>
                <w:color w:val="000000"/>
                <w:sz w:val="36"/>
                <w:szCs w:val="36"/>
                <w:vertAlign w:val="subscript"/>
              </w:rPr>
            </w:pPr>
            <w:r w:rsidRPr="004A0C99">
              <w:rPr>
                <w:rFonts w:ascii="Lustria" w:eastAsia="Lustria" w:hAnsi="Lustria" w:cs="Lustria"/>
                <w:b/>
                <w:color w:val="000000"/>
                <w:sz w:val="36"/>
                <w:szCs w:val="36"/>
                <w:vertAlign w:val="subscript"/>
              </w:rPr>
              <w:t>INFO ARTIKEL</w:t>
            </w:r>
          </w:p>
          <w:p w14:paraId="3ECEF272" w14:textId="03122D4B" w:rsidR="00C30472" w:rsidRPr="004A0C99" w:rsidRDefault="00000000">
            <w:pPr>
              <w:pBdr>
                <w:top w:val="nil"/>
                <w:left w:val="nil"/>
                <w:bottom w:val="nil"/>
                <w:right w:val="nil"/>
                <w:between w:val="nil"/>
              </w:pBdr>
              <w:spacing w:line="276" w:lineRule="auto"/>
              <w:rPr>
                <w:rFonts w:ascii="Lustria" w:eastAsia="Lustria" w:hAnsi="Lustria" w:cs="Lustria"/>
                <w:color w:val="000000"/>
                <w:sz w:val="20"/>
                <w:szCs w:val="20"/>
              </w:rPr>
            </w:pPr>
            <w:r w:rsidRPr="004A0C99">
              <w:rPr>
                <w:rFonts w:ascii="Lustria" w:eastAsia="Lustria" w:hAnsi="Lustria" w:cs="Lustria"/>
                <w:color w:val="000000"/>
                <w:sz w:val="20"/>
                <w:szCs w:val="20"/>
              </w:rPr>
              <w:t>____________________</w:t>
            </w:r>
          </w:p>
          <w:p w14:paraId="2437E1B9" w14:textId="77777777"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i/>
                <w:color w:val="000000"/>
                <w:sz w:val="36"/>
                <w:szCs w:val="36"/>
                <w:vertAlign w:val="subscript"/>
              </w:rPr>
              <w:t>Sejarah Artikel:</w:t>
            </w:r>
          </w:p>
          <w:p w14:paraId="0EDB35AD" w14:textId="440B6432"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Diterima: </w:t>
            </w:r>
            <w:r w:rsidR="00273E5A" w:rsidRPr="004A0C99">
              <w:rPr>
                <w:rFonts w:eastAsia="Times New Roman"/>
                <w:color w:val="000000"/>
                <w:sz w:val="36"/>
                <w:szCs w:val="36"/>
                <w:vertAlign w:val="subscript"/>
              </w:rPr>
              <w:t>00/11/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0AA6DB8F" w14:textId="65D3D03A"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273E5A" w:rsidRPr="004A0C99">
              <w:rPr>
                <w:rFonts w:eastAsia="Times New Roman"/>
                <w:color w:val="000000"/>
                <w:sz w:val="36"/>
                <w:szCs w:val="36"/>
                <w:vertAlign w:val="subscript"/>
              </w:rPr>
              <w:t>11/01/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2AB3136B"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Disetujui: </w:t>
            </w:r>
            <w:r w:rsidR="00273E5A" w:rsidRPr="004A0C99">
              <w:rPr>
                <w:rFonts w:eastAsia="Times New Roman"/>
                <w:color w:val="000000"/>
                <w:sz w:val="33"/>
                <w:szCs w:val="33"/>
                <w:vertAlign w:val="subscript"/>
              </w:rPr>
              <w:t>01/02/</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6</w:t>
            </w:r>
          </w:p>
          <w:p w14:paraId="77F4E475" w14:textId="423F8DA9"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Dipublikasi: </w:t>
            </w:r>
            <w:r w:rsidR="00273E5A" w:rsidRPr="004A0C99">
              <w:rPr>
                <w:rFonts w:eastAsia="Times New Roman"/>
                <w:color w:val="000000"/>
                <w:sz w:val="33"/>
                <w:szCs w:val="33"/>
                <w:vertAlign w:val="subscript"/>
              </w:rPr>
              <w:t>28/01/</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5</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rPr>
            </w:pPr>
            <w:r w:rsidRPr="004A0C99">
              <w:rPr>
                <w:rFonts w:ascii="Lustria" w:eastAsia="Lustria" w:hAnsi="Lustria" w:cs="Lustria"/>
                <w:b/>
                <w:color w:val="000000"/>
                <w:sz w:val="36"/>
                <w:szCs w:val="36"/>
                <w:vertAlign w:val="subscript"/>
              </w:rPr>
              <w:t>ABSTRAK</w:t>
            </w:r>
          </w:p>
          <w:p w14:paraId="6A5A1759" w14:textId="4F242D37" w:rsidR="00C30472" w:rsidRPr="004A0C99" w:rsidRDefault="00000000">
            <w:pPr>
              <w:pBdr>
                <w:top w:val="nil"/>
                <w:left w:val="nil"/>
                <w:bottom w:val="nil"/>
                <w:right w:val="nil"/>
                <w:between w:val="nil"/>
              </w:pBdr>
              <w:jc w:val="both"/>
              <w:rPr>
                <w:rFonts w:eastAsia="Times New Roman"/>
                <w:color w:val="000000"/>
                <w:sz w:val="22"/>
                <w:szCs w:val="22"/>
              </w:rPr>
            </w:pPr>
            <w:r w:rsidRPr="004A0C99">
              <w:rPr>
                <w:rFonts w:ascii="Lustria" w:eastAsia="Lustria" w:hAnsi="Lustria" w:cs="Lustria"/>
                <w:color w:val="000000"/>
                <w:sz w:val="20"/>
                <w:szCs w:val="20"/>
              </w:rPr>
              <w:t>_____________________________________________________________</w:t>
            </w:r>
            <w:r w:rsidR="004A0C99" w:rsidRPr="004A0C99">
              <w:t xml:space="preserve"> Tulisan ini bertujuan untuk melakukan sintesis teologi kovenan dan doktrin justifikasi dalam terang 2 korintus 5:21. Doktrin justifikasi menekankan pembenaran orang percaya melalui iman kepada Yesus Kristus. Di satu sisi, teologi kovenan menekankan dinamika relasi antara Allah dengan manusia sepanjang Alkitab dimana teologi kovenan tersebut berpuncak pada pribadi dan karya Yesus Kristus. 2 Korintus 5:21 menegaskan Yesus adalah pribadi yang tidak berdosa. Namun, Allah menjadikan Yesus sebagai “Anak Domba Allah” dalam rangka penggenapan janji keselamatan dalam perjanjian lama. Melalui kematian Yesus atas dosa manusia, orang percaya diperdamaikan dengan Allah. Orang percaya juga memperoleh kebenaran Allah yang tidak dapat diraih dengan upaya manusia. Melalui pendekatan kualitatif deskriptif, penulis akan melakukan sintesis teologi kovenan dan doktrin justifikasi dengan menggunakan 2 Korintus 5:21 sebagai landasannya. Penulis menegaskan bahwa 2 Korintus 5:21 memberikan sebuah landasan teologis yang solid untuk melakukan sintesis teologi kovenan dan doktrin justifikasi. Tulisan ini memberikan kebaruan pendekatan yaitu penggabungan kerangka hermeneutis-kovenantal untuk membangun sintesis doktrinal. Selain itu, tulisan ini memberikan kontribusi untuk menawarkan model sintesis yang memperkuat pemahaman soteriologi secara holistik dari perspektif hermenetika dan sistematika.</w:t>
            </w:r>
          </w:p>
          <w:p w14:paraId="3A146C76" w14:textId="77777777" w:rsidR="003A4350" w:rsidRPr="004A0C99"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Pr="004A0C99" w:rsidRDefault="00000000">
            <w:pPr>
              <w:pBdr>
                <w:top w:val="nil"/>
                <w:left w:val="nil"/>
                <w:bottom w:val="nil"/>
                <w:right w:val="nil"/>
                <w:between w:val="nil"/>
              </w:pBdr>
              <w:spacing w:line="276" w:lineRule="auto"/>
              <w:jc w:val="both"/>
              <w:rPr>
                <w:rFonts w:eastAsia="Times New Roman"/>
                <w:color w:val="000000"/>
                <w:sz w:val="22"/>
                <w:szCs w:val="22"/>
              </w:rPr>
            </w:pPr>
            <w:r w:rsidRPr="004A0C99">
              <w:rPr>
                <w:rFonts w:eastAsia="Times New Roman"/>
                <w:color w:val="000000"/>
                <w:sz w:val="22"/>
                <w:szCs w:val="22"/>
              </w:rPr>
              <w:t>___________________________________________________________</w:t>
            </w:r>
          </w:p>
          <w:p w14:paraId="04A73A90"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Kata Kunci:</w:t>
            </w:r>
          </w:p>
          <w:p w14:paraId="1E7E6481" w14:textId="161AEE79" w:rsidR="00C30472" w:rsidRPr="004A0C99" w:rsidRDefault="004A0C99">
            <w:pPr>
              <w:pBdr>
                <w:top w:val="nil"/>
                <w:left w:val="nil"/>
                <w:bottom w:val="nil"/>
                <w:right w:val="nil"/>
                <w:between w:val="nil"/>
              </w:pBdr>
              <w:rPr>
                <w:rFonts w:eastAsia="Times New Roman"/>
                <w:i/>
                <w:color w:val="000000"/>
                <w:sz w:val="22"/>
                <w:szCs w:val="22"/>
              </w:rPr>
            </w:pPr>
            <w:r w:rsidRPr="004A0C99">
              <w:t>2 Korintus 5:21, Doktrin Justifikasi, Hermeneutis-Kovenantal, Teologi Kovenan</w:t>
            </w:r>
            <w:r w:rsidRPr="004A0C99">
              <w:rPr>
                <w:rFonts w:eastAsia="Times New Roman"/>
                <w:i/>
                <w:color w:val="000000"/>
                <w:sz w:val="22"/>
                <w:szCs w:val="22"/>
              </w:rPr>
              <w:t>.</w:t>
            </w:r>
          </w:p>
          <w:p w14:paraId="71E2798F" w14:textId="77777777" w:rsidR="00C30472" w:rsidRPr="004A0C99" w:rsidRDefault="0000000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p>
          <w:p w14:paraId="185E54D8" w14:textId="77777777" w:rsidR="00C30472" w:rsidRPr="004A0C99"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p>
          <w:p w14:paraId="44D1E0EB" w14:textId="65EB40AB" w:rsidR="003A4350" w:rsidRPr="004A0C99" w:rsidRDefault="004A0C99">
            <w:pPr>
              <w:pBdr>
                <w:top w:val="nil"/>
                <w:left w:val="nil"/>
                <w:bottom w:val="nil"/>
                <w:right w:val="nil"/>
                <w:between w:val="nil"/>
              </w:pBdr>
              <w:rPr>
                <w:rFonts w:eastAsia="Times New Roman"/>
                <w:i/>
                <w:color w:val="000000"/>
                <w:sz w:val="22"/>
                <w:szCs w:val="22"/>
              </w:rPr>
            </w:pPr>
            <w:r w:rsidRPr="004A0C99">
              <w:rPr>
                <w:i/>
                <w:iCs/>
              </w:rPr>
              <w:t xml:space="preserve">This paper aims to synthesize covenant theology and the doctrine of justification in the light of 2 Corinthians 5:21. The doctrine of </w:t>
            </w:r>
            <w:r w:rsidRPr="004A0C99">
              <w:rPr>
                <w:i/>
                <w:iCs/>
              </w:rPr>
              <w:lastRenderedPageBreak/>
              <w:t>justification emphasizes the justification of believers through faith in Jesus Christ. On the one hand, covenant theology emphasizes the dynamic relationship between God and man throughout the Bible where it culminates in the person and work of Jesus Christ. 2 Corinthians 5:21 affirms that Jesus is a sinless person. However, God made Jesus the “Lamb of God” in order to fulfill the promise of salvation in the old covenant. Through Jesus' death for human sin, believers are reconciled to God. Believers also obtain God's righteousness that cannot be achieved by human effort. Through a descriptive qualitative approach, the author will synthesize covenant 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E8F26D7"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4A0C99" w:rsidRDefault="004A0C99" w:rsidP="004A0C99">
            <w:pPr>
              <w:jc w:val="both"/>
              <w:rPr>
                <w:i/>
                <w:iCs/>
              </w:rPr>
            </w:pPr>
            <w:r w:rsidRPr="004A0C99">
              <w:rPr>
                <w:i/>
                <w:iCs/>
              </w:rPr>
              <w:t>2 Corinthians 5:21, Doctrine of Justification, Hermeneutical-Covenantal, Covenant Theology</w:t>
            </w:r>
          </w:p>
          <w:p w14:paraId="7A1C1A60"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p>
          <w:p w14:paraId="232CD83A" w14:textId="77777777" w:rsidR="00C30472" w:rsidRPr="004A0C99"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5A76EF67" w14:textId="77777777" w:rsidR="00C30472" w:rsidRPr="004A0C99" w:rsidRDefault="00000000">
      <w:pPr>
        <w:jc w:val="both"/>
        <w:rPr>
          <w:b/>
        </w:rPr>
      </w:pPr>
      <w:r w:rsidRPr="004A0C99">
        <w:rPr>
          <w:b/>
        </w:rPr>
        <w:t>PENDAHULUAN</w:t>
      </w:r>
    </w:p>
    <w:p w14:paraId="23E7152A" w14:textId="77777777" w:rsidR="004A0C99" w:rsidRPr="004A0C99" w:rsidRDefault="004A0C99" w:rsidP="004A0C99">
      <w:pPr>
        <w:ind w:firstLine="720"/>
        <w:jc w:val="both"/>
      </w:pPr>
      <w:r w:rsidRPr="004A0C99">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ReferensiCatatanKaki"/>
        </w:rPr>
        <w:footnoteReference w:id="1"/>
      </w:r>
      <w:r w:rsidRPr="004A0C99">
        <w:t xml:space="preserve"> Doktrin justifikasi menyatakan bahwa orang percaya dinyatakan benar di hadapan Allah. Kebenaran yang dimiliki oleh orang percaya ini bukan karena hasil dari perbuatan baik orang percaya. 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ReferensiCatatanKaki"/>
        </w:rPr>
        <w:footnoteReference w:id="2"/>
      </w:r>
      <w:r w:rsidRPr="004A0C99">
        <w:t xml:space="preserve"> Doktrin justifikasi berperan signifikan di dalam gereja. Doktrin ini harus diajarkan kepada jemaat agar jemaat memiliki kesadaran spiritual tentang keberadaannya sebagai umat tebusan Allah. Saat doktrin justifikasi diajarkan kepada jemaat, maka gereja akan menjadi hidup dengan berdiri di atas kasih karunia Allah. Tanpa mengajarkan doktrin justifikasi ini, maka gereja tidak akan berfungsi sebagaimana mestinya. Jemaat tidak akan mengalami terang dan jemaat akan tetap hidup di dalam rasa </w:t>
      </w:r>
      <w:r w:rsidRPr="004A0C99">
        <w:lastRenderedPageBreak/>
        <w:t>bersalah. Doktrin justifikasi harus diajarkan di dalam gereja karena doktrin justifikasi menyatakan sebuah realitas krusial di dalam diri orang percaya. Jüngel menegaskan bahwa justifikasi bukan hanya tentang pengampunan dosa, tetapi juga tentang pengakuan akan kebenaran Kristus yang diimputasikan kepada orang berdosa yang percaya.</w:t>
      </w:r>
      <w:r w:rsidRPr="004A0C99">
        <w:rPr>
          <w:rStyle w:val="ReferensiCatatanKaki"/>
        </w:rPr>
        <w:footnoteReference w:id="3"/>
      </w:r>
      <w:r w:rsidRPr="004A0C99">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maka kebenaran Kristus akan diimputasikan kepada orang berdosa yang percaya. Sehingga, orang berdosa yang percaya tersebut diampuni segala dosanya dan juga dinyatakan benar di hadapan Allah melalui Yesus Kristus. Oleh karena itu, doktrin justifikasi memiliki peranan yang krusial di dalam teologi Kristen dan juga di dalam iman Kristen untuk menyatakan kebenaran Kristus di dalam orang percaya.</w:t>
      </w:r>
    </w:p>
    <w:p w14:paraId="7323B071" w14:textId="77777777" w:rsidR="004A0C99" w:rsidRPr="004A0C99" w:rsidRDefault="004A0C99" w:rsidP="004A0C99">
      <w:pPr>
        <w:jc w:val="both"/>
      </w:pPr>
      <w:r w:rsidRPr="004A0C99">
        <w:tab/>
        <w:t>Selain doktrin justifikasi, teologi kovenan juga memiliki peranan di dalam iman Kristen. Teologi kovenan memberikan sebuah kerangka pemahaman relasi antara Allah dengan manusia. Relasi antara Allah dengan manusia tersebut terbentang sepanjang sejarah keselamatan yang dinyatakan di dalam Alkitab. Teologi kovenan menekankan hubungan antara Allah dengan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kovenan anugerah, dan kovenan penebusan.</w:t>
      </w:r>
      <w:r w:rsidRPr="004A0C99">
        <w:rPr>
          <w:rStyle w:val="ReferensiCatatanKaki"/>
        </w:rPr>
        <w:footnoteReference w:id="4"/>
      </w:r>
      <w:r w:rsidRPr="004A0C99">
        <w:t xml:space="preserve"> Melalui teologi kovenan, dinamika hubungan antara Allah dan manusia terejawantahkan dalam kerangka kovenan. Dinamika hubungan Allah dan manusia dalam kerangka kovenan terdapat di dalam Alkitab. Dimensi kovenan melibatkan dua belah pihak yaitu Allah dengan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ReferensiCatatanKaki"/>
        </w:rPr>
        <w:footnoteReference w:id="5"/>
      </w:r>
      <w:r w:rsidRPr="004A0C99">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seksama. Melalui tiga bentuk kovenan tersebut juga sejarah keselamatan manusia yang diprakarsai oleh Allah dapat diejawantahkan dengan rapi. Selain itu, teologi kovenan memberikan perspektif bari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ReferensiCatatanKaki"/>
        </w:rPr>
        <w:footnoteReference w:id="6"/>
      </w:r>
      <w:r w:rsidRPr="004A0C99">
        <w:t xml:space="preserve"> Teologi kovenan menekankan perspektif keselamatan yang kuat di dalam iman Kristen. Keselamatan tersebut muncul karena adanya kovenan anugerah yang terjalin antara Allah Bapa dan Allah Putera dari kekekalan. Teologi kovena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w:t>
      </w:r>
      <w:r w:rsidRPr="004A0C99">
        <w:lastRenderedPageBreak/>
        <w:t>perjanjian yang baru. Oleh karena itu, teologi kovenan memberikan sebuah kerangka pemahaman yang solid antara Allah dengan manusia dalam sejarah keselamatan yang terangkum di dalam Alkitab.</w:t>
      </w:r>
    </w:p>
    <w:p w14:paraId="3B34C421" w14:textId="77777777" w:rsidR="004A0C99" w:rsidRPr="004A0C99" w:rsidRDefault="004A0C99" w:rsidP="004A0C99">
      <w:pPr>
        <w:jc w:val="both"/>
      </w:pPr>
      <w:r w:rsidRPr="004A0C99">
        <w:tab/>
        <w:t>Doktrin justifikasi memiliki teks kunci di dalam 2 Korintus 5:21. 2 Korintus 5:21 menegaskan sebuah dimensi subtitusi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ReferensiCatatanKaki"/>
        </w:rPr>
        <w:footnoteReference w:id="7"/>
      </w:r>
      <w:r w:rsidRPr="004A0C99">
        <w:t xml:space="preserve"> Orang percaya dinyatakan benar di hadapan Allah karena Yesus Kristus. 2 Korintus 5:21 menegaskan bahwa Yesus harus menanggung dosa umat manusia agar manusia dinyatakan benar di hadapan Allah. Imputasi kebenaran Kristus tersebut tidak hanya sekedar 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hukuman dosa atas nama umat manusia.</w:t>
      </w:r>
      <w:r w:rsidRPr="004A0C99">
        <w:rPr>
          <w:rStyle w:val="ReferensiCatatanKaki"/>
        </w:rPr>
        <w:footnoteReference w:id="8"/>
      </w:r>
      <w:r w:rsidRPr="004A0C99">
        <w:t xml:space="preserve"> Pertukaran illahi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 mewakili umat manusia. Oleh karena itu, 2 Korintus 5:21 merupakan teks kunci untuk memperkuat pemahaman dimensi substitusi penal dan imputasi kebenaran di dalam Yesus Kristus.</w:t>
      </w:r>
    </w:p>
    <w:p w14:paraId="7255012C" w14:textId="77777777" w:rsidR="004A0C99" w:rsidRPr="004A0C99" w:rsidRDefault="004A0C99" w:rsidP="004A0C99">
      <w:pPr>
        <w:jc w:val="both"/>
      </w:pPr>
      <w:r w:rsidRPr="004A0C99">
        <w:tab/>
        <w:t>Tulisan ini akan menjawab pertanyaan permasalahan yaitu bagaimana hubungan antara teologi kovenan dan doktrin justifikasi dapat disintesiskan secara utuh. Kemudian, tulisan ini juga menjawab pertanyaan permasalahan yaitu bagaimana 2 Korintus 5:21 memberikan landasan biblika untuk konstruksi sintesis tersebut. Selain menjawab pertanyaan permasalahan tersebut, penelitian ini bertujuan untuk menganalisis secara hermenetis ayat 2 Korintus 5:21 dalam terang teologi kovenan. Tulisan ini juga menyusun sintesis teologis antara teologi kovenan dan doktrin justifikasi berdasarkan hasil analisis hermenetis 2 Korintus 5:21. Penulis mengingat hal tersebut serta penelitian sebelumnya tentang pengertian teologi kovenan</w:t>
      </w:r>
      <w:r w:rsidRPr="004A0C99">
        <w:rPr>
          <w:rStyle w:val="ReferensiCatatanKaki"/>
        </w:rPr>
        <w:footnoteReference w:id="9"/>
      </w:r>
      <w:r w:rsidRPr="004A0C99">
        <w:t xml:space="preserve"> serta penelitian sebelumnya mengenai doktrin justifikasi</w:t>
      </w:r>
      <w:r w:rsidRPr="004A0C99">
        <w:rPr>
          <w:rStyle w:val="ReferensiCatatanKaki"/>
        </w:rPr>
        <w:footnoteReference w:id="10"/>
      </w:r>
      <w:r w:rsidRPr="004A0C99">
        <w:t>, masih ada celah untuk dilakukan penelitian dalam perspektif 2 Korintus 5:21. Penulis menyatakan bahwa teologi kovenan dan doktrin justifikasi dapat bersintesis dalam terang 2 Korintus 5:21. Tulisan ini memberikan kebaruan pendekatan yaitu penggabungan kerangka hermeneutis-kovenantal untuk membangun sintesis doktrinal. Tulisan ini juga memberikan kontribusi model sintesis yang memperkuat pemahaman soteriologi secara holistik dari perspektif biblika dan sistematika.</w:t>
      </w:r>
    </w:p>
    <w:p w14:paraId="421AF75C" w14:textId="77777777" w:rsidR="004A0C99" w:rsidRPr="004A0C99" w:rsidRDefault="004A0C99" w:rsidP="004A0C99">
      <w:pPr>
        <w:jc w:val="both"/>
      </w:pPr>
    </w:p>
    <w:p w14:paraId="1F90605C" w14:textId="77777777" w:rsidR="004A0C99" w:rsidRPr="004A0C99" w:rsidRDefault="004A0C99" w:rsidP="004A0C99">
      <w:pPr>
        <w:jc w:val="both"/>
        <w:rPr>
          <w:b/>
          <w:bCs/>
        </w:rPr>
      </w:pPr>
      <w:r w:rsidRPr="004A0C99">
        <w:rPr>
          <w:b/>
          <w:bCs/>
        </w:rPr>
        <w:lastRenderedPageBreak/>
        <w:t>METODE PENELITIAN</w:t>
      </w:r>
    </w:p>
    <w:p w14:paraId="00CD7E65" w14:textId="77777777" w:rsidR="004A0C99" w:rsidRPr="004A0C99" w:rsidRDefault="004A0C99" w:rsidP="004A0C99">
      <w:pPr>
        <w:jc w:val="both"/>
      </w:pPr>
      <w:r w:rsidRPr="004A0C99">
        <w:rPr>
          <w:b/>
          <w:bCs/>
        </w:rPr>
        <w:tab/>
      </w: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ReferensiCatatanKaki"/>
        </w:rPr>
        <w:footnoteReference w:id="11"/>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ReferensiCatatanKaki"/>
        </w:rPr>
        <w:footnoteReference w:id="12"/>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0D134F0E" w14:textId="77777777" w:rsidR="00C30472" w:rsidRPr="004A0C99" w:rsidRDefault="00C30472">
      <w:pPr>
        <w:ind w:firstLine="720"/>
        <w:jc w:val="both"/>
        <w:sectPr w:rsidR="00C30472" w:rsidRPr="004A0C99">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cols w:space="720"/>
        </w:sectPr>
      </w:pPr>
    </w:p>
    <w:p w14:paraId="38CC7AFE" w14:textId="77777777" w:rsidR="00C30472" w:rsidRPr="004A0C99" w:rsidRDefault="00C30472">
      <w:pPr>
        <w:pBdr>
          <w:top w:val="nil"/>
          <w:left w:val="nil"/>
          <w:bottom w:val="nil"/>
          <w:right w:val="nil"/>
          <w:between w:val="nil"/>
        </w:pBdr>
        <w:jc w:val="both"/>
        <w:rPr>
          <w:rFonts w:eastAsia="Times New Roman"/>
          <w:color w:val="000000"/>
        </w:rPr>
      </w:pPr>
    </w:p>
    <w:p w14:paraId="179730E0" w14:textId="77777777" w:rsidR="00C30472" w:rsidRPr="004A0C99" w:rsidRDefault="00000000">
      <w:pPr>
        <w:tabs>
          <w:tab w:val="left" w:pos="284"/>
        </w:tabs>
        <w:jc w:val="both"/>
        <w:rPr>
          <w:b/>
        </w:rPr>
      </w:pPr>
      <w:r w:rsidRPr="004A0C99">
        <w:rPr>
          <w:b/>
        </w:rPr>
        <w:t>METODE PENELITIAN</w:t>
      </w:r>
    </w:p>
    <w:p w14:paraId="50551D0B" w14:textId="2178A805" w:rsidR="00C30472" w:rsidRPr="004A0C99" w:rsidRDefault="004A0C99" w:rsidP="004A0C99">
      <w:pPr>
        <w:ind w:firstLine="720"/>
        <w:jc w:val="both"/>
        <w:rPr>
          <w:b/>
        </w:rPr>
      </w:pP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ReferensiCatatanKaki"/>
        </w:rPr>
        <w:footnoteReference w:id="13"/>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ReferensiCatatanKaki"/>
        </w:rPr>
        <w:footnoteReference w:id="14"/>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6C4811C0" w14:textId="77777777" w:rsidR="00C30472" w:rsidRPr="004A0C99" w:rsidRDefault="00C30472">
      <w:pPr>
        <w:jc w:val="both"/>
        <w:rPr>
          <w:b/>
        </w:rPr>
      </w:pPr>
    </w:p>
    <w:p w14:paraId="23DDDC07" w14:textId="77777777" w:rsidR="00C30472" w:rsidRDefault="00000000">
      <w:pPr>
        <w:jc w:val="both"/>
        <w:rPr>
          <w:b/>
        </w:rPr>
      </w:pPr>
      <w:r w:rsidRPr="004A0C99">
        <w:rPr>
          <w:b/>
        </w:rPr>
        <w:t>HASIL DAN PEMBAHASAN</w:t>
      </w:r>
    </w:p>
    <w:p w14:paraId="57237BE3" w14:textId="77777777" w:rsidR="004A0C99" w:rsidRPr="004A0C99" w:rsidRDefault="004A0C99">
      <w:pPr>
        <w:jc w:val="both"/>
        <w:rPr>
          <w:b/>
        </w:rPr>
      </w:pPr>
    </w:p>
    <w:p w14:paraId="5AF8BD99" w14:textId="77777777" w:rsidR="004A0C99" w:rsidRPr="004A0C99" w:rsidRDefault="004A0C99" w:rsidP="004A0C99">
      <w:pPr>
        <w:jc w:val="both"/>
        <w:rPr>
          <w:i/>
          <w:iCs/>
        </w:rPr>
      </w:pPr>
      <w:r w:rsidRPr="004A0C99">
        <w:rPr>
          <w:i/>
          <w:iCs/>
        </w:rPr>
        <w:t>Analisis Eksegetilkal 2 Korintus 5:21</w:t>
      </w:r>
    </w:p>
    <w:p w14:paraId="138E6C01" w14:textId="77777777" w:rsidR="004A0C99" w:rsidRPr="004A0C99" w:rsidRDefault="004A0C99" w:rsidP="004A0C99">
      <w:pPr>
        <w:jc w:val="both"/>
      </w:pPr>
      <w:r w:rsidRPr="004A0C99">
        <w:lastRenderedPageBreak/>
        <w:tab/>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tentang legalisme, gnostisisme atau kombinasi dari keduanya. Paulus menyusun argumentasi apologetis untuk membungkam pengajaran yang melawan pengenalan akan Kristus.</w:t>
      </w:r>
      <w:r w:rsidRPr="004A0C99">
        <w:rPr>
          <w:rStyle w:val="ReferensiCatatanKaki"/>
        </w:rPr>
        <w:footnoteReference w:id="15"/>
      </w:r>
      <w:r w:rsidRPr="004A0C99">
        <w:t xml:space="preserve"> Paulus menghadapi peperangan teologis di dalam penulisan 2 Korintus. Paulus menyusun argumentasi apologetik bagi jemaat di Korintus yang terpengaruh oleh ajaran-ajaran lain. Ajaran-ajaran tersebut ialah legalisme, gnostisisme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Witherington menegaskan bahwa Paulus memiliki motif teologis dalam penulisan 2 Korintus. Paulus mengharapkan jemaat di Korintus dapat memahami kekayaan kemuliaan yang terdapat di dalam Kristus sebagai anak anak rohani Allah.</w:t>
      </w:r>
      <w:r w:rsidRPr="004A0C99">
        <w:rPr>
          <w:rStyle w:val="ReferensiCatatanKaki"/>
        </w:rPr>
        <w:footnoteReference w:id="16"/>
      </w:r>
      <w:r w:rsidRPr="004A0C99">
        <w:t xml:space="preserve"> Melalui surat 2 Korintus, Paulus menghendaki jemaat Korintus untuk dapat mengenal kekayaan kemuliaan Yesus Kristus. Paulus menginginkan jemaat Korintus juga dapat mengerti posisi spiritual jemaat Korintus yang notebene nya adalah anak-anak rohani Allah yang telah mengalami penebusan Kristus. Dengan demikian, 2 Korintus memiliki konteks teologis dimana Paulus sedang menyusun argumentasi apologetik dan teologis bagi jemaat Korintus yang sedang mengalami peperangan pengajaran. Paulus juga menghendaki jemaat Korintus memiliki pemahaman teologis yang sehat sebagai anak anak rohani Allah.</w:t>
      </w:r>
    </w:p>
    <w:p w14:paraId="59D21889" w14:textId="77777777" w:rsidR="004A0C99" w:rsidRPr="004A0C99" w:rsidRDefault="004A0C99" w:rsidP="004A0C99">
      <w:pPr>
        <w:jc w:val="both"/>
      </w:pPr>
      <w:r w:rsidRPr="004A0C99">
        <w:tab/>
        <w:t xml:space="preserve">2 Korintus 5:21 sebagai ayat kunci untuk memahami doktrin justifikasi juga memiliki frasa kunci yang dapat dieksplorasi lebih lanjut. frasa kunci tersebut ialah "Dia yang tidak mengenal dosa", "dijadikan-Nya dosa", dan "kita menjadi kebenaran Allah". Frasa dijadikan-Nya dosa dalam 2 Korintus 5:21 menunjukkan sebuah elaborasi yang mendalam tentang substitusi manusia oleh Yesus. Hughes menyatakan bahwa </w:t>
      </w:r>
      <w:r w:rsidRPr="004A0C99">
        <w:rPr>
          <w:i/>
          <w:iCs/>
        </w:rPr>
        <w:t>ἁμαρτίαν ἐποίησεν – hamartian epoiēsen</w:t>
      </w:r>
      <w:r w:rsidRPr="004A0C99">
        <w:t>, (dijadikan-Nya dosa) memiliki arti yang tegas bahwa Yesus menjadi pengganti yang menggantikan posisi manusia berdosa. Allah tidak membuat Yesus menjadi “manusia berdosa”. Melainkan, Allah memberikan Yesus sebagai “Anak Domba Allah” yang merupakan penggenapan janji keselamatan dalam perjanjian lama. Dengan demikian, Yesus sempurna dan tidak bercacat lahir batin yang menggantikan manusia berdosa untuk menanggung hukuman dosa.</w:t>
      </w:r>
      <w:r w:rsidRPr="004A0C99">
        <w:rPr>
          <w:rStyle w:val="ReferensiCatatanKaki"/>
        </w:rPr>
        <w:footnoteReference w:id="17"/>
      </w:r>
      <w:r w:rsidRPr="004A0C99">
        <w:t xml:space="preserve"> Hal tersebut berarti Yesus merupakan pengganti posisi manusia dalam menerima murka Allah akibat dosa. Yesus memiliki kesempurnaan yang sejati dari diriNya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diriNya sendiri. Comfort menyatakan bahwa </w:t>
      </w:r>
      <w:r w:rsidRPr="004A0C99">
        <w:rPr>
          <w:i/>
          <w:iCs/>
        </w:rPr>
        <w:t>τὸν μὴ γνόντα ἁμαρτίαν -  ton mē gnonta hamartian</w:t>
      </w:r>
      <w:r w:rsidRPr="004A0C99">
        <w:t xml:space="preserve"> (Dia yang tidak mengenal dosa) menyatakan bahwa Yesus tidak berdosa. Kata γνόντα (gnota) berasal dari kata γινώσκω (ginosko) yang menjelaskan bahwa Yesus memahami apa itu dosa, namun </w:t>
      </w:r>
      <w:r w:rsidRPr="004A0C99">
        <w:lastRenderedPageBreak/>
        <w:t>Dia tidak memiliki keterlibatan secara pribadi dengan dosa – bahkan Yesuspun tidak mengandung dosa sedikitpun.</w:t>
      </w:r>
      <w:r w:rsidRPr="004A0C99">
        <w:rPr>
          <w:rStyle w:val="ReferensiCatatanKaki"/>
        </w:rPr>
        <w:footnoteReference w:id="18"/>
      </w:r>
      <w:r w:rsidRPr="004A0C99">
        <w:t xml:space="preserve"> Yesus di dalam diriNya sendiri tidak memiliki dosa. Yesus berbeda dengan manusia. Manusia dilahirkan dengan dosa asal yang turun dari pemberontakan Adam dan Hawa. Namun, Yesus tidak mengalami dosa asal karena Yesus sendiri dikandung melalui Roh Kudus. Dengan kata lain, meskipun Yesus memahami apa itu dosa, namun secara </w:t>
      </w:r>
      <w:r w:rsidRPr="004A0C99">
        <w:rPr>
          <w:i/>
          <w:iCs/>
        </w:rPr>
        <w:t>nature</w:t>
      </w:r>
      <w:r w:rsidRPr="004A0C99">
        <w:t xml:space="preserve"> Yesus tidak memiliki dosa dan tidak berdosa. Hal tersebut menjadikan Yesus sebagai korban penebus dosa yang sempurna untuk mewakili manusia di hadapan Allah. Yesus yang tidak berdosa menjadi korban penebus manusia dari dosa akar semua umat percaya menjadi kebenaran Allah. Guthrie menegaskan bahwa</w:t>
      </w:r>
      <w:r w:rsidRPr="004A0C99">
        <w:rPr>
          <w:i/>
          <w:iCs/>
        </w:rPr>
        <w:t xml:space="preserve"> ἵνα ἡμεῖς γενώμεθα δικαιοσύνη Θεοῦ ἐν αὐτῷ - hina hēmeis genōmetha dikaiosynē</w:t>
      </w:r>
      <w:r w:rsidRPr="004A0C99">
        <w:t xml:space="preserve">  (kita menjadi kebenaran Allah) memiliki arti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ReferensiCatatanKaki"/>
        </w:rPr>
        <w:footnoteReference w:id="19"/>
      </w:r>
      <w:r w:rsidRPr="004A0C99">
        <w:t xml:space="preserve"> Hal tersebut memberikan sebuah pernyataan yang jelas mengenai 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melalui frasa kunci seperti "Dia yang tidak mengenal dosa", "dijadikan-Nya dosa", dan "kita menjadi kebenaran Allah" menegaskan bahwa Yesus Kristus berperan signifikan dalam penebusanNya untuk membawa manusia mengalami transformasi status menjadi orang benar di hadapan Allah.</w:t>
      </w:r>
    </w:p>
    <w:p w14:paraId="6C04261F" w14:textId="77777777" w:rsidR="004A0C99" w:rsidRPr="004A0C99" w:rsidRDefault="004A0C99" w:rsidP="004A0C99">
      <w:pPr>
        <w:jc w:val="both"/>
        <w:rPr>
          <w:i/>
          <w:iCs/>
        </w:rPr>
      </w:pPr>
    </w:p>
    <w:p w14:paraId="763751BE" w14:textId="77777777" w:rsidR="004A0C99" w:rsidRPr="004A0C99" w:rsidRDefault="004A0C99" w:rsidP="004A0C99">
      <w:pPr>
        <w:jc w:val="both"/>
        <w:rPr>
          <w:i/>
          <w:iCs/>
        </w:rPr>
      </w:pPr>
      <w:r w:rsidRPr="004A0C99">
        <w:rPr>
          <w:i/>
          <w:iCs/>
        </w:rPr>
        <w:t>Konsep Justifikasi dalam Kerangka Naratif Kovenantal</w:t>
      </w:r>
    </w:p>
    <w:p w14:paraId="4347E82D" w14:textId="77777777" w:rsidR="004A0C99" w:rsidRPr="004A0C99" w:rsidRDefault="004A0C99" w:rsidP="004A0C99">
      <w:pPr>
        <w:jc w:val="both"/>
      </w:pPr>
      <w:r w:rsidRPr="004A0C99">
        <w:tab/>
        <w:t>Tema kovenan terdapat di dalam rangkaian kisah sepanjang Alkitab. Tema kovenan yang terdapat dalam rangkaian kisah sepanjang Alkitab ini juga memiliki konektivitas dengan konsep justifikasi. Kovenan pertama yang terjadi di sepanjang sejarah Alkitab ialah kovenan antara Allah dengan Adam. Ristiono dan Sirait menyatakan bahwa kovenan yang didirikan dengan Adam, sering disebut sebagai kovenan kerja, dianggap sebagai kovenan primordial antara Ilahi dan manusia, yang dilambangkan oleh Adam. kovenan ini ditandai dengan komitmen untuk memberikan kehidupan dengan imbalan kepatuhan dan untuk memaksakan kematian jika terjadi ketidaktaatan.</w:t>
      </w:r>
      <w:r w:rsidRPr="004A0C99">
        <w:rPr>
          <w:rStyle w:val="ReferensiCatatanKaki"/>
        </w:rPr>
        <w:footnoteReference w:id="20"/>
      </w:r>
      <w:r w:rsidRPr="004A0C99">
        <w:t xml:space="preserve"> Di dalam kovenan kerja, ketaatan Adam merupakan titik kunci kovenan kerja ini berlangsung. Apabila Adam sanggup mentaati kovenan kerja dengan Allah, maka ada imbalan dari kepatuhan tersebut. Namun, apabila Adam tidak mentaati kovenan tersebut, maka kematianlah yang terjadi. Bagaimanapun juga, Adam gagal mentaati kovenan kerja tersebut dan kegagalan Adam membawa dosa memasuki kehidupan manusia. Hal ini menegaskan bahwa kegagalan Adam dalam melaksanakan kovenan kerja membawa manusia mengalami status </w:t>
      </w:r>
      <w:r w:rsidRPr="004A0C99">
        <w:rPr>
          <w:i/>
          <w:iCs/>
        </w:rPr>
        <w:t>unjust</w:t>
      </w:r>
      <w:r w:rsidRPr="004A0C99">
        <w:t xml:space="preserve"> di hadapan Allah. </w:t>
      </w:r>
    </w:p>
    <w:p w14:paraId="38A2CD75" w14:textId="77777777" w:rsidR="004A0C99" w:rsidRPr="004A0C99" w:rsidRDefault="004A0C99" w:rsidP="004A0C99">
      <w:pPr>
        <w:ind w:firstLine="720"/>
        <w:jc w:val="both"/>
      </w:pPr>
      <w:r w:rsidRPr="004A0C99">
        <w:t xml:space="preserve">Di satu sisi, Allah mengikat kovenan kembali dengan Abraham. Kumar menegaskan bahwa kovenan Abraham menandai perkembangan yang signifikan dalam rencana </w:t>
      </w:r>
      <w:r w:rsidRPr="004A0C99">
        <w:lastRenderedPageBreak/>
        <w:t>penebusan Allah, menjanjikan keturunan Abraham, tanah, dan berkat. Ini adalah perjanjian kasih karunia, menekankan iman dan inisiatif Allah dalam membangun umat bagi diri-Nya sendiri.</w:t>
      </w:r>
      <w:r w:rsidRPr="004A0C99">
        <w:rPr>
          <w:rStyle w:val="ReferensiCatatanKaki"/>
        </w:rPr>
        <w:footnoteReference w:id="21"/>
      </w:r>
      <w:r w:rsidRPr="004A0C99">
        <w:t xml:space="preserve"> Kovenan abraham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untuk penjelasan doktrin justifikasi oleh iman, yang akhirnya diwujudkan dalam pekerjaan penebusan Kristus seperti yang digambarkan dalam Perjanjian Baru. </w:t>
      </w:r>
    </w:p>
    <w:p w14:paraId="58B0C371" w14:textId="77777777" w:rsidR="004A0C99" w:rsidRPr="004A0C99" w:rsidRDefault="004A0C99" w:rsidP="004A0C99">
      <w:pPr>
        <w:ind w:firstLine="720"/>
        <w:jc w:val="both"/>
      </w:pPr>
      <w:r w:rsidRPr="004A0C99">
        <w:t>Kembali berfokus kepada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harus mereka patuhi. Kovenan ini penting untuk memahami interaksi antara hukum dan kasih karunia, karena menggarisbawahi perlunya seorang penyelamat karena ketidakmampuan umat manusia untuk sepenuhnya mematuhi hukum.</w:t>
      </w:r>
      <w:r w:rsidRPr="004A0C99">
        <w:rPr>
          <w:rStyle w:val="ReferensiCatatanKaki"/>
        </w:rPr>
        <w:footnoteReference w:id="22"/>
      </w:r>
      <w:r w:rsidRPr="004A0C99">
        <w:t xml:space="preserve"> Dalam konteks konsep justifikasi, kovenan yang ditetapkan melalui Musa sering dianggap sebagai kovenan kerja karena penekanannya pada perlunya pekerjaan kepatuhan manusia terhadap hukum 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perjanjian Musa muncul sebagai kerangka teologis yang signifikan untuk memahami perlunya seorang Mediator yang mampu memenuhi hukum Taurat dengan sempurna, khususnya Yesus Kristus dalam perjanjian kasih karunia. </w:t>
      </w:r>
    </w:p>
    <w:p w14:paraId="104699E6" w14:textId="77777777" w:rsidR="004A0C99" w:rsidRPr="004A0C99" w:rsidRDefault="004A0C99" w:rsidP="004A0C99">
      <w:pPr>
        <w:ind w:firstLine="720"/>
        <w:jc w:val="both"/>
      </w:pPr>
      <w:r w:rsidRPr="004A0C99">
        <w:t>Pada puncaknya, kovenan melalui Yesus Kristus menjadi penggenapan dari kovenan-kovenan yang terdahulu. Purwonugroho dan Zaluchu menyatakan bahwa kovenan melalui Kristus, sering disebut sebagai perjanjian baru, adalah penggenapan dari semua kovenan sebelumnya. Itu didasarkan pada kasih karunia dan didirikan melalui kehidupan, kematian, dan kebangkitan Yesus Kristus.</w:t>
      </w:r>
      <w:r w:rsidRPr="004A0C99">
        <w:rPr>
          <w:rStyle w:val="ReferensiCatatanKaki"/>
        </w:rPr>
        <w:footnoteReference w:id="23"/>
      </w:r>
      <w:r w:rsidRPr="004A0C99">
        <w:t xml:space="preserve"> Melalui pribadi Yesus Kristus dan karya penebusanNya di atas kayu salib, justifikasi tersebut diberikan kepada orang percaya. Justifikasi diberikan bukan atas dasar daya upaya manusia yang telah rusak oleh dosa. Justifikasi tersebut diberikan karena Yesus Kristus memberikan diriNya untuk mewakili orang percaya di hadapan Allah. Melalui ketaatan Yesus yang sempurna, kematiaNya dalam menanggung dosa manusia, orang percaya diperhitungkan benar di hadapan Allah melalui Yesus Kristus. Oleh karena itu, alur kovenan melalui Adam – Abraham – Musa mengalami </w:t>
      </w:r>
      <w:r w:rsidRPr="004A0C99">
        <w:lastRenderedPageBreak/>
        <w:t>puncaknya di dalam Yesus Kristus sebagai penggenap kovenan yang terdahulu agar manusia diperhitungkan benar di hadapan Allah di dalam Yesus.</w:t>
      </w:r>
    </w:p>
    <w:p w14:paraId="7F8AC9D8" w14:textId="77777777" w:rsidR="004A0C99" w:rsidRPr="004A0C99" w:rsidRDefault="004A0C99" w:rsidP="004A0C99">
      <w:pPr>
        <w:jc w:val="both"/>
      </w:pPr>
      <w:r w:rsidRPr="004A0C99">
        <w:tab/>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 tetapi juga memulai pembaruan internal melalui iman dan kehidupan yang dipimpin oleh Roh Kristus.</w:t>
      </w:r>
      <w:r w:rsidRPr="004A0C99">
        <w:rPr>
          <w:rStyle w:val="ReferensiCatatanKaki"/>
        </w:rPr>
        <w:footnoteReference w:id="24"/>
      </w:r>
      <w:r w:rsidRPr="004A0C99">
        <w:t xml:space="preserve"> Yesus datang untuk menggenapi Hukum Taurat (Matius 5:17). Ketaatan Yesus yang sempurna tidak hanya berhenti pada penggenapan Hukum Taurat saja,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0A6E53A4" w14:textId="77777777" w:rsidR="004A0C99" w:rsidRPr="004A0C99" w:rsidRDefault="004A0C99" w:rsidP="004A0C99">
      <w:pPr>
        <w:ind w:firstLine="720"/>
        <w:jc w:val="both"/>
      </w:pPr>
      <w:r w:rsidRPr="004A0C99">
        <w:t>Selain itu, Yesus Kristus memiliki peranan yang sangat signifikan di dalam perspektif kovenan. Greever menegaskan bahwa Yesus memiliki peran sentral dalam teologi 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ReferensiCatatanKaki"/>
        </w:rPr>
        <w:footnoteReference w:id="25"/>
      </w:r>
      <w:r w:rsidRPr="004A0C99">
        <w:t xml:space="preserve"> Dalam kerangka doktrin 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hilang dalam kejatuhan; sebagai Israel sejati, Dia menyelesaikan hukum Taurat; dan sebagai Daud yang benar, Dia memerintah dengan kebenaran dan membimbing umat menuju kebenaran perjanjian yang diungkapkan dalam pembenaran oleh iman. </w:t>
      </w:r>
    </w:p>
    <w:p w14:paraId="458B6AE8" w14:textId="77777777" w:rsidR="004A0C99" w:rsidRPr="004A0C99" w:rsidRDefault="004A0C99" w:rsidP="004A0C99">
      <w:pPr>
        <w:ind w:firstLine="720"/>
        <w:jc w:val="both"/>
      </w:pPr>
      <w:r w:rsidRPr="004A0C99">
        <w:t>Lebih lanjut lagi, teologi kovenan memberikan kerangka yang solid untuk memahami keselamatan dan pembenaran serta hubungan orang percaya dengan Allah. Wunsch menegaskan bahwa Teologi kovenan memberikan kerangka untuk memahami keselamatan Kristen, termasuk pembenaran dan theosis, dengan mengaitkan hukum dan injil serta persatuan dengan Kristus. Ini menunjukkan bahwa pembenaran tidak hanya merupakan tindakan hukum tetapi juga melibatkan hubungan perjanjian yang dinamis antara Tuhan dan manusia di dalam Kristus. Perjanjian yang dinamis di dalam Kristus ini mengakibatkan munculnya transformasi kehidupan di dalam diri orang percaya.</w:t>
      </w:r>
      <w:r w:rsidRPr="004A0C99">
        <w:rPr>
          <w:rStyle w:val="ReferensiCatatanKaki"/>
        </w:rPr>
        <w:footnoteReference w:id="26"/>
      </w:r>
      <w:r w:rsidRPr="004A0C99">
        <w:t xml:space="preserve"> Persatuan antara hukum dan Injil bukanlah persatuan yang kontradiktif, melainkan </w:t>
      </w:r>
      <w:r w:rsidRPr="004A0C99">
        <w:rPr>
          <w:i/>
          <w:iCs/>
        </w:rPr>
        <w:t xml:space="preserve">complimentary </w:t>
      </w:r>
      <w:r w:rsidRPr="004A0C99">
        <w:t xml:space="preserve">yang mengarah kepada kesatuan relasi kovenan. Hal tersebut membawa orang percaya mengalami status </w:t>
      </w:r>
      <w:r w:rsidRPr="004A0C99">
        <w:lastRenderedPageBreak/>
        <w:t>benar di hadapan Allah melalui Yesus Kristus dan ketaatanNya yang sempurna. Persatuan antara Allah dengan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4A0C99" w:rsidRDefault="004A0C99" w:rsidP="004A0C99">
      <w:pPr>
        <w:jc w:val="both"/>
        <w:rPr>
          <w:i/>
          <w:iCs/>
        </w:rPr>
      </w:pPr>
      <w:r w:rsidRPr="004A0C99">
        <w:rPr>
          <w:i/>
          <w:iCs/>
        </w:rPr>
        <w:t>Sintesis Teologis antara Teologi Kovenan dan Doktrin Justifikasi</w:t>
      </w:r>
    </w:p>
    <w:p w14:paraId="72E6295B" w14:textId="77777777" w:rsidR="004A0C99" w:rsidRPr="004A0C99" w:rsidRDefault="004A0C99" w:rsidP="004A0C99">
      <w:pPr>
        <w:jc w:val="both"/>
      </w:pPr>
      <w:r w:rsidRPr="004A0C99">
        <w:rPr>
          <w:i/>
          <w:iCs/>
        </w:rPr>
        <w:tab/>
      </w:r>
      <w:r w:rsidRPr="004A0C99">
        <w:t>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adalah melalui darah Kristus.</w:t>
      </w:r>
      <w:r w:rsidRPr="004A0C99">
        <w:rPr>
          <w:rStyle w:val="ReferensiCatatanKaki"/>
        </w:rPr>
        <w:footnoteReference w:id="27"/>
      </w:r>
      <w:r w:rsidRPr="004A0C99">
        <w:t xml:space="preserve"> Yesus secara sukarela menggantikan posisi manusia yang semestinya menerima murka Allah akibat dosa dan pelanggarannya. Penggantian posisi ini mengakibatkan hukuman Allah ditimpakan kepada Yesus, sementara itu kebenaran Kristus ditimpakan kepada orang percaya. Penggantian posisi ini menegaskan bahwa pembenaran di hadapan Allah ialah hasil karya keselamatan Yesus Kristus semata, bukan berasal dari daya upaya manusia. Darah Yesus menjadi penjamin posisi benar manusia di hadapan Allah. 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hal ini, era perjanjian baru dimulai di dalam Yesus.</w:t>
      </w:r>
      <w:r w:rsidRPr="004A0C99">
        <w:rPr>
          <w:rStyle w:val="ReferensiCatatanKaki"/>
        </w:rPr>
        <w:footnoteReference w:id="28"/>
      </w:r>
      <w:r w:rsidRPr="004A0C99">
        <w:t xml:space="preserve"> Hukum Taurat memiliki tuntutan yang sempurna dimana kutuk akan menimpa manusia yang tidak melakukan hukum Taurat secara sempurna (Ulangan 27:26). Di satu sisi, kondisi keberdosaan manusia mengakibatkan manusia tidak dimungkinkan untuk mentaati hukum Taurat secara sempurna. Dengan demikian, manusia semestinya menerima kutukan dari Allah. Namun, Yesus menggantikan posisi manusia dengan jalan menerima kutukan tersebut melalui pengorbananNya dan kematianNya di kayu salib. Melalui pengorbanan Yesus, orang percaya tidak menerima kutuk Allah melainkan menerima kebenaran Allah. Hal tersebut menandakan bahwa era perjanjian baru dimulai di dalam Yesus Kristus. Oleh karena itu, 2 Korintus 5:21 memberikan bukti yang kuat bahwa justifikasi merupakan puncak dari pemenuhan janji kovenan di dalam Kristus bagi orang percaya. </w:t>
      </w:r>
    </w:p>
    <w:p w14:paraId="02CD74A2" w14:textId="77777777" w:rsidR="004A0C99" w:rsidRPr="004A0C99" w:rsidRDefault="004A0C99" w:rsidP="004A0C99">
      <w:pPr>
        <w:jc w:val="both"/>
      </w:pPr>
      <w:r w:rsidRPr="004A0C99">
        <w:tab/>
        <w:t xml:space="preserve">Yesus Kristus merupakan pemenuh dari kovenan baru. Yesus berperan aktif untuk menanggung kovenan lama dimana hal tersebut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w:t>
      </w:r>
      <w:r w:rsidRPr="004A0C99">
        <w:lastRenderedPageBreak/>
        <w:t>ketaatan aktif-Nya dan menanggung sanksi kovenan kerja – yang gagal ditaati oleh manusia melalui penderitaanNya di kayu salib, sehingga orang percaya memperoleh berkat kovenan berupa adopsi sebagai anak bagi umat Allah.</w:t>
      </w:r>
      <w:r w:rsidRPr="004A0C99">
        <w:rPr>
          <w:rStyle w:val="ReferensiCatatanKaki"/>
        </w:rPr>
        <w:footnoteReference w:id="29"/>
      </w:r>
      <w:r w:rsidRPr="004A0C99">
        <w:t xml:space="preserve"> Inkarnasi Yesus dan ketaatanNya di dalam kehidupanNya selama di dunia ini merupakan pemenuh dari kovenan kerja. Selain itu, Yesus juga menanggung sanksi kovenan kerja yang gagal ditaati oleh manusia karena kondisi </w:t>
      </w:r>
      <w:r w:rsidRPr="004A0C99">
        <w:rPr>
          <w:i/>
          <w:iCs/>
        </w:rPr>
        <w:t>total depravity</w:t>
      </w:r>
      <w:r w:rsidRPr="004A0C99">
        <w:t>nya. Melalui penderitaanNya di kayu salib, orang percaya menerima kovenan yang baru. Orang percaya dinyatakan sebagai umat Allah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kovenan lama. Kovenan Baru ini tidak hanya membandingkan 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ReferensiCatatanKaki"/>
        </w:rPr>
        <w:footnoteReference w:id="30"/>
      </w:r>
      <w:r w:rsidRPr="004A0C99">
        <w:t xml:space="preserve"> Yesus menjadi rekonsiliator dalam hubungan antara Allah dengan manusia yang telah terpisah oleh dosa. Di dalam kovenan baru, Yesus memberikan sebuah harapan bagi manusia yang telah rusak oleh dosa. Pengorbanan Yesus untuk menanggung dosa membawa pendamaian bagi manusia yang terpisah dengan Allah karena dosa. Melalui Yesus sebagai mediator, umat Allah dapat memiliki hubungan yang intim dan harmonis. Hubungan tersebut merupakan berkat dari kovenan yang baru. Dengan demikian, Yesus Kristus merpuakan representasi kovenan baru yang menanggung konsekuensi kutuk kovenan lama sehingga orang percaya menerima pembenaran di dalam kovenan yang baru oleh Kristus.</w:t>
      </w:r>
    </w:p>
    <w:p w14:paraId="1F0025F9" w14:textId="77777777" w:rsidR="004A0C99" w:rsidRPr="004A0C99" w:rsidRDefault="004A0C99" w:rsidP="004A0C99">
      <w:pPr>
        <w:jc w:val="both"/>
      </w:pPr>
    </w:p>
    <w:p w14:paraId="63BD80FF" w14:textId="77777777" w:rsidR="004A0C99" w:rsidRPr="004A0C99" w:rsidRDefault="004A0C99" w:rsidP="004A0C99">
      <w:pPr>
        <w:jc w:val="both"/>
        <w:rPr>
          <w:i/>
          <w:iCs/>
        </w:rPr>
      </w:pPr>
      <w:r w:rsidRPr="004A0C99">
        <w:rPr>
          <w:i/>
          <w:iCs/>
        </w:rPr>
        <w:t>Implikasi Teologis dan Dogmatis</w:t>
      </w:r>
    </w:p>
    <w:p w14:paraId="780AA8AD" w14:textId="77777777" w:rsidR="004A0C99" w:rsidRPr="004A0C99" w:rsidRDefault="004A0C99" w:rsidP="004A0C99">
      <w:pPr>
        <w:jc w:val="both"/>
      </w:pPr>
      <w:r w:rsidRPr="004A0C99">
        <w:rPr>
          <w:i/>
          <w:iCs/>
        </w:rPr>
        <w:tab/>
      </w:r>
      <w:r w:rsidRPr="004A0C99">
        <w:t>Sintesis teologi kovenan dan doktrin justifikasi dalam terang 2 Kkorintus 5:21 memberikan implikasi teologis dan dogmatis yang kuat untuk meneguhkan imputasi ganda sebagai hasil relasional kovenantal. Imputasi ganda memberikan konfirmasi tegas mengenai kebenaran Kristus bagi orang percaya di hadapan Allah. Kaligis dan Manogu menyatakan bahwa Imputasi ganda menegaskan bahwa kebenaran Kristus diperhitungkan kepada orang percaya, dan dosa-dosa mereka diperhitungkan kepada Kristus. Hal ini dipandang sebagai pemenuhan keadilan ilahi, dengan iman bertindak sebagai alat yang melaluinya orang percaya dibenarkan oleh rahmat Allah.</w:t>
      </w:r>
      <w:r w:rsidRPr="004A0C99">
        <w:rPr>
          <w:rStyle w:val="ReferensiCatatanKaki"/>
        </w:rPr>
        <w:footnoteReference w:id="31"/>
      </w:r>
      <w:r w:rsidRPr="004A0C99">
        <w:t xml:space="preserve"> Melalui struktur kovenan, imputasi ganda ini menekankan keagungan peran Yesus Kristus sebagai Adam ke dua yang menggenapi kovenan kerja secara sempurna atas nama orang percaya. Dalam hal ini, kebenaran Kristus secara legal dan forensik diperhitungkan kepada orang percaya yang telah dipersatukan menjadi umat perjanjian melalui iman kepada Yesus Kristus. lebih lanjut lagi, peran Yesus Kristus dalam membenarkan orang percaya tidak lepas dari kesempurnaan ketaatanNya. Purwonugroho, Halawa dan Panggabean menyatakan bahwa kebenaran Kristus diperhitungkan kepada manusia karena ketaatan Yesus Kristus di kayu salib secara sempurna mewakili manusia. Ketaatan Yesus membawa orang percaya mengalami hubungan kembali </w:t>
      </w:r>
      <w:r w:rsidRPr="004A0C99">
        <w:lastRenderedPageBreak/>
        <w:t>dengan Allah di dalam keharmonisan dan kebenaran.</w:t>
      </w:r>
      <w:r w:rsidRPr="004A0C99">
        <w:rPr>
          <w:rStyle w:val="ReferensiCatatanKaki"/>
        </w:rPr>
        <w:footnoteReference w:id="32"/>
      </w:r>
      <w:r w:rsidRPr="004A0C99">
        <w:t xml:space="preserve"> Hal tersebut membawa umat percaya menjadi umat perjanjian baru di hadapan Allah. Ketaatan Yesus Kristus yang sempurna membawa pendamaian bagi Allah sehingga orang percaya kini dapat hidup secara harmonis dengan Allah melalui Yesus Kristus. Oleh karena itu, sintesis teologi kovenan dan doktrin justifikasi dalam terang 2 Korintus 5:21 menegaskan konsep imputasi ganda sebagai hasil dari relasi kovenantal.</w:t>
      </w:r>
    </w:p>
    <w:p w14:paraId="4BF5E038" w14:textId="77777777" w:rsidR="004A0C99" w:rsidRPr="004A0C99" w:rsidRDefault="004A0C99" w:rsidP="004A0C99">
      <w:pPr>
        <w:jc w:val="both"/>
      </w:pPr>
      <w:r w:rsidRPr="004A0C99">
        <w:tab/>
        <w:t>Sintesis teologi kovenan dan doktrin justifikasi dalam terang 2 Korintus 5:21 juga memberikan penguatan pemahaman tentang justifikasi. Justifikasi tidak hanya sekedar dipandang sebagai status forensik, melainkan juga justifikasi dipandang sebagai realitas relasional dan perjanjian. Justifikasi secara forensik menegaskan sebuah deklarasi kebenaran di dalam teologi Kristen. Nessan menyatakan bahwa Justifikasi sebagai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ReferensiCatatanKaki"/>
        </w:rPr>
        <w:footnoteReference w:id="33"/>
      </w:r>
      <w:r w:rsidRPr="004A0C99">
        <w:t xml:space="preserve"> Melalui penebusan Yesus Kristus bagi orang percaya, orang percaya dideklarasikan benar di hadapan Allah. Deklarasi benar ini tidak melibatkan sedikitpun daya upaya manusia untuk dinyatakan benar. Deklarasi justifikasi ini semata-mata dan sepenuhnya ialah hasil upaya eksternal yaitu upaya Yesus Kristus semata dalam membenarkan orang percaya melalui karya salibNya. Di satu sisi, justifikasi juga dipandang sebagai realitas relasional Allah dengan manusia orang percaya. Simut menyatakan bahwa Justifikasi sebagai realitas relasional antara manusia dengan Allah menekankan status kekal dan janji ilahi yang menghubungkan manusia dengan Allah melalui iman kepada Kristus.</w:t>
      </w:r>
      <w:r w:rsidRPr="004A0C99">
        <w:rPr>
          <w:rStyle w:val="ReferensiCatatanKaki"/>
        </w:rPr>
        <w:footnoteReference w:id="34"/>
      </w:r>
      <w:r w:rsidRPr="004A0C99">
        <w:t xml:space="preserve"> Melalui penebusan Yesus Kristus, orang percaya kembali memiliki hubungan yang harmonis dengan Allah. Penebusan Yesus Kristus meniadakan permusuhan antara Allah dengan manusia karena dosa Adam. Melalui penebusan Yesus Kristus, orang percaya dideklarasikan sebagai orang benar. Deklarasi justifikasi tersebut membawa orang percaya memiliki hubungan yang harmonis dan mendalam dengan Allah. Hal tersebut dapat dialami melalui iman kepada Yesus Kristus. Selain itu, justifikasi juga dipandang memiliki realitas perjanjian. </w:t>
      </w:r>
    </w:p>
    <w:p w14:paraId="32A7A96C" w14:textId="77777777" w:rsidR="004A0C99" w:rsidRPr="004A0C99" w:rsidRDefault="004A0C99" w:rsidP="004A0C99">
      <w:pPr>
        <w:ind w:firstLine="720"/>
        <w:jc w:val="both"/>
      </w:pPr>
      <w:r w:rsidRPr="004A0C99">
        <w:t>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korban memenuhi tuntutan hukum Taurat, sehingga memungkinkan orang percaya mewarisi berkat-berkat Perjanjian Baru.</w:t>
      </w:r>
      <w:r w:rsidRPr="004A0C99">
        <w:rPr>
          <w:rStyle w:val="ReferensiCatatanKaki"/>
        </w:rPr>
        <w:footnoteReference w:id="35"/>
      </w:r>
      <w:r w:rsidRPr="004A0C99">
        <w:t xml:space="preserve"> Justifikasi dalam konteks kovenan menegaskan bahwa Allah membenarkan orang percaya melalui ketaatan Yesus Kristus dan pengorbananNya di kayu salib. Manusia tidak dapat dinyatakan benar melalui ketaatan manusia yang tidak sempurna di dalam kovena kerja yaitu Hukum Taurat. Melalui kepatuhan Yesus Kristus mewakili umat manusia secara sempurna, orang percaya beroleh beroleh berkat-berkat perjajian baru. Melalui ketaatan Yesus Kristus, orang percaya juga dipersatukan menjadi umat perjanjian Allah. Oleh karena itu, sintesis teologi kovenan dan doktrin justifikasi dalam terang 2 </w:t>
      </w:r>
      <w:r w:rsidRPr="004A0C99">
        <w:lastRenderedPageBreak/>
        <w:t>Korintus 5:21 memberikan penguatan mengenai justifikasi tidak hanya sebagai status forensik, melainkan realitas relasional dan realitas perjanjian.</w:t>
      </w:r>
    </w:p>
    <w:p w14:paraId="651B6F58" w14:textId="77777777" w:rsidR="004A0C99" w:rsidRPr="004A0C99" w:rsidRDefault="004A0C99" w:rsidP="004A0C99">
      <w:pPr>
        <w:jc w:val="both"/>
      </w:pPr>
    </w:p>
    <w:p w14:paraId="135ABFC8" w14:textId="77777777" w:rsidR="00C30472" w:rsidRPr="004A0C99" w:rsidRDefault="00C30472">
      <w:pPr>
        <w:jc w:val="both"/>
      </w:pPr>
    </w:p>
    <w:p w14:paraId="1B7C2636" w14:textId="77777777" w:rsidR="00C30472" w:rsidRPr="004A0C99" w:rsidRDefault="00000000">
      <w:pPr>
        <w:tabs>
          <w:tab w:val="left" w:pos="284"/>
        </w:tabs>
        <w:jc w:val="both"/>
        <w:rPr>
          <w:b/>
        </w:rPr>
      </w:pPr>
      <w:r w:rsidRPr="004A0C99">
        <w:rPr>
          <w:b/>
        </w:rPr>
        <w:t>KESIMPULAN</w:t>
      </w:r>
    </w:p>
    <w:p w14:paraId="227DEEE5" w14:textId="1ED212AA" w:rsidR="00C30472" w:rsidRPr="004A0C99" w:rsidRDefault="00000000" w:rsidP="004A0C99">
      <w:pPr>
        <w:tabs>
          <w:tab w:val="left" w:pos="284"/>
        </w:tabs>
        <w:jc w:val="both"/>
      </w:pPr>
      <w:r w:rsidRPr="004A0C99">
        <w:tab/>
      </w:r>
      <w:r w:rsidRPr="004A0C99">
        <w:tab/>
      </w:r>
      <w:r w:rsidR="004A0C99" w:rsidRPr="004A0C99">
        <w:t>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perjanjian lama. Melalui kematian Yesus, orang percaya yang menaruh iman kepada Yesus Kristus dinyatakan benar di hadapan Allah. Lebih lanjut lagi, 2 Korintus 5:21 memberikan landasan yang kuat untuk konstruksi sintesis teologi kovenan dan doktrin justifikasi tersebut. 2 Korintus 5:21 menegaskan bahwa Yesus merupakan pengganti posisi manusia berdosa. Yesus Kristus tidak memiliki dosa sedikitpun. Namun, Allah membuat Yesus menjadi kegenapan janji keselamatan dalam perjanjian lama untuk menanggung hukuman dosa. Sintesis teologi kovenan dan doktrin justifikasi melalui 2 Korintus 5:21 memberikan implikasi dogmatis dan teologis yang kuat. Sintesis tersebut meneguhkan imputasi ganda yaitu kebenaran Kristus yang diperhitungkan di dalam orang percaya sebagai hasil dari 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p>
    <w:p w14:paraId="74941A23" w14:textId="77777777" w:rsidR="004A0C99" w:rsidRPr="004A0C99" w:rsidRDefault="004A0C99" w:rsidP="004A0C99">
      <w:pPr>
        <w:tabs>
          <w:tab w:val="left" w:pos="284"/>
        </w:tabs>
        <w:jc w:val="both"/>
        <w:rPr>
          <w:b/>
        </w:rPr>
      </w:pPr>
    </w:p>
    <w:p w14:paraId="544295B7" w14:textId="77777777" w:rsidR="00C30472" w:rsidRPr="004A0C99" w:rsidRDefault="00000000">
      <w:pPr>
        <w:rPr>
          <w:b/>
        </w:rPr>
      </w:pPr>
      <w:r w:rsidRPr="004A0C99">
        <w:rPr>
          <w:b/>
        </w:rPr>
        <w:t xml:space="preserve">DAFTAR PUSTAKA </w:t>
      </w:r>
    </w:p>
    <w:p w14:paraId="70BBA407" w14:textId="77777777" w:rsidR="004A0C99" w:rsidRPr="004A0C99" w:rsidRDefault="004A0C99" w:rsidP="004A0C99">
      <w:pPr>
        <w:widowControl w:val="0"/>
        <w:autoSpaceDE w:val="0"/>
        <w:autoSpaceDN w:val="0"/>
        <w:adjustRightInd w:val="0"/>
        <w:ind w:left="480" w:hanging="480"/>
      </w:pPr>
      <w:r w:rsidRPr="004A0C99">
        <w:fldChar w:fldCharType="begin" w:fldLock="1"/>
      </w:r>
      <w:r w:rsidRPr="004A0C99">
        <w:instrText xml:space="preserve">ADDIN Mendeley Bibliography CSL_BIBLIOGRAPHY </w:instrText>
      </w:r>
      <w:r w:rsidRPr="004A0C99">
        <w:fldChar w:fldCharType="separate"/>
      </w:r>
      <w:r w:rsidRPr="004A0C99">
        <w:t xml:space="preserve">Asselt, Willem J. van. “Covenant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4A0C99">
      <w:pPr>
        <w:widowControl w:val="0"/>
        <w:autoSpaceDE w:val="0"/>
        <w:autoSpaceDN w:val="0"/>
        <w:adjustRightInd w:val="0"/>
        <w:ind w:left="480" w:hanging="480"/>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4A0C99">
      <w:pPr>
        <w:widowControl w:val="0"/>
        <w:autoSpaceDE w:val="0"/>
        <w:autoSpaceDN w:val="0"/>
        <w:adjustRightInd w:val="0"/>
        <w:ind w:left="480" w:hanging="480"/>
      </w:pPr>
      <w:r w:rsidRPr="004A0C99">
        <w:t xml:space="preserve">Comfort, Phillip W. </w:t>
      </w:r>
      <w:r w:rsidRPr="004A0C99">
        <w:rPr>
          <w:i/>
          <w:iCs/>
        </w:rPr>
        <w:t>1 Corinthians &amp; 2 Corinthians</w:t>
      </w:r>
      <w:r w:rsidRPr="004A0C99">
        <w:t>. Illinois: Tyndale House Publishers, 2009.</w:t>
      </w:r>
    </w:p>
    <w:p w14:paraId="38C3AF14" w14:textId="77777777" w:rsidR="004A0C99" w:rsidRPr="004A0C99" w:rsidRDefault="004A0C99" w:rsidP="004A0C99">
      <w:pPr>
        <w:widowControl w:val="0"/>
        <w:autoSpaceDE w:val="0"/>
        <w:autoSpaceDN w:val="0"/>
        <w:adjustRightInd w:val="0"/>
        <w:ind w:left="480" w:hanging="480"/>
      </w:pPr>
      <w:r w:rsidRPr="004A0C99">
        <w:t>Cosme De Moraes, L. “Justification by Faith in Galatians 2.15-21: An Exegetical Study.” North-West University, 2019.</w:t>
      </w:r>
    </w:p>
    <w:p w14:paraId="4620522E" w14:textId="77777777" w:rsidR="004A0C99" w:rsidRPr="004A0C99" w:rsidRDefault="004A0C99" w:rsidP="004A0C99">
      <w:pPr>
        <w:widowControl w:val="0"/>
        <w:autoSpaceDE w:val="0"/>
        <w:autoSpaceDN w:val="0"/>
        <w:adjustRightInd w:val="0"/>
        <w:ind w:left="480" w:hanging="480"/>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4A0C99">
      <w:pPr>
        <w:widowControl w:val="0"/>
        <w:autoSpaceDE w:val="0"/>
        <w:autoSpaceDN w:val="0"/>
        <w:adjustRightInd w:val="0"/>
        <w:ind w:left="480" w:hanging="480"/>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4A0C99">
      <w:pPr>
        <w:widowControl w:val="0"/>
        <w:autoSpaceDE w:val="0"/>
        <w:autoSpaceDN w:val="0"/>
        <w:adjustRightInd w:val="0"/>
        <w:ind w:left="480" w:hanging="480"/>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4A0C99">
      <w:pPr>
        <w:widowControl w:val="0"/>
        <w:autoSpaceDE w:val="0"/>
        <w:autoSpaceDN w:val="0"/>
        <w:adjustRightInd w:val="0"/>
        <w:ind w:left="480" w:hanging="480"/>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4A0C99">
      <w:pPr>
        <w:widowControl w:val="0"/>
        <w:autoSpaceDE w:val="0"/>
        <w:autoSpaceDN w:val="0"/>
        <w:adjustRightInd w:val="0"/>
        <w:ind w:left="480" w:hanging="480"/>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4A0C99">
      <w:pPr>
        <w:widowControl w:val="0"/>
        <w:autoSpaceDE w:val="0"/>
        <w:autoSpaceDN w:val="0"/>
        <w:adjustRightInd w:val="0"/>
        <w:ind w:left="480" w:hanging="480"/>
      </w:pPr>
      <w:r w:rsidRPr="004A0C99">
        <w:t xml:space="preserve">Hughes, R Kent. </w:t>
      </w:r>
      <w:r w:rsidRPr="004A0C99">
        <w:rPr>
          <w:i/>
          <w:iCs/>
        </w:rPr>
        <w:t>2 Corinthians</w:t>
      </w:r>
      <w:r w:rsidRPr="004A0C99">
        <w:t>. Wheaton, Illinois: Crossway Book, 2006.</w:t>
      </w:r>
    </w:p>
    <w:p w14:paraId="0D5E8518" w14:textId="77777777" w:rsidR="004A0C99" w:rsidRPr="004A0C99" w:rsidRDefault="004A0C99" w:rsidP="004A0C99">
      <w:pPr>
        <w:widowControl w:val="0"/>
        <w:autoSpaceDE w:val="0"/>
        <w:autoSpaceDN w:val="0"/>
        <w:adjustRightInd w:val="0"/>
        <w:ind w:left="480" w:hanging="480"/>
      </w:pPr>
      <w:r w:rsidRPr="004A0C99">
        <w:t xml:space="preserve">Hunter, D. J., J. Mccallum, and D. Howes. “Defining Exploratory-Descriptive Qualitative </w:t>
      </w:r>
      <w:r w:rsidRPr="004A0C99">
        <w:lastRenderedPageBreak/>
        <w:t xml:space="preserve">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4A0C99">
      <w:pPr>
        <w:widowControl w:val="0"/>
        <w:autoSpaceDE w:val="0"/>
        <w:autoSpaceDN w:val="0"/>
        <w:adjustRightInd w:val="0"/>
        <w:ind w:left="480" w:hanging="480"/>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4A0C99">
      <w:pPr>
        <w:widowControl w:val="0"/>
        <w:autoSpaceDE w:val="0"/>
        <w:autoSpaceDN w:val="0"/>
        <w:adjustRightInd w:val="0"/>
        <w:ind w:left="480" w:hanging="480"/>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4A0C99">
      <w:pPr>
        <w:widowControl w:val="0"/>
        <w:autoSpaceDE w:val="0"/>
        <w:autoSpaceDN w:val="0"/>
        <w:adjustRightInd w:val="0"/>
        <w:ind w:left="480" w:hanging="480"/>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4A0C99">
      <w:pPr>
        <w:widowControl w:val="0"/>
        <w:autoSpaceDE w:val="0"/>
        <w:autoSpaceDN w:val="0"/>
        <w:adjustRightInd w:val="0"/>
        <w:ind w:left="480" w:hanging="480"/>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4A0C99">
      <w:pPr>
        <w:widowControl w:val="0"/>
        <w:autoSpaceDE w:val="0"/>
        <w:autoSpaceDN w:val="0"/>
        <w:adjustRightInd w:val="0"/>
        <w:ind w:left="480" w:hanging="480"/>
      </w:pPr>
      <w:r w:rsidRPr="004A0C99">
        <w:t>Kumar, Ashwani. “The Relationship of the Old Covenant to the Everlasting Covenant.” Andrews University, 2016. https://doi.org/10.32597/theses/91/.</w:t>
      </w:r>
    </w:p>
    <w:p w14:paraId="59B81669" w14:textId="77777777" w:rsidR="004A0C99" w:rsidRPr="004A0C99" w:rsidRDefault="004A0C99" w:rsidP="004A0C99">
      <w:pPr>
        <w:widowControl w:val="0"/>
        <w:autoSpaceDE w:val="0"/>
        <w:autoSpaceDN w:val="0"/>
        <w:adjustRightInd w:val="0"/>
        <w:ind w:left="480" w:hanging="480"/>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4A0C99">
      <w:pPr>
        <w:widowControl w:val="0"/>
        <w:autoSpaceDE w:val="0"/>
        <w:autoSpaceDN w:val="0"/>
        <w:adjustRightInd w:val="0"/>
        <w:ind w:left="480" w:hanging="480"/>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4A0C99" w:rsidRDefault="004A0C99" w:rsidP="004A0C99">
      <w:pPr>
        <w:widowControl w:val="0"/>
        <w:autoSpaceDE w:val="0"/>
        <w:autoSpaceDN w:val="0"/>
        <w:adjustRightInd w:val="0"/>
        <w:ind w:left="480" w:hanging="480"/>
      </w:pPr>
      <w:r w:rsidRPr="004A0C99">
        <w:t xml:space="preserve">Purwonugroho, Daniel Pesah. “Integrasi Hukum Taurat Dalam Kerangka Total Depravity: Perspektif Teologi Kovenan Terhadap Pemahaman Dosa Dan Anugerah.” </w:t>
      </w:r>
      <w:r w:rsidRPr="004A0C99">
        <w:rPr>
          <w:i/>
          <w:iCs/>
        </w:rPr>
        <w:t>AGATHA: Jurnal Teologi Dan Pendidikan Kristiani</w:t>
      </w:r>
      <w:r w:rsidRPr="004A0C99">
        <w:t xml:space="preserve"> 1, no. 1 (2024): 1–18.</w:t>
      </w:r>
    </w:p>
    <w:p w14:paraId="383950A0" w14:textId="77777777" w:rsidR="004A0C99" w:rsidRPr="004A0C99" w:rsidRDefault="004A0C99" w:rsidP="004A0C99">
      <w:pPr>
        <w:widowControl w:val="0"/>
        <w:autoSpaceDE w:val="0"/>
        <w:autoSpaceDN w:val="0"/>
        <w:adjustRightInd w:val="0"/>
        <w:ind w:left="480" w:hanging="480"/>
      </w:pPr>
      <w:r w:rsidRPr="004A0C99">
        <w:t xml:space="preserve">———. “Studi Teologis Dogmatika Tritunggal Dalam Perspektif Teologi Kovenan Bagi Kehidupan Jemaat.” </w:t>
      </w:r>
      <w:r w:rsidRPr="004A0C99">
        <w:rPr>
          <w:i/>
          <w:iCs/>
        </w:rPr>
        <w:t>Antrophos: Jurnal Ilmiah Teologi Dan Pendidikan Agama Kristen</w:t>
      </w:r>
      <w:r w:rsidRPr="004A0C99">
        <w:t xml:space="preserve"> 1, no. 1 (2024): 43–54.</w:t>
      </w:r>
    </w:p>
    <w:p w14:paraId="09D6CBD7" w14:textId="77777777" w:rsidR="004A0C99" w:rsidRPr="004A0C99" w:rsidRDefault="004A0C99" w:rsidP="004A0C99">
      <w:pPr>
        <w:widowControl w:val="0"/>
        <w:autoSpaceDE w:val="0"/>
        <w:autoSpaceDN w:val="0"/>
        <w:adjustRightInd w:val="0"/>
        <w:ind w:left="480" w:hanging="480"/>
      </w:pPr>
      <w:r w:rsidRPr="004A0C99">
        <w:t xml:space="preserve">Purwonugroho, Daniel Pesah, Iman Kristina Halawa, and Saut Maruli P Panggabean. “Harmoni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4A0C99">
      <w:pPr>
        <w:widowControl w:val="0"/>
        <w:autoSpaceDE w:val="0"/>
        <w:autoSpaceDN w:val="0"/>
        <w:adjustRightInd w:val="0"/>
        <w:ind w:left="480" w:hanging="480"/>
      </w:pPr>
      <w:r w:rsidRPr="004A0C99">
        <w:t xml:space="preserve">Purwonugroho, Daniel Pesah, and Sonny Eli Zaluchu. “Janji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4A0C99">
      <w:pPr>
        <w:widowControl w:val="0"/>
        <w:autoSpaceDE w:val="0"/>
        <w:autoSpaceDN w:val="0"/>
        <w:adjustRightInd w:val="0"/>
        <w:ind w:left="480" w:hanging="480"/>
      </w:pPr>
      <w:r w:rsidRPr="004A0C99">
        <w:t xml:space="preserve">Ristiono, Yosua Budi, and Junio Richson Sirait. “Refleksi Teologi Kovenan Berdasarkan Kejadian 1-3 Dan Implikasinya Bagi Kehidupan Orang Percaya Masa Kini.” </w:t>
      </w:r>
      <w:r w:rsidRPr="004A0C99">
        <w:rPr>
          <w:i/>
          <w:iCs/>
        </w:rPr>
        <w:t>JURNAL KADESI</w:t>
      </w:r>
      <w:r w:rsidRPr="004A0C99">
        <w:t>, 2021. https://doi.org/10.54765/ejurnalkadesi.v3i2.9.</w:t>
      </w:r>
    </w:p>
    <w:p w14:paraId="3C10C622" w14:textId="77777777" w:rsidR="004A0C99" w:rsidRPr="004A0C99" w:rsidRDefault="004A0C99" w:rsidP="004A0C99">
      <w:pPr>
        <w:widowControl w:val="0"/>
        <w:autoSpaceDE w:val="0"/>
        <w:autoSpaceDN w:val="0"/>
        <w:adjustRightInd w:val="0"/>
        <w:ind w:left="480" w:hanging="480"/>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4A0C99">
      <w:pPr>
        <w:widowControl w:val="0"/>
        <w:autoSpaceDE w:val="0"/>
        <w:autoSpaceDN w:val="0"/>
        <w:adjustRightInd w:val="0"/>
        <w:ind w:left="480" w:hanging="480"/>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4A0C99">
      <w:pPr>
        <w:widowControl w:val="0"/>
        <w:autoSpaceDE w:val="0"/>
        <w:autoSpaceDN w:val="0"/>
        <w:adjustRightInd w:val="0"/>
        <w:ind w:left="480" w:hanging="480"/>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4A0C99">
      <w:pPr>
        <w:widowControl w:val="0"/>
        <w:autoSpaceDE w:val="0"/>
        <w:autoSpaceDN w:val="0"/>
        <w:adjustRightInd w:val="0"/>
        <w:ind w:left="480" w:hanging="480"/>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4A0C99">
      <w:pPr>
        <w:widowControl w:val="0"/>
        <w:autoSpaceDE w:val="0"/>
        <w:autoSpaceDN w:val="0"/>
        <w:adjustRightInd w:val="0"/>
        <w:ind w:left="480" w:hanging="480"/>
      </w:pPr>
      <w:r w:rsidRPr="004A0C99">
        <w:t xml:space="preserve">Vanhoozer, Kevin J. “Redemption Accomplished: Atonement.” In </w:t>
      </w:r>
      <w:r w:rsidRPr="004A0C99">
        <w:rPr>
          <w:i/>
          <w:iCs/>
        </w:rPr>
        <w:t>The Oxford Handbook of Reformed Theology</w:t>
      </w:r>
      <w:r w:rsidRPr="004A0C99">
        <w:t>, 473–96, 2020. https://doi.org/10.1093/oxfordhb/9780198723912.013.31.</w:t>
      </w:r>
    </w:p>
    <w:p w14:paraId="738E7FDC" w14:textId="77777777" w:rsidR="004A0C99" w:rsidRPr="004A0C99" w:rsidRDefault="004A0C99" w:rsidP="004A0C99">
      <w:pPr>
        <w:widowControl w:val="0"/>
        <w:autoSpaceDE w:val="0"/>
        <w:autoSpaceDN w:val="0"/>
        <w:adjustRightInd w:val="0"/>
        <w:ind w:left="480" w:hanging="480"/>
      </w:pPr>
      <w:r w:rsidRPr="004A0C99">
        <w:lastRenderedPageBreak/>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4A0C99">
      <w:pPr>
        <w:widowControl w:val="0"/>
        <w:autoSpaceDE w:val="0"/>
        <w:autoSpaceDN w:val="0"/>
        <w:adjustRightInd w:val="0"/>
        <w:ind w:left="480" w:hanging="480"/>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4A0C99">
      <w:pPr>
        <w:widowControl w:val="0"/>
        <w:autoSpaceDE w:val="0"/>
        <w:autoSpaceDN w:val="0"/>
        <w:adjustRightInd w:val="0"/>
        <w:ind w:left="480" w:hanging="480"/>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4A0C99">
      <w:pPr>
        <w:jc w:val="both"/>
      </w:pPr>
      <w:r w:rsidRPr="004A0C99">
        <w:fldChar w:fldCharType="end"/>
      </w:r>
    </w:p>
    <w:p w14:paraId="6B71F03F" w14:textId="77777777" w:rsidR="00C30472" w:rsidRDefault="00C30472" w:rsidP="004A0C99">
      <w:pPr>
        <w:shd w:val="clear" w:color="auto" w:fill="FFFFFF"/>
        <w:ind w:left="720" w:hanging="720"/>
      </w:pPr>
    </w:p>
    <w:sectPr w:rsidR="00C30472" w:rsidSect="004A0C99">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D70F" w14:textId="77777777" w:rsidR="00A47CAE" w:rsidRPr="004A0C99" w:rsidRDefault="00A47CAE">
      <w:r w:rsidRPr="004A0C99">
        <w:separator/>
      </w:r>
    </w:p>
  </w:endnote>
  <w:endnote w:type="continuationSeparator" w:id="0">
    <w:p w14:paraId="0348DD48" w14:textId="77777777" w:rsidR="00A47CAE" w:rsidRPr="004A0C99" w:rsidRDefault="00A47CAE">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47FC627-38D8-40F9-9D46-833095AF87FB}"/>
    <w:embedBold r:id="rId2" w:fontKey="{27F9A266-FC66-462E-8857-6F74FC55834B}"/>
  </w:font>
  <w:font w:name="Calibri">
    <w:panose1 w:val="020F0502020204030204"/>
    <w:charset w:val="00"/>
    <w:family w:val="swiss"/>
    <w:pitch w:val="variable"/>
    <w:sig w:usb0="E4002EFF" w:usb1="C200247B" w:usb2="00000009" w:usb3="00000000" w:csb0="000001FF" w:csb1="00000000"/>
    <w:embedRegular r:id="rId3" w:fontKey="{5E73413D-7260-45C0-B97F-FDEDAD6E6672}"/>
    <w:embedBold r:id="rId4" w:fontKey="{8C8D69EE-B8AE-4A9E-A121-D9833DC7E147}"/>
    <w:embedItalic r:id="rId5" w:fontKey="{64795306-E8CD-4830-80B6-2BF2D46626CF}"/>
  </w:font>
  <w:font w:name="Calisto MT">
    <w:panose1 w:val="02040603050505030304"/>
    <w:charset w:val="00"/>
    <w:family w:val="roman"/>
    <w:pitch w:val="variable"/>
    <w:sig w:usb0="00000003" w:usb1="00000000" w:usb2="00000000" w:usb3="00000000" w:csb0="00000001" w:csb1="00000000"/>
    <w:embedRegular r:id="rId6" w:fontKey="{8BB13F18-108E-41AB-AF44-BFDCA36A4E76}"/>
    <w:embedBold r:id="rId7" w:fontKey="{DED365C3-1A6B-497E-97B4-8859E94DE966}"/>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9C0D5E16-79D2-4443-9EC2-607500C6561E}"/>
    <w:embedItalic r:id="rId9" w:fontKey="{D74F1835-1E13-4708-B745-00D2432A4973}"/>
  </w:font>
  <w:font w:name="Lustria">
    <w:altName w:val="Calibri"/>
    <w:charset w:val="00"/>
    <w:family w:val="auto"/>
    <w:pitch w:val="default"/>
    <w:embedRegular r:id="rId10" w:fontKey="{2E94492C-0AF9-4B8D-B453-29C5809316CF}"/>
    <w:embedBold r:id="rId11" w:fontKey="{A823A721-5A8B-4B18-BF8F-CD926E08EB5C}"/>
    <w:embedItalic r:id="rId12" w:fontKey="{6BFDFA16-1731-408A-8450-09C2F37A903A}"/>
  </w:font>
  <w:font w:name="EB Garamond">
    <w:altName w:val="Calibri"/>
    <w:charset w:val="00"/>
    <w:family w:val="auto"/>
    <w:pitch w:val="variable"/>
    <w:sig w:usb0="E00002FF" w:usb1="02000413" w:usb2="00000000" w:usb3="00000000" w:csb0="0000019F" w:csb1="00000000"/>
    <w:embedRegular r:id="rId13" w:fontKey="{A81DF647-6ED8-43B7-BB04-59687C1DAD97}"/>
  </w:font>
  <w:font w:name="Cambria">
    <w:panose1 w:val="02040503050406030204"/>
    <w:charset w:val="00"/>
    <w:family w:val="roman"/>
    <w:pitch w:val="variable"/>
    <w:sig w:usb0="E00006FF" w:usb1="420024FF" w:usb2="02000000" w:usb3="00000000" w:csb0="0000019F" w:csb1="00000000"/>
    <w:embedRegular r:id="rId14" w:fontKey="{E685A92F-14FE-46C5-B27A-0FD5DC9916EE}"/>
    <w:embedBoldItalic r:id="rId15" w:fontKey="{A10D8383-D210-4CE9-ACCC-A9EC274141F5}"/>
  </w:font>
  <w:font w:name="Garamond">
    <w:panose1 w:val="02020404030301010803"/>
    <w:charset w:val="00"/>
    <w:family w:val="roman"/>
    <w:pitch w:val="variable"/>
    <w:sig w:usb0="00000287" w:usb1="00000000" w:usb2="00000000" w:usb3="00000000" w:csb0="0000009F" w:csb1="00000000"/>
    <w:embedRegular r:id="rId16" w:fontKey="{89F07FB6-B5B4-426C-B0D9-4F4133D988CA}"/>
  </w:font>
  <w:font w:name="Corben">
    <w:charset w:val="00"/>
    <w:family w:val="auto"/>
    <w:pitch w:val="default"/>
    <w:embedRegular r:id="rId17" w:fontKey="{9C83D2B0-98C5-4B3A-964E-4A4515AE9F67}"/>
  </w:font>
  <w:font w:name="Verdana">
    <w:panose1 w:val="020B0604030504040204"/>
    <w:charset w:val="00"/>
    <w:family w:val="swiss"/>
    <w:pitch w:val="variable"/>
    <w:sig w:usb0="A00006FF" w:usb1="4000205B" w:usb2="00000010" w:usb3="00000000" w:csb0="0000019F" w:csb1="00000000"/>
    <w:embedRegular r:id="rId18" w:fontKey="{D970D682-2568-4A30-B990-6233D3CC6174}"/>
    <w:embedBold r:id="rId19" w:fontKey="{84527D94-4EB9-49A9-874C-1ADB3ABFFA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4D57E" w14:textId="77777777" w:rsidR="00A47CAE" w:rsidRPr="004A0C99" w:rsidRDefault="00A47CAE">
      <w:r w:rsidRPr="004A0C99">
        <w:separator/>
      </w:r>
    </w:p>
  </w:footnote>
  <w:footnote w:type="continuationSeparator" w:id="0">
    <w:p w14:paraId="1229C6ED" w14:textId="77777777" w:rsidR="00A47CAE" w:rsidRPr="004A0C99" w:rsidRDefault="00A47CAE">
      <w:r w:rsidRPr="004A0C99">
        <w:continuationSeparator/>
      </w:r>
    </w:p>
  </w:footnote>
  <w:footnote w:id="1">
    <w:p w14:paraId="66769B6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2CD27B7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4">
    <w:p w14:paraId="21D67D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5">
    <w:p w14:paraId="688B7E6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6">
    <w:p w14:paraId="4A7C08EF"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7">
    <w:p w14:paraId="136F8D6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8">
    <w:p w14:paraId="39911E7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9">
    <w:p w14:paraId="0F4B420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20">
    <w:p w14:paraId="552FFAB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21">
    <w:p w14:paraId="2CB28D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2">
    <w:p w14:paraId="58F148EF"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3">
    <w:p w14:paraId="3B87F00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4">
    <w:p w14:paraId="691062BB"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5">
    <w:p w14:paraId="34A89B7E"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6">
    <w:p w14:paraId="4361F868"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7">
    <w:p w14:paraId="20837A23"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8">
    <w:p w14:paraId="6EF147B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9">
    <w:p w14:paraId="3958F765"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30">
    <w:p w14:paraId="2517B54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31">
    <w:p w14:paraId="199271F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2">
    <w:p w14:paraId="222AA5F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3">
    <w:p w14:paraId="592CAB2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4">
    <w:p w14:paraId="21AF9F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5">
    <w:p w14:paraId="698CE6B7" w14:textId="77777777" w:rsidR="004A0C99" w:rsidRPr="00D735A4"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273E5A" w:rsidRPr="004A0C99">
      <w:rPr>
        <w:rFonts w:ascii="Garamond" w:eastAsia="Garamond" w:hAnsi="Garamond" w:cs="Garamond"/>
        <w:color w:val="000000"/>
        <w:sz w:val="22"/>
        <w:szCs w:val="22"/>
      </w:rPr>
      <w:t>8</w:t>
    </w:r>
    <w:r w:rsidRPr="004A0C99">
      <w:rPr>
        <w:rFonts w:ascii="Garamond" w:eastAsia="Garamond" w:hAnsi="Garamond" w:cs="Garamond"/>
        <w:color w:val="000000"/>
        <w:sz w:val="22"/>
        <w:szCs w:val="22"/>
      </w:rPr>
      <w:t xml:space="preserve">, Nomor </w:t>
    </w:r>
    <w:r w:rsidR="00273E5A" w:rsidRPr="004A0C99">
      <w:rPr>
        <w:rFonts w:ascii="Garamond" w:eastAsia="Garamond" w:hAnsi="Garamond" w:cs="Garamond"/>
        <w:color w:val="000000"/>
        <w:sz w:val="22"/>
        <w:szCs w:val="22"/>
      </w:rPr>
      <w:t>2</w:t>
    </w:r>
    <w:r w:rsidRPr="004A0C99">
      <w:rPr>
        <w:rFonts w:ascii="Garamond" w:eastAsia="Garamond" w:hAnsi="Garamond" w:cs="Garamond"/>
        <w:color w:val="000000"/>
        <w:sz w:val="22"/>
        <w:szCs w:val="22"/>
      </w:rPr>
      <w:t>, (</w:t>
    </w:r>
    <w:r w:rsidR="00273E5A" w:rsidRPr="004A0C99">
      <w:rPr>
        <w:rFonts w:ascii="Garamond" w:eastAsia="Garamond" w:hAnsi="Garamond" w:cs="Garamond"/>
        <w:color w:val="000000"/>
        <w:sz w:val="22"/>
        <w:szCs w:val="22"/>
      </w:rPr>
      <w:t>Februari</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E711E"/>
    <w:rsid w:val="00273E5A"/>
    <w:rsid w:val="00307A38"/>
    <w:rsid w:val="00353E95"/>
    <w:rsid w:val="003A4350"/>
    <w:rsid w:val="004A0C99"/>
    <w:rsid w:val="00656974"/>
    <w:rsid w:val="00887A9F"/>
    <w:rsid w:val="009F4195"/>
    <w:rsid w:val="00A47CAE"/>
    <w:rsid w:val="00AE35FD"/>
    <w:rsid w:val="00B66877"/>
    <w:rsid w:val="00C12A14"/>
    <w:rsid w:val="00C30472"/>
    <w:rsid w:val="00CB166E"/>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4A0C99"/>
    <w:rPr>
      <w:rFonts w:eastAsiaTheme="minorHAnsi" w:cstheme="minorBidi"/>
      <w:noProof/>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4A0C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7129</Words>
  <Characters>40639</Characters>
  <Application>Microsoft Office Word</Application>
  <DocSecurity>0</DocSecurity>
  <Lines>338</Lines>
  <Paragraphs>95</Paragraphs>
  <ScaleCrop>false</ScaleCrop>
  <Company/>
  <LinksUpToDate>false</LinksUpToDate>
  <CharactersWithSpaces>47673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4</cp:revision>
  <dcterms:created xsi:type="dcterms:W3CDTF">2026-06-08T06:38:00Z</dcterms:created>
  <dcterms:modified xsi:type="dcterms:W3CDTF">2026-06-09T04:33:00Z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