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Pr="004A0C99"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sidRPr="004A0C99">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rsidRPr="004A0C99" w14:paraId="709FEF72" w14:textId="77777777" w:rsidTr="00B66877">
        <w:tc>
          <w:tcPr>
            <w:tcW w:w="8789" w:type="dxa"/>
            <w:gridSpan w:val="2"/>
            <w:tcBorders>
              <w:top w:val="single" w:sz="4" w:space="0" w:color="000000"/>
              <w:bottom w:val="single" w:sz="4" w:space="0" w:color="000000"/>
            </w:tcBorders>
          </w:tcPr>
          <w:p w14:paraId="045B5D8E" w14:textId="0A99E6F6" w:rsidR="00C30472" w:rsidRPr="007A27DB" w:rsidRDefault="00000000">
            <w:pPr>
              <w:pBdr>
                <w:top w:val="nil"/>
                <w:left w:val="nil"/>
                <w:bottom w:val="nil"/>
                <w:right w:val="nil"/>
                <w:between w:val="nil"/>
              </w:pBdr>
              <w:spacing w:line="276" w:lineRule="auto"/>
              <w:ind w:left="34"/>
              <w:jc w:val="center"/>
              <w:rPr>
                <w:rFonts w:eastAsia="Times New Roman"/>
                <w:b/>
                <w:i/>
                <w:color w:val="000000"/>
                <w:sz w:val="36"/>
                <w:szCs w:val="36"/>
                <w:lang w:val="da-DK"/>
              </w:rPr>
            </w:pPr>
            <w:r w:rsidRPr="007A27DB">
              <w:rPr>
                <w:rFonts w:eastAsia="Times New Roman"/>
                <w:b/>
                <w:i/>
                <w:color w:val="000000"/>
                <w:sz w:val="36"/>
                <w:szCs w:val="36"/>
                <w:lang w:val="da-DK"/>
              </w:rPr>
              <w:t>Jurnal Arrabona: Jurnal Teologi dan Misi</w:t>
            </w:r>
            <w:r w:rsidRPr="007A27DB">
              <w:rPr>
                <w:rFonts w:eastAsia="Times New Roman"/>
                <w:b/>
                <w:i/>
                <w:color w:val="000000"/>
                <w:sz w:val="28"/>
                <w:szCs w:val="28"/>
                <w:lang w:val="da-DK"/>
              </w:rPr>
              <w:tab/>
            </w:r>
          </w:p>
          <w:p w14:paraId="4020B9F2" w14:textId="2B42DDA6" w:rsidR="00C30472" w:rsidRPr="004A0C99" w:rsidRDefault="00F903B5">
            <w:pPr>
              <w:pBdr>
                <w:top w:val="nil"/>
                <w:left w:val="nil"/>
                <w:bottom w:val="nil"/>
                <w:right w:val="nil"/>
                <w:between w:val="nil"/>
              </w:pBdr>
              <w:spacing w:line="276" w:lineRule="auto"/>
              <w:ind w:left="4678"/>
              <w:rPr>
                <w:rFonts w:eastAsia="Times New Roman"/>
                <w:color w:val="000000"/>
                <w:sz w:val="2"/>
                <w:szCs w:val="2"/>
                <w:highlight w:val="black"/>
              </w:rPr>
            </w:pPr>
            <w:r w:rsidRPr="004A0C99">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Pr="004A0C99" w:rsidRDefault="00000000">
                                  <w:pPr>
                                    <w:jc w:val="center"/>
                                    <w:textDirection w:val="btLr"/>
                                  </w:pPr>
                                  <w:r w:rsidRPr="004A0C99">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Pr="004A0C99" w:rsidRDefault="00000000">
                            <w:pPr>
                              <w:jc w:val="center"/>
                              <w:textDirection w:val="btLr"/>
                            </w:pPr>
                            <w:r w:rsidRPr="004A0C99">
                              <w:rPr>
                                <w:rFonts w:ascii="Georgia" w:eastAsia="Georgia" w:hAnsi="Georgia" w:cs="Georgia"/>
                                <w:color w:val="000000"/>
                                <w:sz w:val="28"/>
                              </w:rPr>
                              <w:t>Sekolah Tinggi Teologi Arrabona Bogor</w:t>
                            </w:r>
                          </w:p>
                        </w:txbxContent>
                      </v:textbox>
                    </v:rect>
                  </w:pict>
                </mc:Fallback>
              </mc:AlternateContent>
            </w:r>
            <w:r w:rsidRPr="004A0C99">
              <w:rPr>
                <w:rFonts w:eastAsia="Times New Roman"/>
                <w:color w:val="000000"/>
              </w:rPr>
              <w:t>ISSN 2622-5433 (Print)</w:t>
            </w:r>
            <w:r w:rsidRPr="004A0C99">
              <w:rPr>
                <w:rFonts w:eastAsia="Times New Roman"/>
                <w:color w:val="000000"/>
                <w:sz w:val="2"/>
                <w:szCs w:val="2"/>
                <w:highlight w:val="black"/>
              </w:rPr>
              <w:t xml:space="preserve"> </w:t>
            </w:r>
          </w:p>
          <w:p w14:paraId="428A5CF2" w14:textId="77777777" w:rsidR="00C30472" w:rsidRPr="004A0C99" w:rsidRDefault="00000000">
            <w:pPr>
              <w:pBdr>
                <w:top w:val="nil"/>
                <w:left w:val="nil"/>
                <w:bottom w:val="nil"/>
                <w:right w:val="nil"/>
                <w:between w:val="nil"/>
              </w:pBdr>
              <w:spacing w:line="276" w:lineRule="auto"/>
              <w:ind w:left="4678"/>
              <w:rPr>
                <w:rFonts w:eastAsia="Times New Roman"/>
                <w:color w:val="000000"/>
                <w:sz w:val="2"/>
                <w:szCs w:val="2"/>
                <w:highlight w:val="black"/>
              </w:rPr>
            </w:pPr>
            <w:r w:rsidRPr="004A0C99">
              <w:rPr>
                <w:rFonts w:eastAsia="Times New Roman"/>
                <w:color w:val="000000"/>
              </w:rPr>
              <w:t>ISSN 2962-391X (Online)</w:t>
            </w:r>
            <w:r w:rsidRPr="004A0C99">
              <w:rPr>
                <w:rFonts w:eastAsia="Times New Roman"/>
                <w:color w:val="000000"/>
                <w:sz w:val="2"/>
                <w:szCs w:val="2"/>
                <w:highlight w:val="black"/>
              </w:rPr>
              <w:t xml:space="preserve"> </w:t>
            </w:r>
          </w:p>
          <w:p w14:paraId="511C7632" w14:textId="77777777" w:rsidR="00C30472" w:rsidRPr="004A0C99"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sidRPr="004A0C99">
                <w:rPr>
                  <w:rFonts w:ascii="Lustria" w:eastAsia="Lustria" w:hAnsi="Lustria" w:cs="Lustria"/>
                  <w:color w:val="0000FF"/>
                  <w:sz w:val="20"/>
                  <w:szCs w:val="20"/>
                  <w:u w:val="single"/>
                </w:rPr>
                <w:t>https://jurnal.sttarrabona.ac.id/JurnalSTTA/</w:t>
              </w:r>
            </w:hyperlink>
          </w:p>
          <w:p w14:paraId="4BEF448A" w14:textId="7D17F5F6" w:rsidR="00C30472" w:rsidRPr="004A0C99" w:rsidRDefault="00000000">
            <w:pPr>
              <w:pBdr>
                <w:top w:val="nil"/>
                <w:left w:val="nil"/>
                <w:bottom w:val="nil"/>
                <w:right w:val="nil"/>
                <w:between w:val="nil"/>
              </w:pBdr>
              <w:spacing w:line="276" w:lineRule="auto"/>
              <w:ind w:left="4678"/>
              <w:rPr>
                <w:rFonts w:eastAsia="Times New Roman"/>
                <w:color w:val="000000"/>
              </w:rPr>
            </w:pPr>
            <w:r w:rsidRPr="004A0C99">
              <w:rPr>
                <w:rFonts w:eastAsia="Times New Roman"/>
                <w:color w:val="000000"/>
              </w:rPr>
              <w:t>Vol.</w:t>
            </w:r>
            <w:r w:rsidR="00AE35FD" w:rsidRPr="004A0C99">
              <w:t>8</w:t>
            </w:r>
            <w:r w:rsidRPr="004A0C99">
              <w:rPr>
                <w:rFonts w:eastAsia="Times New Roman"/>
                <w:color w:val="000000"/>
              </w:rPr>
              <w:t>, No.</w:t>
            </w:r>
            <w:r w:rsidR="00273E5A" w:rsidRPr="004A0C99">
              <w:rPr>
                <w:rFonts w:eastAsia="Times New Roman"/>
                <w:color w:val="000000"/>
              </w:rPr>
              <w:t>2</w:t>
            </w:r>
            <w:r w:rsidR="00F903B5" w:rsidRPr="004A0C99">
              <w:rPr>
                <w:rFonts w:eastAsia="Times New Roman"/>
                <w:color w:val="000000"/>
              </w:rPr>
              <w:t>,</w:t>
            </w:r>
            <w:r w:rsidRPr="004A0C99">
              <w:rPr>
                <w:rFonts w:eastAsia="Times New Roman"/>
                <w:color w:val="000000"/>
              </w:rPr>
              <w:t xml:space="preserve"> </w:t>
            </w:r>
            <w:r w:rsidR="00273E5A" w:rsidRPr="004A0C99">
              <w:rPr>
                <w:rFonts w:eastAsia="Times New Roman"/>
                <w:color w:val="000000"/>
              </w:rPr>
              <w:t>Februari</w:t>
            </w:r>
            <w:r w:rsidRPr="004A0C99">
              <w:rPr>
                <w:rFonts w:eastAsia="Times New Roman"/>
                <w:color w:val="000000"/>
              </w:rPr>
              <w:t xml:space="preserve"> 202</w:t>
            </w:r>
            <w:r w:rsidR="00273E5A" w:rsidRPr="004A0C99">
              <w:t>6</w:t>
            </w:r>
          </w:p>
        </w:tc>
        <w:tc>
          <w:tcPr>
            <w:tcW w:w="20" w:type="dxa"/>
            <w:tcBorders>
              <w:top w:val="single" w:sz="4" w:space="0" w:color="000000"/>
              <w:bottom w:val="single" w:sz="4" w:space="0" w:color="000000"/>
            </w:tcBorders>
          </w:tcPr>
          <w:p w14:paraId="35253CF2" w14:textId="77777777" w:rsidR="00C30472" w:rsidRPr="004A0C99"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rsidRPr="007A27DB" w14:paraId="1324C549" w14:textId="77777777" w:rsidTr="00B66877">
        <w:trPr>
          <w:gridAfter w:val="1"/>
          <w:wAfter w:w="20" w:type="dxa"/>
        </w:trPr>
        <w:tc>
          <w:tcPr>
            <w:tcW w:w="8789" w:type="dxa"/>
            <w:gridSpan w:val="2"/>
            <w:tcBorders>
              <w:top w:val="single" w:sz="4" w:space="0" w:color="000000"/>
              <w:bottom w:val="single" w:sz="4" w:space="0" w:color="000000"/>
            </w:tcBorders>
          </w:tcPr>
          <w:p w14:paraId="5A6EA0FD" w14:textId="25B2D532" w:rsidR="004A0C99" w:rsidRPr="00544730" w:rsidRDefault="007A27DB" w:rsidP="00544730">
            <w:pPr>
              <w:jc w:val="center"/>
              <w:rPr>
                <w:b/>
                <w:bCs/>
                <w:i/>
                <w:color w:val="000000"/>
                <w:sz w:val="32"/>
                <w:szCs w:val="32"/>
                <w:lang w:val="da-DK"/>
              </w:rPr>
            </w:pPr>
            <w:r w:rsidRPr="00544730">
              <w:rPr>
                <w:b/>
                <w:bCs/>
                <w:sz w:val="32"/>
                <w:szCs w:val="32"/>
                <w:lang w:val="da-DK"/>
              </w:rPr>
              <w:t>Sintesis Teologi Kovenan dan Doktrin Justifikasi Berdasarkan 2 Korintus 5:21: Sebuah Konstruksi Teologis dalam Perspektif Kovenantal</w:t>
            </w:r>
          </w:p>
          <w:p w14:paraId="6E0D6691" w14:textId="77777777" w:rsidR="004A0C99" w:rsidRPr="007A27DB" w:rsidRDefault="004A0C99" w:rsidP="004A0C99">
            <w:pPr>
              <w:jc w:val="center"/>
              <w:rPr>
                <w:rFonts w:ascii="Lustria" w:eastAsia="Lustria" w:hAnsi="Lustria" w:cs="Lustria"/>
                <w:color w:val="000000"/>
                <w:sz w:val="18"/>
                <w:szCs w:val="18"/>
                <w:lang w:val="da-DK"/>
              </w:rPr>
            </w:pPr>
          </w:p>
        </w:tc>
      </w:tr>
      <w:tr w:rsidR="00C30472" w:rsidRPr="004A0C99"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7A27DB" w:rsidRDefault="00C30472">
            <w:pPr>
              <w:pBdr>
                <w:top w:val="nil"/>
                <w:left w:val="nil"/>
                <w:bottom w:val="nil"/>
                <w:right w:val="nil"/>
                <w:between w:val="nil"/>
              </w:pBdr>
              <w:rPr>
                <w:rFonts w:ascii="Lustria" w:eastAsia="Lustria" w:hAnsi="Lustria" w:cs="Lustria"/>
                <w:b/>
                <w:color w:val="000000"/>
                <w:sz w:val="36"/>
                <w:szCs w:val="36"/>
                <w:vertAlign w:val="subscript"/>
                <w:lang w:val="da-DK"/>
              </w:rPr>
            </w:pPr>
          </w:p>
          <w:p w14:paraId="1DB267A8" w14:textId="77777777" w:rsidR="00C30472" w:rsidRPr="007A27DB" w:rsidRDefault="00C30472">
            <w:pPr>
              <w:pBdr>
                <w:top w:val="nil"/>
                <w:left w:val="nil"/>
                <w:bottom w:val="nil"/>
                <w:right w:val="nil"/>
                <w:between w:val="nil"/>
              </w:pBdr>
              <w:rPr>
                <w:rFonts w:ascii="Lustria" w:eastAsia="Lustria" w:hAnsi="Lustria" w:cs="Lustria"/>
                <w:b/>
                <w:color w:val="000000"/>
                <w:sz w:val="36"/>
                <w:szCs w:val="36"/>
                <w:vertAlign w:val="subscript"/>
                <w:lang w:val="da-DK"/>
              </w:rPr>
            </w:pPr>
          </w:p>
          <w:p w14:paraId="603F5027" w14:textId="77777777" w:rsidR="00C30472" w:rsidRPr="007A27DB" w:rsidRDefault="00C30472">
            <w:pPr>
              <w:pBdr>
                <w:top w:val="nil"/>
                <w:left w:val="nil"/>
                <w:bottom w:val="nil"/>
                <w:right w:val="nil"/>
                <w:between w:val="nil"/>
              </w:pBdr>
              <w:rPr>
                <w:rFonts w:ascii="Lustria" w:eastAsia="Lustria" w:hAnsi="Lustria" w:cs="Lustria"/>
                <w:b/>
                <w:color w:val="000000"/>
                <w:sz w:val="36"/>
                <w:szCs w:val="36"/>
                <w:vertAlign w:val="subscript"/>
                <w:lang w:val="da-DK"/>
              </w:rPr>
            </w:pPr>
          </w:p>
          <w:p w14:paraId="77F2C3E1" w14:textId="77777777" w:rsidR="00C30472" w:rsidRPr="007A27DB" w:rsidRDefault="00C30472">
            <w:pPr>
              <w:pBdr>
                <w:top w:val="nil"/>
                <w:left w:val="nil"/>
                <w:bottom w:val="nil"/>
                <w:right w:val="nil"/>
                <w:between w:val="nil"/>
              </w:pBdr>
              <w:rPr>
                <w:rFonts w:ascii="Lustria" w:eastAsia="Lustria" w:hAnsi="Lustria" w:cs="Lustria"/>
                <w:b/>
                <w:color w:val="000000"/>
                <w:sz w:val="36"/>
                <w:szCs w:val="36"/>
                <w:vertAlign w:val="subscript"/>
                <w:lang w:val="da-DK"/>
              </w:rPr>
            </w:pPr>
          </w:p>
          <w:p w14:paraId="3751752B" w14:textId="77777777" w:rsidR="00C30472" w:rsidRPr="007A27DB" w:rsidRDefault="00C30472">
            <w:pPr>
              <w:pBdr>
                <w:top w:val="nil"/>
                <w:left w:val="nil"/>
                <w:bottom w:val="nil"/>
                <w:right w:val="nil"/>
                <w:between w:val="nil"/>
              </w:pBdr>
              <w:rPr>
                <w:rFonts w:ascii="Lustria" w:eastAsia="Lustria" w:hAnsi="Lustria" w:cs="Lustria"/>
                <w:b/>
                <w:color w:val="000000"/>
                <w:sz w:val="36"/>
                <w:szCs w:val="36"/>
                <w:vertAlign w:val="subscript"/>
                <w:lang w:val="da-DK"/>
              </w:rPr>
            </w:pPr>
          </w:p>
          <w:p w14:paraId="4B08B1C9" w14:textId="77777777" w:rsidR="00C30472" w:rsidRPr="007A27DB" w:rsidRDefault="00C30472">
            <w:pPr>
              <w:pBdr>
                <w:top w:val="nil"/>
                <w:left w:val="nil"/>
                <w:bottom w:val="nil"/>
                <w:right w:val="nil"/>
                <w:between w:val="nil"/>
              </w:pBdr>
              <w:rPr>
                <w:rFonts w:ascii="Lustria" w:eastAsia="Lustria" w:hAnsi="Lustria" w:cs="Lustria"/>
                <w:b/>
                <w:color w:val="000000"/>
                <w:sz w:val="36"/>
                <w:szCs w:val="36"/>
                <w:vertAlign w:val="subscript"/>
                <w:lang w:val="da-DK"/>
              </w:rPr>
            </w:pPr>
          </w:p>
          <w:p w14:paraId="27994A95" w14:textId="77777777" w:rsidR="00C30472" w:rsidRPr="007A27DB" w:rsidRDefault="00000000">
            <w:pPr>
              <w:pBdr>
                <w:top w:val="nil"/>
                <w:left w:val="nil"/>
                <w:bottom w:val="nil"/>
                <w:right w:val="nil"/>
                <w:between w:val="nil"/>
              </w:pBdr>
              <w:rPr>
                <w:rFonts w:ascii="Lustria" w:eastAsia="Lustria" w:hAnsi="Lustria" w:cs="Lustria"/>
                <w:color w:val="000000"/>
                <w:sz w:val="36"/>
                <w:szCs w:val="36"/>
                <w:vertAlign w:val="subscript"/>
                <w:lang w:val="da-DK"/>
              </w:rPr>
            </w:pPr>
            <w:r w:rsidRPr="007A27DB">
              <w:rPr>
                <w:rFonts w:ascii="Lustria" w:eastAsia="Lustria" w:hAnsi="Lustria" w:cs="Lustria"/>
                <w:b/>
                <w:color w:val="000000"/>
                <w:sz w:val="36"/>
                <w:szCs w:val="36"/>
                <w:vertAlign w:val="subscript"/>
                <w:lang w:val="da-DK"/>
              </w:rPr>
              <w:t>INFO ARTIKEL</w:t>
            </w:r>
          </w:p>
          <w:p w14:paraId="3ECEF272" w14:textId="03122D4B" w:rsidR="00C30472" w:rsidRPr="007A27DB" w:rsidRDefault="00000000">
            <w:pPr>
              <w:pBdr>
                <w:top w:val="nil"/>
                <w:left w:val="nil"/>
                <w:bottom w:val="nil"/>
                <w:right w:val="nil"/>
                <w:between w:val="nil"/>
              </w:pBdr>
              <w:spacing w:line="276" w:lineRule="auto"/>
              <w:rPr>
                <w:rFonts w:ascii="Lustria" w:eastAsia="Lustria" w:hAnsi="Lustria" w:cs="Lustria"/>
                <w:color w:val="000000"/>
                <w:sz w:val="20"/>
                <w:szCs w:val="20"/>
                <w:lang w:val="da-DK"/>
              </w:rPr>
            </w:pPr>
            <w:r w:rsidRPr="007A27DB">
              <w:rPr>
                <w:rFonts w:ascii="Lustria" w:eastAsia="Lustria" w:hAnsi="Lustria" w:cs="Lustria"/>
                <w:color w:val="000000"/>
                <w:sz w:val="20"/>
                <w:szCs w:val="20"/>
                <w:lang w:val="da-DK"/>
              </w:rPr>
              <w:t>____________________</w:t>
            </w:r>
          </w:p>
          <w:p w14:paraId="2437E1B9" w14:textId="77777777" w:rsidR="00C30472" w:rsidRPr="007A27DB" w:rsidRDefault="00000000" w:rsidP="00273E5A">
            <w:pPr>
              <w:pBdr>
                <w:top w:val="nil"/>
                <w:left w:val="nil"/>
                <w:bottom w:val="nil"/>
                <w:right w:val="nil"/>
                <w:between w:val="nil"/>
              </w:pBdr>
              <w:rPr>
                <w:rFonts w:eastAsia="Times New Roman"/>
                <w:color w:val="000000"/>
                <w:sz w:val="36"/>
                <w:szCs w:val="36"/>
                <w:vertAlign w:val="subscript"/>
                <w:lang w:val="da-DK"/>
              </w:rPr>
            </w:pPr>
            <w:r w:rsidRPr="007A27DB">
              <w:rPr>
                <w:rFonts w:eastAsia="Times New Roman"/>
                <w:i/>
                <w:color w:val="000000"/>
                <w:sz w:val="36"/>
                <w:szCs w:val="36"/>
                <w:vertAlign w:val="subscript"/>
                <w:lang w:val="da-DK"/>
              </w:rPr>
              <w:t>Sejarah Artikel:</w:t>
            </w:r>
          </w:p>
          <w:p w14:paraId="0EDB35AD" w14:textId="440B6432" w:rsidR="00C30472" w:rsidRPr="007A27DB" w:rsidRDefault="00000000" w:rsidP="00273E5A">
            <w:pPr>
              <w:pBdr>
                <w:top w:val="nil"/>
                <w:left w:val="nil"/>
                <w:bottom w:val="nil"/>
                <w:right w:val="nil"/>
                <w:between w:val="nil"/>
              </w:pBdr>
              <w:rPr>
                <w:rFonts w:eastAsia="Times New Roman"/>
                <w:color w:val="000000"/>
                <w:sz w:val="36"/>
                <w:szCs w:val="36"/>
                <w:vertAlign w:val="subscript"/>
                <w:lang w:val="da-DK"/>
              </w:rPr>
            </w:pPr>
            <w:r w:rsidRPr="007A27DB">
              <w:rPr>
                <w:rFonts w:eastAsia="Times New Roman"/>
                <w:color w:val="000000"/>
                <w:sz w:val="36"/>
                <w:szCs w:val="36"/>
                <w:vertAlign w:val="subscript"/>
                <w:lang w:val="da-DK"/>
              </w:rPr>
              <w:t xml:space="preserve">Diterima: </w:t>
            </w:r>
            <w:r w:rsidR="00273E5A" w:rsidRPr="007A27DB">
              <w:rPr>
                <w:rFonts w:eastAsia="Times New Roman"/>
                <w:color w:val="000000"/>
                <w:sz w:val="36"/>
                <w:szCs w:val="36"/>
                <w:vertAlign w:val="subscript"/>
                <w:lang w:val="da-DK"/>
              </w:rPr>
              <w:t>00/11/</w:t>
            </w:r>
            <w:r w:rsidRPr="007A27DB">
              <w:rPr>
                <w:rFonts w:eastAsia="Times New Roman"/>
                <w:color w:val="000000"/>
                <w:sz w:val="36"/>
                <w:szCs w:val="36"/>
                <w:vertAlign w:val="subscript"/>
                <w:lang w:val="da-DK"/>
              </w:rPr>
              <w:t>202</w:t>
            </w:r>
            <w:r w:rsidR="00273E5A" w:rsidRPr="007A27DB">
              <w:rPr>
                <w:rFonts w:eastAsia="Times New Roman"/>
                <w:color w:val="000000"/>
                <w:sz w:val="36"/>
                <w:szCs w:val="36"/>
                <w:vertAlign w:val="subscript"/>
                <w:lang w:val="da-DK"/>
              </w:rPr>
              <w:t>6</w:t>
            </w:r>
          </w:p>
          <w:p w14:paraId="0AA6DB8F" w14:textId="65D3D03A" w:rsidR="00C30472" w:rsidRPr="004A0C99" w:rsidRDefault="00000000" w:rsidP="00273E5A">
            <w:pPr>
              <w:pBdr>
                <w:top w:val="nil"/>
                <w:left w:val="nil"/>
                <w:bottom w:val="nil"/>
                <w:right w:val="nil"/>
                <w:between w:val="nil"/>
              </w:pBdr>
              <w:rPr>
                <w:rFonts w:eastAsia="Times New Roman"/>
                <w:color w:val="000000"/>
                <w:sz w:val="36"/>
                <w:szCs w:val="36"/>
                <w:vertAlign w:val="subscript"/>
              </w:rPr>
            </w:pPr>
            <w:r w:rsidRPr="004A0C99">
              <w:rPr>
                <w:rFonts w:eastAsia="Times New Roman"/>
                <w:color w:val="000000"/>
                <w:sz w:val="36"/>
                <w:szCs w:val="36"/>
                <w:vertAlign w:val="subscript"/>
              </w:rPr>
              <w:t xml:space="preserve">Direvisi: </w:t>
            </w:r>
            <w:r w:rsidR="00273E5A" w:rsidRPr="004A0C99">
              <w:rPr>
                <w:rFonts w:eastAsia="Times New Roman"/>
                <w:color w:val="000000"/>
                <w:sz w:val="36"/>
                <w:szCs w:val="36"/>
                <w:vertAlign w:val="subscript"/>
              </w:rPr>
              <w:t>11/01/</w:t>
            </w:r>
            <w:r w:rsidRPr="004A0C99">
              <w:rPr>
                <w:rFonts w:eastAsia="Times New Roman"/>
                <w:color w:val="000000"/>
                <w:sz w:val="36"/>
                <w:szCs w:val="36"/>
                <w:vertAlign w:val="subscript"/>
              </w:rPr>
              <w:t>202</w:t>
            </w:r>
            <w:r w:rsidR="00273E5A" w:rsidRPr="004A0C99">
              <w:rPr>
                <w:rFonts w:eastAsia="Times New Roman"/>
                <w:color w:val="000000"/>
                <w:sz w:val="36"/>
                <w:szCs w:val="36"/>
                <w:vertAlign w:val="subscript"/>
              </w:rPr>
              <w:t>6</w:t>
            </w:r>
          </w:p>
          <w:p w14:paraId="3E41A8C8" w14:textId="2AB3136B" w:rsidR="00C30472" w:rsidRPr="004A0C99" w:rsidRDefault="00000000" w:rsidP="00273E5A">
            <w:pPr>
              <w:pBdr>
                <w:top w:val="nil"/>
                <w:left w:val="nil"/>
                <w:bottom w:val="nil"/>
                <w:right w:val="nil"/>
                <w:between w:val="nil"/>
              </w:pBdr>
              <w:rPr>
                <w:rFonts w:eastAsia="Times New Roman"/>
                <w:color w:val="000000"/>
                <w:sz w:val="33"/>
                <w:szCs w:val="33"/>
                <w:vertAlign w:val="subscript"/>
              </w:rPr>
            </w:pPr>
            <w:r w:rsidRPr="004A0C99">
              <w:rPr>
                <w:rFonts w:eastAsia="Times New Roman"/>
                <w:color w:val="000000"/>
                <w:sz w:val="33"/>
                <w:szCs w:val="33"/>
                <w:vertAlign w:val="subscript"/>
              </w:rPr>
              <w:t xml:space="preserve">Disetujui: </w:t>
            </w:r>
            <w:r w:rsidR="00273E5A" w:rsidRPr="004A0C99">
              <w:rPr>
                <w:rFonts w:eastAsia="Times New Roman"/>
                <w:color w:val="000000"/>
                <w:sz w:val="33"/>
                <w:szCs w:val="33"/>
                <w:vertAlign w:val="subscript"/>
              </w:rPr>
              <w:t>01/02/</w:t>
            </w:r>
            <w:r w:rsidRPr="004A0C99">
              <w:rPr>
                <w:rFonts w:eastAsia="Times New Roman"/>
                <w:color w:val="000000"/>
                <w:sz w:val="33"/>
                <w:szCs w:val="33"/>
                <w:vertAlign w:val="subscript"/>
              </w:rPr>
              <w:t>202</w:t>
            </w:r>
            <w:r w:rsidR="00273E5A" w:rsidRPr="004A0C99">
              <w:rPr>
                <w:rFonts w:eastAsia="Times New Roman"/>
                <w:color w:val="000000"/>
                <w:sz w:val="33"/>
                <w:szCs w:val="33"/>
                <w:vertAlign w:val="subscript"/>
              </w:rPr>
              <w:t>6</w:t>
            </w:r>
          </w:p>
          <w:p w14:paraId="77F4E475" w14:textId="423F8DA9" w:rsidR="00C30472" w:rsidRPr="004A0C99" w:rsidRDefault="00000000" w:rsidP="00273E5A">
            <w:pPr>
              <w:pBdr>
                <w:top w:val="nil"/>
                <w:left w:val="nil"/>
                <w:bottom w:val="nil"/>
                <w:right w:val="nil"/>
                <w:between w:val="nil"/>
              </w:pBdr>
              <w:rPr>
                <w:rFonts w:eastAsia="Times New Roman"/>
                <w:color w:val="000000"/>
                <w:sz w:val="33"/>
                <w:szCs w:val="33"/>
                <w:vertAlign w:val="subscript"/>
              </w:rPr>
            </w:pPr>
            <w:r w:rsidRPr="004A0C99">
              <w:rPr>
                <w:rFonts w:eastAsia="Times New Roman"/>
                <w:color w:val="000000"/>
                <w:sz w:val="33"/>
                <w:szCs w:val="33"/>
                <w:vertAlign w:val="subscript"/>
              </w:rPr>
              <w:t xml:space="preserve">Dipublikasi: </w:t>
            </w:r>
            <w:r w:rsidR="00273E5A" w:rsidRPr="004A0C99">
              <w:rPr>
                <w:rFonts w:eastAsia="Times New Roman"/>
                <w:color w:val="000000"/>
                <w:sz w:val="33"/>
                <w:szCs w:val="33"/>
                <w:vertAlign w:val="subscript"/>
              </w:rPr>
              <w:t>28/01/</w:t>
            </w:r>
            <w:r w:rsidRPr="004A0C99">
              <w:rPr>
                <w:rFonts w:eastAsia="Times New Roman"/>
                <w:color w:val="000000"/>
                <w:sz w:val="33"/>
                <w:szCs w:val="33"/>
                <w:vertAlign w:val="subscript"/>
              </w:rPr>
              <w:t>202</w:t>
            </w:r>
            <w:r w:rsidR="00273E5A" w:rsidRPr="004A0C99">
              <w:rPr>
                <w:rFonts w:eastAsia="Times New Roman"/>
                <w:color w:val="000000"/>
                <w:sz w:val="33"/>
                <w:szCs w:val="33"/>
                <w:vertAlign w:val="subscript"/>
              </w:rPr>
              <w:t>5</w:t>
            </w:r>
          </w:p>
          <w:p w14:paraId="08ED5A9D" w14:textId="6B60454C" w:rsidR="00C30472" w:rsidRPr="004A0C99" w:rsidRDefault="00000000">
            <w:pPr>
              <w:pBdr>
                <w:top w:val="nil"/>
                <w:left w:val="nil"/>
                <w:bottom w:val="nil"/>
                <w:right w:val="nil"/>
                <w:between w:val="nil"/>
              </w:pBdr>
              <w:spacing w:line="276" w:lineRule="auto"/>
              <w:rPr>
                <w:rFonts w:ascii="Lustria" w:eastAsia="Lustria" w:hAnsi="Lustria" w:cs="Lustria"/>
                <w:color w:val="000000"/>
                <w:sz w:val="16"/>
                <w:szCs w:val="16"/>
              </w:rPr>
            </w:pPr>
            <w:r w:rsidRPr="004A0C99">
              <w:rPr>
                <w:rFonts w:ascii="Lustria" w:eastAsia="Lustria" w:hAnsi="Lustria" w:cs="Lustria"/>
                <w:color w:val="000000"/>
                <w:sz w:val="16"/>
                <w:szCs w:val="16"/>
              </w:rPr>
              <w:t>_________________________</w:t>
            </w:r>
          </w:p>
          <w:p w14:paraId="14B9E120" w14:textId="77777777" w:rsidR="00C30472" w:rsidRPr="004A0C99"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7A27DB" w:rsidRDefault="00000000">
            <w:pPr>
              <w:pBdr>
                <w:top w:val="nil"/>
                <w:left w:val="nil"/>
                <w:bottom w:val="nil"/>
                <w:right w:val="nil"/>
                <w:between w:val="nil"/>
              </w:pBdr>
              <w:spacing w:line="276" w:lineRule="auto"/>
              <w:rPr>
                <w:rFonts w:ascii="Lustria" w:eastAsia="Lustria" w:hAnsi="Lustria" w:cs="Lustria"/>
                <w:color w:val="000000"/>
                <w:lang w:val="da-DK"/>
              </w:rPr>
            </w:pPr>
            <w:r w:rsidRPr="007A27DB">
              <w:rPr>
                <w:rFonts w:ascii="Lustria" w:eastAsia="Lustria" w:hAnsi="Lustria" w:cs="Lustria"/>
                <w:b/>
                <w:color w:val="000000"/>
                <w:sz w:val="36"/>
                <w:szCs w:val="36"/>
                <w:vertAlign w:val="subscript"/>
                <w:lang w:val="da-DK"/>
              </w:rPr>
              <w:t>ABSTRAK</w:t>
            </w:r>
          </w:p>
          <w:p w14:paraId="3A146C76" w14:textId="6E2943CD" w:rsidR="003A4350" w:rsidRPr="00544730" w:rsidRDefault="00000000">
            <w:pPr>
              <w:pBdr>
                <w:top w:val="nil"/>
                <w:left w:val="nil"/>
                <w:bottom w:val="nil"/>
                <w:right w:val="nil"/>
                <w:between w:val="nil"/>
              </w:pBdr>
              <w:jc w:val="both"/>
              <w:rPr>
                <w:sz w:val="22"/>
                <w:szCs w:val="22"/>
                <w:lang w:val="da-DK"/>
              </w:rPr>
            </w:pPr>
            <w:r w:rsidRPr="007A27DB">
              <w:rPr>
                <w:rFonts w:ascii="Lustria" w:eastAsia="Lustria" w:hAnsi="Lustria" w:cs="Lustria"/>
                <w:color w:val="000000"/>
                <w:sz w:val="20"/>
                <w:szCs w:val="20"/>
                <w:lang w:val="da-DK"/>
              </w:rPr>
              <w:t>_____________________________________________________________</w:t>
            </w:r>
            <w:r w:rsidR="004A0C99" w:rsidRPr="007A27DB">
              <w:rPr>
                <w:lang w:val="da-DK"/>
              </w:rPr>
              <w:t xml:space="preserve"> </w:t>
            </w:r>
            <w:r w:rsidR="004A0C99" w:rsidRPr="00544730">
              <w:rPr>
                <w:sz w:val="22"/>
                <w:szCs w:val="22"/>
                <w:lang w:val="da-DK"/>
              </w:rPr>
              <w:t xml:space="preserve">Doktrin justifikasi menekankan pembenaran orang percaya melalui iman kepada Yesus Kristus. Di satu sisi, teologi kovenan menekankan dinamika relasi antara Allah dengan manusia sepanjang Alkitab </w:t>
            </w:r>
            <w:r w:rsidR="007B77E0" w:rsidRPr="00544730">
              <w:rPr>
                <w:sz w:val="22"/>
                <w:szCs w:val="22"/>
                <w:lang w:val="da-DK"/>
              </w:rPr>
              <w:t>berdasarkan</w:t>
            </w:r>
            <w:r w:rsidR="004A0C99" w:rsidRPr="00544730">
              <w:rPr>
                <w:sz w:val="22"/>
                <w:szCs w:val="22"/>
                <w:lang w:val="da-DK"/>
              </w:rPr>
              <w:t xml:space="preserve"> teologi kovenan tersebut berpuncak pada pribadi dan karya Yesus Kristus. 2 Korintus 5:21 menegaskan Yesus adalah pribadi yang tidak berdosa. Namun, Allah menjadikan Yesus sebagai “Anak Domba Allah” dalam rangka penggenapan janji keselamatan dalam perjanjian lama. </w:t>
            </w:r>
            <w:r w:rsidR="004A0C99" w:rsidRPr="00544730">
              <w:rPr>
                <w:sz w:val="22"/>
                <w:szCs w:val="22"/>
              </w:rPr>
              <w:t xml:space="preserve">Melalui kematian Yesus atas dosa manusia, orang percaya diperdamaikan dengan Allah. </w:t>
            </w:r>
            <w:r w:rsidR="007B77E0" w:rsidRPr="00544730">
              <w:rPr>
                <w:sz w:val="22"/>
                <w:szCs w:val="22"/>
                <w:lang w:val="da-DK"/>
              </w:rPr>
              <w:t>Artikel</w:t>
            </w:r>
            <w:r w:rsidR="007A27DB" w:rsidRPr="00544730">
              <w:rPr>
                <w:sz w:val="22"/>
                <w:szCs w:val="22"/>
                <w:lang w:val="da-DK"/>
              </w:rPr>
              <w:t xml:space="preserve"> ini bertujuan untuk </w:t>
            </w:r>
            <w:r w:rsidR="007B77E0" w:rsidRPr="00544730">
              <w:rPr>
                <w:sz w:val="22"/>
                <w:szCs w:val="22"/>
                <w:lang w:val="da-DK"/>
              </w:rPr>
              <w:t xml:space="preserve">menyintesiskan </w:t>
            </w:r>
            <w:r w:rsidR="007A27DB" w:rsidRPr="00544730">
              <w:rPr>
                <w:sz w:val="22"/>
                <w:szCs w:val="22"/>
                <w:lang w:val="da-DK"/>
              </w:rPr>
              <w:t xml:space="preserve">teologi kovenan dan doktrin justifikasi dalam terang 2 </w:t>
            </w:r>
            <w:r w:rsidR="00544730">
              <w:rPr>
                <w:sz w:val="22"/>
                <w:szCs w:val="22"/>
                <w:lang w:val="da-DK"/>
              </w:rPr>
              <w:t>Korintus</w:t>
            </w:r>
            <w:r w:rsidR="007A27DB" w:rsidRPr="00544730">
              <w:rPr>
                <w:sz w:val="22"/>
                <w:szCs w:val="22"/>
                <w:lang w:val="da-DK"/>
              </w:rPr>
              <w:t xml:space="preserve"> 5:21. </w:t>
            </w:r>
            <w:r w:rsidR="004A0C99" w:rsidRPr="00544730">
              <w:rPr>
                <w:sz w:val="22"/>
                <w:szCs w:val="22"/>
                <w:lang w:val="da-DK"/>
              </w:rPr>
              <w:t xml:space="preserve">Melalui pendekatan kualitatif deskriptif, penulis akan melakukan sintesis teologi kovenan dan doktrin justifikasi dengan menggunakan 2 Korintus 5:21 sebagai landasannya. </w:t>
            </w:r>
            <w:r w:rsidR="007A27DB" w:rsidRPr="00544730">
              <w:rPr>
                <w:sz w:val="22"/>
                <w:szCs w:val="22"/>
                <w:lang w:val="da-DK"/>
              </w:rPr>
              <w:t>Hasil utama penelitian ini</w:t>
            </w:r>
            <w:r w:rsidR="004A0C99" w:rsidRPr="00544730">
              <w:rPr>
                <w:sz w:val="22"/>
                <w:szCs w:val="22"/>
                <w:lang w:val="da-DK"/>
              </w:rPr>
              <w:t xml:space="preserve"> menegaskan bahwa 2 Korintus 5:21 memberikan sebuah landasan teologis yang solid untuk melakukan sintesis teologi kovenan dan doktrin justifikasi. </w:t>
            </w:r>
            <w:r w:rsidR="007B77E0" w:rsidRPr="00544730">
              <w:rPr>
                <w:sz w:val="22"/>
                <w:szCs w:val="22"/>
                <w:lang w:val="da-DK"/>
              </w:rPr>
              <w:t>Artikel</w:t>
            </w:r>
            <w:r w:rsidR="004A0C99" w:rsidRPr="00544730">
              <w:rPr>
                <w:sz w:val="22"/>
                <w:szCs w:val="22"/>
                <w:lang w:val="da-DK"/>
              </w:rPr>
              <w:t xml:space="preserve"> ini memberikan kebaruan pendekatan</w:t>
            </w:r>
            <w:r w:rsidR="00544730">
              <w:rPr>
                <w:sz w:val="22"/>
                <w:szCs w:val="22"/>
                <w:lang w:val="da-DK"/>
              </w:rPr>
              <w:t>,</w:t>
            </w:r>
            <w:r w:rsidR="004A0C99" w:rsidRPr="00544730">
              <w:rPr>
                <w:sz w:val="22"/>
                <w:szCs w:val="22"/>
                <w:lang w:val="da-DK"/>
              </w:rPr>
              <w:t xml:space="preserve"> yaitu penggabungan kerangka hermeneutis-kovenantal untuk membangun sintesis doktrinal. Selain itu, </w:t>
            </w:r>
            <w:r w:rsidR="00544730">
              <w:rPr>
                <w:sz w:val="22"/>
                <w:szCs w:val="22"/>
                <w:lang w:val="da-DK"/>
              </w:rPr>
              <w:t>artikel</w:t>
            </w:r>
            <w:r w:rsidR="004A0C99" w:rsidRPr="00544730">
              <w:rPr>
                <w:sz w:val="22"/>
                <w:szCs w:val="22"/>
                <w:lang w:val="da-DK"/>
              </w:rPr>
              <w:t xml:space="preserve"> ini memberikan kontribusi untuk menawarkan model sintesis yang memperkuat pemahaman soteriologi secara holistik dari perspektif hermenetika dan sistematika.</w:t>
            </w:r>
          </w:p>
          <w:p w14:paraId="1D3E9357" w14:textId="51B210E8" w:rsidR="00C30472" w:rsidRPr="007A27DB" w:rsidRDefault="00000000">
            <w:pPr>
              <w:pBdr>
                <w:top w:val="nil"/>
                <w:left w:val="nil"/>
                <w:bottom w:val="nil"/>
                <w:right w:val="nil"/>
                <w:between w:val="nil"/>
              </w:pBdr>
              <w:spacing w:line="276" w:lineRule="auto"/>
              <w:jc w:val="both"/>
              <w:rPr>
                <w:rFonts w:eastAsia="Times New Roman"/>
                <w:color w:val="000000"/>
                <w:sz w:val="22"/>
                <w:szCs w:val="22"/>
                <w:lang w:val="da-DK"/>
              </w:rPr>
            </w:pPr>
            <w:r w:rsidRPr="007A27DB">
              <w:rPr>
                <w:rFonts w:eastAsia="Times New Roman"/>
                <w:color w:val="000000"/>
                <w:sz w:val="22"/>
                <w:szCs w:val="22"/>
                <w:lang w:val="da-DK"/>
              </w:rPr>
              <w:t>_________________________________________________</w:t>
            </w:r>
            <w:r w:rsidR="00544730">
              <w:rPr>
                <w:rFonts w:eastAsia="Times New Roman"/>
                <w:color w:val="000000"/>
                <w:sz w:val="22"/>
                <w:szCs w:val="22"/>
                <w:lang w:val="da-DK"/>
              </w:rPr>
              <w:t>___________</w:t>
            </w:r>
          </w:p>
          <w:p w14:paraId="04A73A90" w14:textId="77777777" w:rsidR="00C30472" w:rsidRPr="007A27DB" w:rsidRDefault="00000000">
            <w:pPr>
              <w:pBdr>
                <w:top w:val="nil"/>
                <w:left w:val="nil"/>
                <w:bottom w:val="nil"/>
                <w:right w:val="nil"/>
                <w:between w:val="nil"/>
              </w:pBdr>
              <w:rPr>
                <w:rFonts w:eastAsia="Times New Roman"/>
                <w:b/>
                <w:i/>
                <w:color w:val="000000"/>
                <w:sz w:val="22"/>
                <w:szCs w:val="22"/>
                <w:lang w:val="da-DK"/>
              </w:rPr>
            </w:pPr>
            <w:r w:rsidRPr="007A27DB">
              <w:rPr>
                <w:rFonts w:eastAsia="Times New Roman"/>
                <w:b/>
                <w:i/>
                <w:color w:val="000000"/>
                <w:sz w:val="22"/>
                <w:szCs w:val="22"/>
                <w:lang w:val="da-DK"/>
              </w:rPr>
              <w:t>Kata Kunci:</w:t>
            </w:r>
          </w:p>
          <w:p w14:paraId="1E7E6481" w14:textId="161AEE79" w:rsidR="00C30472" w:rsidRPr="00544730" w:rsidRDefault="004A0C99">
            <w:pPr>
              <w:pBdr>
                <w:top w:val="nil"/>
                <w:left w:val="nil"/>
                <w:bottom w:val="nil"/>
                <w:right w:val="nil"/>
                <w:between w:val="nil"/>
              </w:pBdr>
              <w:rPr>
                <w:rFonts w:eastAsia="Times New Roman"/>
                <w:i/>
                <w:color w:val="000000"/>
                <w:sz w:val="22"/>
                <w:szCs w:val="22"/>
                <w:lang w:val="da-DK"/>
              </w:rPr>
            </w:pPr>
            <w:r w:rsidRPr="00544730">
              <w:rPr>
                <w:sz w:val="22"/>
                <w:szCs w:val="22"/>
                <w:lang w:val="da-DK"/>
              </w:rPr>
              <w:t>2 Korintus 5:21, Doktrin Justifikasi, Hermeneutis-Kovenantal, Teologi Kovenan</w:t>
            </w:r>
            <w:r w:rsidRPr="00544730">
              <w:rPr>
                <w:rFonts w:eastAsia="Times New Roman"/>
                <w:i/>
                <w:color w:val="000000"/>
                <w:sz w:val="22"/>
                <w:szCs w:val="22"/>
                <w:lang w:val="da-DK"/>
              </w:rPr>
              <w:t>.</w:t>
            </w:r>
          </w:p>
          <w:p w14:paraId="185E54D8" w14:textId="08D0BA31" w:rsidR="00C30472" w:rsidRPr="004A0C99" w:rsidRDefault="00000000" w:rsidP="00544730">
            <w:pPr>
              <w:pBdr>
                <w:top w:val="nil"/>
                <w:left w:val="nil"/>
                <w:bottom w:val="nil"/>
                <w:right w:val="nil"/>
                <w:between w:val="nil"/>
              </w:pBdr>
              <w:spacing w:line="276" w:lineRule="auto"/>
              <w:rPr>
                <w:rFonts w:eastAsia="Times New Roman"/>
                <w:color w:val="000000"/>
                <w:sz w:val="22"/>
                <w:szCs w:val="22"/>
              </w:rPr>
            </w:pPr>
            <w:r w:rsidRPr="004A0C99">
              <w:rPr>
                <w:rFonts w:eastAsia="Times New Roman"/>
                <w:color w:val="000000"/>
                <w:sz w:val="22"/>
                <w:szCs w:val="22"/>
              </w:rPr>
              <w:t>___________________________________________________________</w:t>
            </w:r>
          </w:p>
          <w:p w14:paraId="75E9998A" w14:textId="77777777" w:rsidR="00C30472" w:rsidRPr="004A0C99"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sidRPr="004A0C99">
              <w:rPr>
                <w:rFonts w:eastAsia="Times New Roman"/>
                <w:b/>
                <w:i/>
                <w:color w:val="000000"/>
                <w:sz w:val="36"/>
                <w:szCs w:val="36"/>
                <w:vertAlign w:val="subscript"/>
              </w:rPr>
              <w:t>ABSTRACT</w:t>
            </w:r>
          </w:p>
          <w:p w14:paraId="1DB43061" w14:textId="77777777" w:rsidR="00C30472" w:rsidRPr="004A0C99"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sidRPr="004A0C99">
              <w:rPr>
                <w:rFonts w:eastAsia="Times New Roman"/>
                <w:color w:val="000000"/>
                <w:sz w:val="22"/>
                <w:szCs w:val="22"/>
              </w:rPr>
              <w:t>___________________________________________________________</w:t>
            </w:r>
          </w:p>
          <w:p w14:paraId="44D1E0EB" w14:textId="65EB40AB" w:rsidR="003A4350" w:rsidRPr="00544730" w:rsidRDefault="004A0C99" w:rsidP="00544730">
            <w:pPr>
              <w:pBdr>
                <w:top w:val="nil"/>
                <w:left w:val="nil"/>
                <w:bottom w:val="nil"/>
                <w:right w:val="nil"/>
                <w:between w:val="nil"/>
              </w:pBdr>
              <w:jc w:val="both"/>
              <w:rPr>
                <w:rFonts w:eastAsia="Times New Roman"/>
                <w:i/>
                <w:color w:val="000000"/>
                <w:sz w:val="22"/>
                <w:szCs w:val="22"/>
              </w:rPr>
            </w:pPr>
            <w:r w:rsidRPr="00544730">
              <w:rPr>
                <w:i/>
                <w:iCs/>
                <w:sz w:val="22"/>
                <w:szCs w:val="22"/>
              </w:rPr>
              <w:t xml:space="preserve">This paper aims to synthesize covenant theology and the doctrine of justification in the light of 2 Corinthians 5:21. The doctrine of justification emphasizes the justification of believers through faith in Jesus Christ. On the one hand, covenant theology emphasizes the dynamic relationship between God and man throughout the Bible where it culminates in the person and work of Jesus Christ. 2 Corinthians 5:21 affirms that Jesus is a sinless person. However, God made Jesus the “Lamb of God” in order to fulfill the promise of salvation in the old covenant. Through Jesus' death for human sin, believers are reconciled to God. Believers also obtain God's righteousness that cannot be achieved by human effort. Through a descriptive qualitative approach, the author will synthesize covenant </w:t>
            </w:r>
            <w:r w:rsidRPr="00544730">
              <w:rPr>
                <w:i/>
                <w:iCs/>
                <w:sz w:val="22"/>
                <w:szCs w:val="22"/>
              </w:rPr>
              <w:lastRenderedPageBreak/>
              <w:t>theology and the doctrine of justification using 2 Corinthians 5:21 as the foundation. The author asserts that 2 Corinthians 5:21 provides a solid theological foundation to synthesize covenant theology and justification doctrine. This paper provides a novel approach that incorporates a hermeneutical-covenantal framework to build a doctrinal synthesis. In addition, this paper contributes to offering a synthesis model that strengthens the holistic understanding of soteriology from a hermeneutical and systematic perspective.</w:t>
            </w:r>
          </w:p>
          <w:p w14:paraId="61514CC2" w14:textId="2E8F26D7" w:rsidR="00C30472" w:rsidRPr="004A0C99" w:rsidRDefault="00000000">
            <w:pPr>
              <w:pBdr>
                <w:top w:val="nil"/>
                <w:left w:val="nil"/>
                <w:bottom w:val="nil"/>
                <w:right w:val="nil"/>
                <w:between w:val="nil"/>
              </w:pBdr>
              <w:rPr>
                <w:rFonts w:eastAsia="Times New Roman"/>
                <w:i/>
                <w:color w:val="000000"/>
                <w:sz w:val="22"/>
                <w:szCs w:val="22"/>
              </w:rPr>
            </w:pPr>
            <w:r w:rsidRPr="004A0C99">
              <w:rPr>
                <w:rFonts w:eastAsia="Times New Roman"/>
                <w:i/>
                <w:color w:val="000000"/>
                <w:sz w:val="22"/>
                <w:szCs w:val="22"/>
              </w:rPr>
              <w:t>___________________________________________________</w:t>
            </w:r>
          </w:p>
          <w:p w14:paraId="06FAA9F6" w14:textId="77777777" w:rsidR="00C30472" w:rsidRPr="004A0C99" w:rsidRDefault="00000000">
            <w:pPr>
              <w:pBdr>
                <w:top w:val="nil"/>
                <w:left w:val="nil"/>
                <w:bottom w:val="nil"/>
                <w:right w:val="nil"/>
                <w:between w:val="nil"/>
              </w:pBdr>
              <w:rPr>
                <w:rFonts w:eastAsia="Times New Roman"/>
                <w:b/>
                <w:i/>
                <w:color w:val="000000"/>
                <w:sz w:val="22"/>
                <w:szCs w:val="22"/>
              </w:rPr>
            </w:pPr>
            <w:r w:rsidRPr="004A0C99">
              <w:rPr>
                <w:rFonts w:eastAsia="Times New Roman"/>
                <w:b/>
                <w:i/>
                <w:color w:val="000000"/>
                <w:sz w:val="22"/>
                <w:szCs w:val="22"/>
              </w:rPr>
              <w:t>Keywords:</w:t>
            </w:r>
          </w:p>
          <w:p w14:paraId="5A30190A" w14:textId="77777777" w:rsidR="004A0C99" w:rsidRPr="00544730" w:rsidRDefault="004A0C99" w:rsidP="004A0C99">
            <w:pPr>
              <w:jc w:val="both"/>
              <w:rPr>
                <w:i/>
                <w:iCs/>
                <w:sz w:val="22"/>
                <w:szCs w:val="22"/>
              </w:rPr>
            </w:pPr>
            <w:r w:rsidRPr="00544730">
              <w:rPr>
                <w:i/>
                <w:iCs/>
                <w:sz w:val="22"/>
                <w:szCs w:val="22"/>
              </w:rPr>
              <w:t>2 Corinthians 5:21, Doctrine of Justification, Hermeneutical-Covenantal, Covenant Theology</w:t>
            </w:r>
          </w:p>
          <w:p w14:paraId="7A1C1A60" w14:textId="77777777" w:rsidR="00C30472" w:rsidRPr="004A0C99" w:rsidRDefault="00000000">
            <w:pPr>
              <w:pBdr>
                <w:top w:val="nil"/>
                <w:left w:val="nil"/>
                <w:bottom w:val="nil"/>
                <w:right w:val="nil"/>
                <w:between w:val="nil"/>
              </w:pBdr>
              <w:spacing w:line="276" w:lineRule="auto"/>
              <w:rPr>
                <w:rFonts w:ascii="Lustria" w:eastAsia="Lustria" w:hAnsi="Lustria" w:cs="Lustria"/>
                <w:color w:val="000000"/>
                <w:sz w:val="16"/>
                <w:szCs w:val="16"/>
              </w:rPr>
            </w:pPr>
            <w:r w:rsidRPr="004A0C99">
              <w:rPr>
                <w:rFonts w:eastAsia="Times New Roman"/>
                <w:color w:val="000000"/>
                <w:sz w:val="22"/>
                <w:szCs w:val="22"/>
              </w:rPr>
              <w:t>___________________________________________________________</w:t>
            </w:r>
          </w:p>
          <w:p w14:paraId="232CD83A" w14:textId="77777777" w:rsidR="00C30472" w:rsidRPr="004A0C99"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14CC9767" w14:textId="77777777" w:rsidR="00C30472" w:rsidRPr="004A0C99"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p w14:paraId="5A76EF67" w14:textId="77777777" w:rsidR="00C30472" w:rsidRPr="004A0C99" w:rsidRDefault="00000000">
      <w:pPr>
        <w:jc w:val="both"/>
        <w:rPr>
          <w:b/>
        </w:rPr>
      </w:pPr>
      <w:r w:rsidRPr="004A0C99">
        <w:rPr>
          <w:b/>
        </w:rPr>
        <w:t>PENDAHULUAN</w:t>
      </w:r>
    </w:p>
    <w:p w14:paraId="23E7152A" w14:textId="77777777" w:rsidR="004A0C99" w:rsidRPr="007A27DB" w:rsidRDefault="004A0C99" w:rsidP="004A0C99">
      <w:pPr>
        <w:ind w:firstLine="720"/>
        <w:jc w:val="both"/>
        <w:rPr>
          <w:lang w:val="da-DK"/>
        </w:rPr>
      </w:pPr>
      <w:r w:rsidRPr="007A27DB">
        <w:rPr>
          <w:lang w:val="da-DK"/>
        </w:rPr>
        <w:t>Doktrin Justifikasi memiliki peranan krusial di dalam doktrin Kristen. Doktrin justifikasi menekankan dan mengelaborasi realitas teologis orang percaya di hadapan Allah. Trueman menjelaskan bahwa doktrin justifikasi menekankan bahwa manusia dibenarkan di hadapan Allah bukan melalui perbuatan baik atau ketaatan terhadap hukum, melainkan melalui iman kepada Yesus Kristus.</w:t>
      </w:r>
      <w:r w:rsidRPr="004A0C99">
        <w:rPr>
          <w:rStyle w:val="ReferensiCatatanKaki"/>
        </w:rPr>
        <w:footnoteReference w:id="1"/>
      </w:r>
      <w:r w:rsidRPr="007A27DB">
        <w:rPr>
          <w:lang w:val="da-DK"/>
        </w:rPr>
        <w:t xml:space="preserve"> Doktrin justifikasi menyatakan bahwa orang percaya dinyatakan benar di hadapan Allah. Kebenaran yang dimiliki oleh orang percaya ini bukan karena hasil dari perbuatan baik orang percaya. </w:t>
      </w:r>
      <w:r w:rsidRPr="004A0C99">
        <w:t>Kebenaran orang percaya semata-mata adalah hasil dari iman kepada Yesus Kristus. Dengan demikian, doktrin justifikasi menegaskan bahwa orang percaya adalah orang benar di hadapan Allah karena iman kepada Yesus Kristus. Selain itu, doktrin justifikasi memiliki peranan penting di dalam gereja. Chia menegaskan bahwa justifikasi oleh iman juga dianggap sebagai doktrin yang menentukan apakah gereja berdiri atau jatuh. Ketika doktrin ini dipahami, dipercayai, dan diajarkan, gereja berdiri dalam kasih karunia Allah dan hidup. Sebaliknya, ketika doktrin ini diabaikan, gereja akan jatuh dari kasih karunia dan berada dalam keadaan kegelapan dan kematian.</w:t>
      </w:r>
      <w:r w:rsidRPr="004A0C99">
        <w:rPr>
          <w:rStyle w:val="ReferensiCatatanKaki"/>
        </w:rPr>
        <w:footnoteReference w:id="2"/>
      </w:r>
      <w:r w:rsidRPr="004A0C99">
        <w:t xml:space="preserve"> Doktrin justifikasi berperan signifikan di dalam gereja. Doktrin ini harus diajarkan kepada jemaat agar jemaat memiliki kesadaran spiritual tentang keberadaannya sebagai umat tebusan Allah. </w:t>
      </w:r>
      <w:r w:rsidRPr="007A27DB">
        <w:rPr>
          <w:lang w:val="da-DK"/>
        </w:rPr>
        <w:t>Saat doktrin justifikasi diajarkan kepada jemaat, maka gereja akan menjadi hidup dengan berdiri di atas kasih karunia Allah. Tanpa mengajarkan doktrin justifikasi ini, maka gereja tidak akan berfungsi sebagaimana mestinya. Jemaat tidak akan mengalami terang dan jemaat akan tetap hidup di dalam rasa bersalah. Doktrin justifikasi harus diajarkan di dalam gereja karena doktrin justifikasi menyatakan sebuah realitas krusial di dalam diri orang percaya. Jüngel menegaskan bahwa justifikasi bukan hanya tentang pengampunan dosa, tetapi juga tentang pengakuan akan kebenaran Kristus yang diimputasikan kepada orang berdosa yang percaya.</w:t>
      </w:r>
      <w:r w:rsidRPr="004A0C99">
        <w:rPr>
          <w:rStyle w:val="ReferensiCatatanKaki"/>
        </w:rPr>
        <w:footnoteReference w:id="3"/>
      </w:r>
      <w:r w:rsidRPr="007A27DB">
        <w:rPr>
          <w:lang w:val="da-DK"/>
        </w:rPr>
        <w:t xml:space="preserve"> Melalui doktrin justifikasi, kebenaran orang percaya melalui iman kepada Kristus dinyatakan. Doktrin justifikasi memberikan glorifikasi kepada karya penebusan Yesus Kristus bagi orang berdosa yang percaya. Saat orang berdosa tersebut percaya kepada Yesus sebagai Tuhan dan Juruselamat, maka kebenaran Kristus akan diimputasikan kepada orang berdosa yang percaya. Sehingga, orang berdosa yang percaya tersebut diampuni segala dosanya dan juga dinyatakan benar di hadapan Allah melalui Yesus Kristus. Oleh karena itu, doktrin justifikasi memiliki </w:t>
      </w:r>
      <w:r w:rsidRPr="007A27DB">
        <w:rPr>
          <w:lang w:val="da-DK"/>
        </w:rPr>
        <w:lastRenderedPageBreak/>
        <w:t>peranan yang krusial di dalam teologi Kristen dan juga di dalam iman Kristen untuk menyatakan kebenaran Kristus di dalam orang percaya.</w:t>
      </w:r>
    </w:p>
    <w:p w14:paraId="7323B071" w14:textId="3619519A" w:rsidR="004A0C99" w:rsidRPr="007A27DB" w:rsidRDefault="004A0C99" w:rsidP="004A0C99">
      <w:pPr>
        <w:jc w:val="both"/>
        <w:rPr>
          <w:lang w:val="da-DK"/>
        </w:rPr>
      </w:pPr>
      <w:r w:rsidRPr="007A27DB">
        <w:rPr>
          <w:lang w:val="da-DK"/>
        </w:rPr>
        <w:tab/>
        <w:t>Selain doktrin justifikasi, teologi kovenan juga memiliki peranan di dalam iman Kristen. Teologi kovenan memberikan sebuah kerangka pemahaman relasi antara Allah dengan manusia. Relasi antara Allah dengan manusia tersebut terbentang sepanjang sejarah keselamatan yang dinyatakan di dalam Alkitab. Teologi kovenan menekankan hubungan antara Allah dengan manusia. Maclean menyatakan bahwa teologi kovenan adalah sistem teologi yang menekankan hubungan perjanjian antara Tuhan dan manusia. Konsep ini berakar dalam Alkitab dan sering kali dipahami sebagai komitmen formal antara dua pihak. Dalam konteks teologi Kristen, teologi kovenan mencakup beberapa elemen penting, termasuk kovenan pekerjaan, kovenan anugerah, dan kovenan penebusan.</w:t>
      </w:r>
      <w:r w:rsidRPr="004A0C99">
        <w:rPr>
          <w:rStyle w:val="ReferensiCatatanKaki"/>
        </w:rPr>
        <w:footnoteReference w:id="4"/>
      </w:r>
      <w:r w:rsidRPr="007A27DB">
        <w:rPr>
          <w:lang w:val="da-DK"/>
        </w:rPr>
        <w:t xml:space="preserve"> Melalui teologi kovenan, dinamika hubungan antara Allah dan manusia terejawantahkan dalam kerangka kovenan. Dinamika hubungan Allah dan manusia dalam kerangka kovenan terdapat di dalam Alkitab. Dimensi kovenan melibatkan dua belah pihak yaitu Allah dengan umat manusia. Senada dengan Maclean, Asselt menyatakan bahwa teologi kovenan memainkan peran sentral dalam memahami relasi antara Allah dan manusia dalam sejarah keselamatan. Teologi ini menekankan bahwa hubungan Allah dengan manusia diatur oleh perjanjian-perjanjian tertentu antara Allah dan manusia.</w:t>
      </w:r>
      <w:r w:rsidRPr="004A0C99">
        <w:rPr>
          <w:rStyle w:val="ReferensiCatatanKaki"/>
        </w:rPr>
        <w:footnoteReference w:id="5"/>
      </w:r>
      <w:r w:rsidRPr="007A27DB">
        <w:rPr>
          <w:lang w:val="da-DK"/>
        </w:rPr>
        <w:t xml:space="preserve"> Melalui teologi kovenan, hubungan manusia dengan Allah diatur di dalam perjanjian-perjanjian tertentu. Perjanjian-perjanjian tersebut ialah kovenan pekerjaan, kovenan anugerah dan kovenan penebusan. Melalui tiga bentuk kovenan tersebut, hubungan Allah dan manusia dapat diperhatikan dengan seksama. Melalui tiga bentuk kovenan tersebut juga sejarah keselamatan manusia yang diprakarsai oleh Allah dapat diejawantahkan dengan rapi. Selain itu, teologi kovenan memberikan perspektif bari di dalam ranah teologi Kristen. Cunningham menyatakan bahwa teologi kovenan menggambarkan sejarah manusia sebagai serangkaian perjanjian yang menggambarkan hubungan persahabatan dengan Allah, yang memberikan perspektif baru terhadap topik-topik tradisional teologi Protestan seperti sejarah keselamatan, eklesiologi, dan kehidupan Kristen.</w:t>
      </w:r>
      <w:r w:rsidRPr="004A0C99">
        <w:rPr>
          <w:rStyle w:val="ReferensiCatatanKaki"/>
        </w:rPr>
        <w:footnoteReference w:id="6"/>
      </w:r>
      <w:r w:rsidRPr="007A27DB">
        <w:rPr>
          <w:lang w:val="da-DK"/>
        </w:rPr>
        <w:t xml:space="preserve"> Teologi kovenan menekankan perspektif keselamatan yang kuat di dalam iman Kristen. Keselamatan tersebut muncul karena adanya kovenan anugerah yang terjalin antara Allah Bapa dan Allah Putera dari kekekalan. Teologi kovena</w:t>
      </w:r>
      <w:r w:rsidR="007B77E0">
        <w:rPr>
          <w:lang w:val="da-DK"/>
        </w:rPr>
        <w:t>n</w:t>
      </w:r>
      <w:r w:rsidRPr="007A27DB">
        <w:rPr>
          <w:lang w:val="da-DK"/>
        </w:rPr>
        <w:t xml:space="preserve"> juga berpengaruh dalam eklesiologi yang menegaskan bahwa gereja adalah umat Allah di dalam perjanjian yang baru. Selain itu, teologi kovenan berpengaruh di dalam kehidupan umat percaya di zaman ini. Umat percaya di zaman modern ini merupakan umat tebusan Allah di dalam Yesus yang menikmati perjanjian yang baru. Oleh karena itu, teologi kovenan memberikan sebuah kerangka pemahaman yang solid antara Allah dengan manusia dalam sejarah keselamatan yang terangkum di dalam Alkitab.</w:t>
      </w:r>
    </w:p>
    <w:p w14:paraId="3B34C421" w14:textId="77777777" w:rsidR="004A0C99" w:rsidRPr="007A27DB" w:rsidRDefault="004A0C99" w:rsidP="004A0C99">
      <w:pPr>
        <w:jc w:val="both"/>
        <w:rPr>
          <w:lang w:val="da-DK"/>
        </w:rPr>
      </w:pPr>
      <w:r w:rsidRPr="007A27DB">
        <w:rPr>
          <w:lang w:val="da-DK"/>
        </w:rPr>
        <w:tab/>
        <w:t>Doktrin justifikasi memiliki teks kunci di dalam 2 Korintus 5:21. 2 Korintus 5:21 menegaskan sebuah dimensi subtitusi penal dan imputasi kebenaran Kristus bagi kehidupan spiritual orang percaya. Hooker menegaskan bahwa imputasi kebenaran Kristus berarti bahwa kebenaran Kristus diperhitungkan kepada orang percaya. Dalam 2 Korintus 5:21, ini berarti bahwa melalui Kristus, orang percaya menjadi kebenaran Allah. Ini bukan hanya tentang status hukum, tetapi juga tentang transformasi hidup yang nyata, di mana orang percaya hidup dalam kebenaran yang berasal dari Allah.</w:t>
      </w:r>
      <w:r w:rsidRPr="004A0C99">
        <w:rPr>
          <w:rStyle w:val="ReferensiCatatanKaki"/>
        </w:rPr>
        <w:footnoteReference w:id="7"/>
      </w:r>
      <w:r w:rsidRPr="007A27DB">
        <w:rPr>
          <w:lang w:val="da-DK"/>
        </w:rPr>
        <w:t xml:space="preserve"> Orang percaya dinyatakan benar di hadapan Allah karena </w:t>
      </w:r>
      <w:r w:rsidRPr="007A27DB">
        <w:rPr>
          <w:lang w:val="da-DK"/>
        </w:rPr>
        <w:lastRenderedPageBreak/>
        <w:t>Yesus Kristus. 2 Korintus 5:21 menegaskan bahwa Yesus harus menanggung dosa umat manusia agar manusia dinyatakan benar di hadapan Allah. Imputasi kebenaran Kristus tersebut tidak hanya sekedar bersifat legal. Imputasi kebenaran Kristus di dalam kehidupan orang percaya memberikan transformasi kehidupan bagi orang percaya. Selain itu, 2 Korintus 5:21 juga memberikan penjelasan teologis tentang hidup yang dipertukarkan di dalam Yesus Kristus. Terry menyatakan bahwa 2 Korintus 5:21 menggambarkan pertukaran mendalam di mana Kristus memikul dosa umat manusia, dan sebagai balasannya, orang percaya menerima kebenaran Tuhan. Pertukaran ini merupakan pusat dari model substitusi penal, yang berpendapat bahwa kematian Kristus memenuhi tuntutan keadilan dengan menanggung hukuman dosa atas nama umat manusia.</w:t>
      </w:r>
      <w:r w:rsidRPr="004A0C99">
        <w:rPr>
          <w:rStyle w:val="ReferensiCatatanKaki"/>
        </w:rPr>
        <w:footnoteReference w:id="8"/>
      </w:r>
      <w:r w:rsidRPr="007A27DB">
        <w:rPr>
          <w:lang w:val="da-DK"/>
        </w:rPr>
        <w:t xml:space="preserve"> Pertukaran illahi terjadi di dalam karya salib Yesus Kristus. Melalui salib Kristus, hidup manusia yang penuh dosa kemudian ditanggung sepenuhnya oleh Yesus Kristus. Murka Allah karena dosa juga ditanggung Yesus Kristus di kayu salib. Di saat yang sama, kebenaran Kristus diberikan kepada orang percaya. Hal itu terjadi karena Yesus Kristus memenuhi tuntutan keadilan Allah. Yesus menanggung hukuman dosa dan murka Allah atas dosa mewakili umat manusia. Oleh karena itu, 2 Korintus 5:21 merupakan teks kunci untuk memperkuat pemahaman dimensi substitusi penal dan imputasi kebenaran di dalam Yesus Kristus.</w:t>
      </w:r>
    </w:p>
    <w:p w14:paraId="7255012C" w14:textId="2D37E200" w:rsidR="004A0C99" w:rsidRPr="007A27DB" w:rsidRDefault="004A0C99" w:rsidP="004A0C99">
      <w:pPr>
        <w:jc w:val="both"/>
        <w:rPr>
          <w:lang w:val="da-DK"/>
        </w:rPr>
      </w:pPr>
      <w:r w:rsidRPr="007A27DB">
        <w:rPr>
          <w:lang w:val="da-DK"/>
        </w:rPr>
        <w:tab/>
      </w:r>
      <w:r w:rsidR="007B77E0">
        <w:rPr>
          <w:lang w:val="da-DK"/>
        </w:rPr>
        <w:t>Artikel</w:t>
      </w:r>
      <w:r w:rsidRPr="007A27DB">
        <w:rPr>
          <w:lang w:val="da-DK"/>
        </w:rPr>
        <w:t xml:space="preserve"> ini akan menjawab pertanyaan permasalahan yaitu bagaimana hubungan antara teologi kovenan dan doktrin justifikasi dapat disintesiskan secara utuh</w:t>
      </w:r>
      <w:r w:rsidR="007A27DB">
        <w:rPr>
          <w:lang w:val="da-DK"/>
        </w:rPr>
        <w:t xml:space="preserve"> ?</w:t>
      </w:r>
      <w:r w:rsidRPr="007A27DB">
        <w:rPr>
          <w:lang w:val="da-DK"/>
        </w:rPr>
        <w:t xml:space="preserve"> Kemudian, </w:t>
      </w:r>
      <w:r w:rsidR="007B77E0">
        <w:rPr>
          <w:lang w:val="da-DK"/>
        </w:rPr>
        <w:t>Artikel</w:t>
      </w:r>
      <w:r w:rsidRPr="007A27DB">
        <w:rPr>
          <w:lang w:val="da-DK"/>
        </w:rPr>
        <w:t xml:space="preserve"> ini juga menjawab pertanyaan permasalahan yaitu bagaimana 2 Korintus 5:21 memberikan landasan biblika untuk konstruksi sintesis tersebut</w:t>
      </w:r>
      <w:r w:rsidR="007A27DB">
        <w:rPr>
          <w:lang w:val="da-DK"/>
        </w:rPr>
        <w:t xml:space="preserve"> ?</w:t>
      </w:r>
      <w:r w:rsidRPr="007A27DB">
        <w:rPr>
          <w:lang w:val="da-DK"/>
        </w:rPr>
        <w:t xml:space="preserve"> Selain menjawab pertanyaan permasalahan tersebut, penelitian ini bertujuan untuk menganalisis secara hermenetis ayat 2 Korintus 5:21 dalam terang teologi kovenan. </w:t>
      </w:r>
      <w:r w:rsidR="007B77E0">
        <w:rPr>
          <w:lang w:val="da-DK"/>
        </w:rPr>
        <w:t>Artikel</w:t>
      </w:r>
      <w:r w:rsidRPr="007A27DB">
        <w:rPr>
          <w:lang w:val="da-DK"/>
        </w:rPr>
        <w:t xml:space="preserve"> ini juga menyusun sintesis teologis antara teologi kovenan dan doktrin justifikasi berdasarkan hasil analisis hermenetis 2 Korintus 5:21. Penulis mengingat hal tersebut serta penelitian sebelumnya tentang pengertian teologi kovenan</w:t>
      </w:r>
      <w:r w:rsidR="00A659C8">
        <w:rPr>
          <w:lang w:val="da-DK"/>
        </w:rPr>
        <w:t xml:space="preserve"> yang ditulis oleh Purwonugroho</w:t>
      </w:r>
      <w:r w:rsidRPr="004A0C99">
        <w:rPr>
          <w:rStyle w:val="ReferensiCatatanKaki"/>
        </w:rPr>
        <w:footnoteReference w:id="9"/>
      </w:r>
      <w:r w:rsidRPr="007A27DB">
        <w:rPr>
          <w:lang w:val="da-DK"/>
        </w:rPr>
        <w:t xml:space="preserve"> serta penelitian sebelumnya </w:t>
      </w:r>
      <w:r w:rsidR="00A659C8">
        <w:rPr>
          <w:lang w:val="da-DK"/>
        </w:rPr>
        <w:t xml:space="preserve">yaitu penelitian dari Jungel </w:t>
      </w:r>
      <w:r w:rsidRPr="007A27DB">
        <w:rPr>
          <w:lang w:val="da-DK"/>
        </w:rPr>
        <w:t>mengenai doktrin justifikasi</w:t>
      </w:r>
      <w:r w:rsidRPr="004A0C99">
        <w:rPr>
          <w:rStyle w:val="ReferensiCatatanKaki"/>
        </w:rPr>
        <w:footnoteReference w:id="10"/>
      </w:r>
      <w:r w:rsidRPr="007A27DB">
        <w:rPr>
          <w:lang w:val="da-DK"/>
        </w:rPr>
        <w:t>, masih ada celah untuk dilakukan penelitian dalam perspektif 2 Korintus 5:21.</w:t>
      </w:r>
      <w:r w:rsidR="00A659C8">
        <w:rPr>
          <w:lang w:val="da-DK"/>
        </w:rPr>
        <w:t xml:space="preserve"> Celah tersebut ialah mensintesiskan teologi Kovenan dan doktrin justifikasi dalam terang 2 Korintus 5:21.</w:t>
      </w:r>
      <w:r w:rsidRPr="007A27DB">
        <w:rPr>
          <w:lang w:val="da-DK"/>
        </w:rPr>
        <w:t xml:space="preserve"> Penulis menyatakan bahwa teologi kovenan dan doktrin justifikasi dapat bersintesis dalam terang 2 Korintus 5:21. </w:t>
      </w:r>
      <w:r w:rsidR="007B77E0">
        <w:rPr>
          <w:lang w:val="da-DK"/>
        </w:rPr>
        <w:t>Artikel</w:t>
      </w:r>
      <w:r w:rsidRPr="007A27DB">
        <w:rPr>
          <w:lang w:val="da-DK"/>
        </w:rPr>
        <w:t xml:space="preserve"> ini memberikan kebaruan pendekatan yaitu penggabungan kerangka hermeneutis-kovenantal untuk membangun sintesis doktrinal. </w:t>
      </w:r>
      <w:r w:rsidR="007B77E0">
        <w:rPr>
          <w:lang w:val="da-DK"/>
        </w:rPr>
        <w:t>Artikel</w:t>
      </w:r>
      <w:r w:rsidRPr="007A27DB">
        <w:rPr>
          <w:lang w:val="da-DK"/>
        </w:rPr>
        <w:t xml:space="preserve"> ini juga memberikan kontribusi model sintesis yang memperkuat pemahaman soteriologi secara holistik dari perspektif biblika dan sistematika.</w:t>
      </w:r>
    </w:p>
    <w:p w14:paraId="421AF75C" w14:textId="77777777" w:rsidR="004A0C99" w:rsidRPr="007A27DB" w:rsidRDefault="004A0C99" w:rsidP="004A0C99">
      <w:pPr>
        <w:jc w:val="both"/>
        <w:rPr>
          <w:lang w:val="da-DK"/>
        </w:rPr>
      </w:pPr>
    </w:p>
    <w:p w14:paraId="1F90605C" w14:textId="77777777" w:rsidR="004A0C99" w:rsidRPr="007A27DB" w:rsidRDefault="004A0C99" w:rsidP="004A0C99">
      <w:pPr>
        <w:jc w:val="both"/>
        <w:rPr>
          <w:b/>
          <w:bCs/>
          <w:lang w:val="da-DK"/>
        </w:rPr>
      </w:pPr>
      <w:r w:rsidRPr="007A27DB">
        <w:rPr>
          <w:b/>
          <w:bCs/>
          <w:lang w:val="da-DK"/>
        </w:rPr>
        <w:t>METODE PENELITIAN</w:t>
      </w:r>
    </w:p>
    <w:p w14:paraId="00CD7E65" w14:textId="36B45D32" w:rsidR="004A0C99" w:rsidRPr="007A27DB" w:rsidRDefault="004A0C99" w:rsidP="004A0C99">
      <w:pPr>
        <w:jc w:val="both"/>
        <w:rPr>
          <w:lang w:val="da-DK"/>
        </w:rPr>
      </w:pPr>
      <w:r w:rsidRPr="007A27DB">
        <w:rPr>
          <w:b/>
          <w:bCs/>
          <w:lang w:val="da-DK"/>
        </w:rPr>
        <w:tab/>
      </w:r>
      <w:r w:rsidR="007B77E0">
        <w:rPr>
          <w:lang w:val="da-DK"/>
        </w:rPr>
        <w:t>Artikel</w:t>
      </w:r>
      <w:r w:rsidRPr="007A27DB">
        <w:rPr>
          <w:lang w:val="da-DK"/>
        </w:rPr>
        <w:t xml:space="preserve"> ini menggunakan pendekatan penelitian kualitatif deskriptif. Penelitian kualitatif deskriptif sering kali melibatkan penggunaan metode yang fleksibel, yang memungkinkan peneliti untuk mengumpulkan data yang kaya dan mencapai pemahaman yang mendalam tentang fenomena yang diteliti.</w:t>
      </w:r>
      <w:r w:rsidRPr="004A0C99">
        <w:rPr>
          <w:rStyle w:val="ReferensiCatatanKaki"/>
        </w:rPr>
        <w:footnoteReference w:id="11"/>
      </w:r>
      <w:r w:rsidRPr="007A27DB">
        <w:rPr>
          <w:lang w:val="da-DK"/>
        </w:rPr>
        <w:t xml:space="preserve"> Di dalam penelitian ini, studi pustaka merupakan metode yang digunakan untuk mengumpulkan data-data kualitatif non numerik. Studi pustaka ditunjuk sebagai tinjauan literatur atau penyelidikan bibliografi, merupakan metodologi sistematis untuk penelitian yang mengharuskan pengumpulan dan analisis informasi yang diperoleh dari </w:t>
      </w:r>
      <w:r w:rsidRPr="007A27DB">
        <w:rPr>
          <w:lang w:val="da-DK"/>
        </w:rPr>
        <w:lastRenderedPageBreak/>
        <w:t>beragam bahan tertulis yang berkaitan dengan topik penelitian tertentu. Proses ini mencakup penyelidikan, identifikasi, dan evaluasi menyeluruh dari literatur yang ada, yang meliputi, tetapi tidak terbatas pada, buku, artikel ilmiah, dokumentasi penelitian, dan sumber-sumber terhormat lainnya.</w:t>
      </w:r>
      <w:r w:rsidRPr="004A0C99">
        <w:rPr>
          <w:rStyle w:val="ReferensiCatatanKaki"/>
        </w:rPr>
        <w:footnoteReference w:id="12"/>
      </w:r>
      <w:r w:rsidRPr="007A27DB">
        <w:rPr>
          <w:lang w:val="da-DK"/>
        </w:rPr>
        <w:t xml:space="preserve"> Penulis akan menggunakan sumber primer yaitu Alkitab khususnya 2 Korintus 5:21. Penulis juga menggunakan sumber sekunder yaitu buku-buku teologi, </w:t>
      </w:r>
      <w:r w:rsidRPr="007A27DB">
        <w:rPr>
          <w:i/>
          <w:iCs/>
          <w:lang w:val="da-DK"/>
        </w:rPr>
        <w:t xml:space="preserve">commentaries, </w:t>
      </w:r>
      <w:r w:rsidRPr="007A27DB">
        <w:rPr>
          <w:lang w:val="da-DK"/>
        </w:rPr>
        <w:t>jurnal teologi serta buku-buku akademik yang relevan dengan judul penelitia. Penulis akan melakukan eksegsis 2 Korintus 5:21 dengan berfokus kepada kata kunci seperti “dijadikan dosa”, “kebenaran Allah”, “Dia yang tidak mengenal dosa”. Penulis juga melakukan latar belakang naratif kovenantal dan penulis kemudian melakukan sintesis teologis antara teologi kovenan dan doktrin justifikasi dalam 2 Korintus 5:21 serta menarik implikasi teologis dan dogmatisnya.</w:t>
      </w:r>
    </w:p>
    <w:p w14:paraId="0D134F0E" w14:textId="77777777" w:rsidR="00C30472" w:rsidRPr="007A27DB" w:rsidRDefault="00C30472">
      <w:pPr>
        <w:ind w:firstLine="720"/>
        <w:jc w:val="both"/>
        <w:rPr>
          <w:lang w:val="da-DK"/>
        </w:rPr>
        <w:sectPr w:rsidR="00C30472" w:rsidRPr="007A27DB">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cols w:space="720"/>
        </w:sectPr>
      </w:pPr>
    </w:p>
    <w:p w14:paraId="6C4811C0" w14:textId="77777777" w:rsidR="00C30472" w:rsidRPr="007A27DB" w:rsidRDefault="00C30472">
      <w:pPr>
        <w:jc w:val="both"/>
        <w:rPr>
          <w:b/>
          <w:lang w:val="da-DK"/>
        </w:rPr>
      </w:pPr>
    </w:p>
    <w:p w14:paraId="23DDDC07" w14:textId="77777777" w:rsidR="00C30472" w:rsidRPr="007A27DB" w:rsidRDefault="00000000">
      <w:pPr>
        <w:jc w:val="both"/>
        <w:rPr>
          <w:b/>
          <w:lang w:val="da-DK"/>
        </w:rPr>
      </w:pPr>
      <w:r w:rsidRPr="007A27DB">
        <w:rPr>
          <w:b/>
          <w:lang w:val="da-DK"/>
        </w:rPr>
        <w:t>HASIL DAN PEMBAHASAN</w:t>
      </w:r>
    </w:p>
    <w:p w14:paraId="57237BE3" w14:textId="77777777" w:rsidR="004A0C99" w:rsidRPr="007A27DB" w:rsidRDefault="004A0C99">
      <w:pPr>
        <w:jc w:val="both"/>
        <w:rPr>
          <w:b/>
          <w:lang w:val="da-DK"/>
        </w:rPr>
      </w:pPr>
    </w:p>
    <w:p w14:paraId="5AF8BD99" w14:textId="77777777" w:rsidR="004A0C99" w:rsidRPr="007A27DB" w:rsidRDefault="004A0C99" w:rsidP="004A0C99">
      <w:pPr>
        <w:jc w:val="both"/>
        <w:rPr>
          <w:i/>
          <w:iCs/>
          <w:lang w:val="da-DK"/>
        </w:rPr>
      </w:pPr>
      <w:r w:rsidRPr="007A27DB">
        <w:rPr>
          <w:i/>
          <w:iCs/>
          <w:lang w:val="da-DK"/>
        </w:rPr>
        <w:t>Analisis Eksegetilkal 2 Korintus 5:21</w:t>
      </w:r>
    </w:p>
    <w:p w14:paraId="138E6C01" w14:textId="4068062E" w:rsidR="004A0C99" w:rsidRPr="007A27DB" w:rsidRDefault="004A0C99" w:rsidP="004A0C99">
      <w:pPr>
        <w:jc w:val="both"/>
        <w:rPr>
          <w:lang w:val="da-DK"/>
        </w:rPr>
      </w:pPr>
      <w:r w:rsidRPr="007A27DB">
        <w:rPr>
          <w:lang w:val="da-DK"/>
        </w:rPr>
        <w:tab/>
        <w:t>2 Korintus 5:21 merupakan ayat kunci bagi doktrin justifikasi. 2 Korintus 5:21 merupakan bagian dari surat 2 Korintus yang ditulis oleh rasul Paulus. Konten 2 Korintus sarat akan pembelaan-pembelaan iman yang dielaborasi oleh Paulus. Keener menyatakan bahwa 2 Korintus merupakan surat Paulus kepada jemaat di Korintus yang bersifat apologetik. Paulus memberikan bantahan-bantahan teologis kepada lawan-lawan Paulus yang mengajarkan tentang legalisme, gnostisisme atau kombinasi dari keduanya. Paulus menyusun argumentasi apologetis untuk membungkam pengajaran yang melawan pengenalan akan Kristus.</w:t>
      </w:r>
      <w:r w:rsidRPr="004A0C99">
        <w:rPr>
          <w:rStyle w:val="ReferensiCatatanKaki"/>
        </w:rPr>
        <w:footnoteReference w:id="13"/>
      </w:r>
      <w:r w:rsidRPr="007A27DB">
        <w:rPr>
          <w:lang w:val="da-DK"/>
        </w:rPr>
        <w:t xml:space="preserve"> Paulus menghadapi peperangan teologis di dalam penulisan 2 Korintus. Paulus menyusun argumentasi apologetik bagi jemaat di Korintus yang terpengaruh oleh ajaran-ajaran lain. Ajaran-ajaran tersebut ialah legalisme, gnostisisme bahkan kombinasi dari kedua hal tersebut. Ajaran-ajaran selain Paulus yang diterima oleh jemaat Korintus justru menjauhkan jemaat Korintus dari pengenalan akan Kristus. Dengan demikian, Paulus menuliskan 2 Korintus yang padat dengan argumentasi apologetik untuk membungkam pengajaran yang lain. Selain itu, Paulus juga ingin membawa jemaat Korintus untuk memahami rahasia teologis yang dielaborasi Paulus dalam 2 Korintus. </w:t>
      </w:r>
      <w:r w:rsidRPr="004A0C99">
        <w:t>Witherington menegaskan bahwa Paulus memiliki motif teologis dalam penulisan 2 Korintus. Paulus mengharapkan jemaat di Korintus dapat memahami kekayaan kemuliaan yang terdapat di dalam Kristus sebagai anak anak rohani Allah.</w:t>
      </w:r>
      <w:r w:rsidRPr="004A0C99">
        <w:rPr>
          <w:rStyle w:val="ReferensiCatatanKaki"/>
        </w:rPr>
        <w:footnoteReference w:id="14"/>
      </w:r>
      <w:r w:rsidRPr="004A0C99">
        <w:t xml:space="preserve"> Melalui surat 2 Korintus, Paulus menghendaki jemaat Korintus untuk dapat mengenal kekayaan kemuliaan Yesus Kristus. Paulus menginginkan jemaat Korintus juga dapat mengerti posisi spiritual jemaat Korintus yang notebene nya adalah anak-anak rohani Allah yang telah mengalami penebusan Kristus. </w:t>
      </w:r>
      <w:r w:rsidRPr="007A27DB">
        <w:rPr>
          <w:lang w:val="da-DK"/>
        </w:rPr>
        <w:t>Dengan demikian, 2 Korintus memiliki konteks teologis di</w:t>
      </w:r>
      <w:r w:rsidR="007B77E0">
        <w:rPr>
          <w:lang w:val="da-DK"/>
        </w:rPr>
        <w:t xml:space="preserve"> </w:t>
      </w:r>
      <w:r w:rsidRPr="007A27DB">
        <w:rPr>
          <w:lang w:val="da-DK"/>
        </w:rPr>
        <w:t>mana Paulus sedang menyusun argumentasi apologetik dan teologis bagi jemaat Korintus yang sedang mengalami peperangan pengajaran. Paulus juga menghendaki jemaat Korintus memiliki pemahaman teologis yang sehat sebagai anak anak rohani Allah.</w:t>
      </w:r>
    </w:p>
    <w:p w14:paraId="59D21889" w14:textId="0E54594A" w:rsidR="004A0C99" w:rsidRPr="004A0C99" w:rsidRDefault="004A0C99" w:rsidP="004A0C99">
      <w:pPr>
        <w:jc w:val="both"/>
      </w:pPr>
      <w:r w:rsidRPr="007A27DB">
        <w:rPr>
          <w:lang w:val="da-DK"/>
        </w:rPr>
        <w:tab/>
        <w:t xml:space="preserve">2 Korintus 5:21 sebagai ayat kunci untuk memahami doktrin justifikasi juga memiliki frasa kunci yang dapat dieksplorasi lebih lanjut. frasa kunci tersebut ialah "Dia yang tidak mengenal dosa", "dijadikan-Nya dosa", dan "kita menjadi kebenaran Allah". Frasa dijadikan-Nya dosa dalam 2 Korintus 5:21 menunjukkan sebuah elaborasi yang mendalam tentang substitusi manusia oleh Yesus. Hughes menyatakan bahwa </w:t>
      </w:r>
      <w:r w:rsidRPr="004A0C99">
        <w:rPr>
          <w:i/>
          <w:iCs/>
        </w:rPr>
        <w:t>ἁμαρτίαν</w:t>
      </w:r>
      <w:r w:rsidRPr="007A27DB">
        <w:rPr>
          <w:i/>
          <w:iCs/>
          <w:lang w:val="da-DK"/>
        </w:rPr>
        <w:t xml:space="preserve"> </w:t>
      </w:r>
      <w:r w:rsidRPr="004A0C99">
        <w:rPr>
          <w:i/>
          <w:iCs/>
        </w:rPr>
        <w:t>ἐποίησεν</w:t>
      </w:r>
      <w:r w:rsidRPr="007A27DB">
        <w:rPr>
          <w:i/>
          <w:iCs/>
          <w:lang w:val="da-DK"/>
        </w:rPr>
        <w:t xml:space="preserve"> – </w:t>
      </w:r>
      <w:r w:rsidRPr="007A27DB">
        <w:rPr>
          <w:i/>
          <w:iCs/>
          <w:lang w:val="da-DK"/>
        </w:rPr>
        <w:lastRenderedPageBreak/>
        <w:t>hamartian epoiēsen</w:t>
      </w:r>
      <w:r w:rsidRPr="007A27DB">
        <w:rPr>
          <w:lang w:val="da-DK"/>
        </w:rPr>
        <w:t xml:space="preserve">, (dijadikan-Nya dosa) memiliki arti yang tegas bahwa Yesus menjadi pengganti yang menggantikan posisi manusia berdosa. Allah tidak membuat Yesus menjadi “manusia berdosa”. Melainkan, Allah memberikan Yesus sebagai “Anak Domba Allah” yang merupakan penggenapan janji keselamatan dalam </w:t>
      </w:r>
      <w:r w:rsidR="007B77E0">
        <w:rPr>
          <w:lang w:val="da-DK"/>
        </w:rPr>
        <w:t>P</w:t>
      </w:r>
      <w:r w:rsidRPr="007A27DB">
        <w:rPr>
          <w:lang w:val="da-DK"/>
        </w:rPr>
        <w:t xml:space="preserve">erjanjian </w:t>
      </w:r>
      <w:r w:rsidR="007B77E0">
        <w:rPr>
          <w:lang w:val="da-DK"/>
        </w:rPr>
        <w:t>L</w:t>
      </w:r>
      <w:r w:rsidRPr="007A27DB">
        <w:rPr>
          <w:lang w:val="da-DK"/>
        </w:rPr>
        <w:t>ama. Dengan demikian, Yesus sempurna dan tidak bercacat lahir batin yang menggantikan manusia berdosa untuk menanggung hukuman dosa.</w:t>
      </w:r>
      <w:r w:rsidRPr="004A0C99">
        <w:rPr>
          <w:rStyle w:val="ReferensiCatatanKaki"/>
        </w:rPr>
        <w:footnoteReference w:id="15"/>
      </w:r>
      <w:r w:rsidRPr="007A27DB">
        <w:rPr>
          <w:lang w:val="da-DK"/>
        </w:rPr>
        <w:t xml:space="preserve"> Hal tersebut berarti Yesus merupakan pengganti posisi manusia dalam menerima murka Allah akibat dosa. Yesus memiliki kesempurnaan yang sejati dari diriNya sendiri karena Dia adalah Allah yang berinkarnasi menjadi manusia. Inkarnasi Yesus menjadi manusia memiliki tujuan untuk menggantikan posisi manusia berdosa dalam rangka menanggung segala dosa dan kesalahan manusia. Hal ini merupakan penggenapan janji keselamatan yang telah digemakan semenjak Perjanjian Lama. Di satu sisi, Yesus tidak mengenal dosa dan tidak memiliki unsur dosa di dalam diriNya sendiri. Comfort menyatakan bahwa </w:t>
      </w:r>
      <w:r w:rsidRPr="004A0C99">
        <w:rPr>
          <w:i/>
          <w:iCs/>
        </w:rPr>
        <w:t>τὸν</w:t>
      </w:r>
      <w:r w:rsidRPr="007A27DB">
        <w:rPr>
          <w:i/>
          <w:iCs/>
          <w:lang w:val="da-DK"/>
        </w:rPr>
        <w:t xml:space="preserve"> </w:t>
      </w:r>
      <w:r w:rsidRPr="004A0C99">
        <w:rPr>
          <w:i/>
          <w:iCs/>
        </w:rPr>
        <w:t>μὴ</w:t>
      </w:r>
      <w:r w:rsidRPr="007A27DB">
        <w:rPr>
          <w:i/>
          <w:iCs/>
          <w:lang w:val="da-DK"/>
        </w:rPr>
        <w:t xml:space="preserve"> </w:t>
      </w:r>
      <w:r w:rsidRPr="004A0C99">
        <w:rPr>
          <w:i/>
          <w:iCs/>
        </w:rPr>
        <w:t>γνόντα</w:t>
      </w:r>
      <w:r w:rsidRPr="007A27DB">
        <w:rPr>
          <w:i/>
          <w:iCs/>
          <w:lang w:val="da-DK"/>
        </w:rPr>
        <w:t xml:space="preserve"> </w:t>
      </w:r>
      <w:r w:rsidRPr="004A0C99">
        <w:rPr>
          <w:i/>
          <w:iCs/>
        </w:rPr>
        <w:t>ἁμαρτίαν</w:t>
      </w:r>
      <w:r w:rsidRPr="007A27DB">
        <w:rPr>
          <w:i/>
          <w:iCs/>
          <w:lang w:val="da-DK"/>
        </w:rPr>
        <w:t xml:space="preserve"> -  ton mē gnonta hamartian</w:t>
      </w:r>
      <w:r w:rsidRPr="007A27DB">
        <w:rPr>
          <w:lang w:val="da-DK"/>
        </w:rPr>
        <w:t xml:space="preserve"> (Dia yang tidak mengenal dosa) menyatakan bahwa Yesus tidak berdosa. Kata </w:t>
      </w:r>
      <w:r w:rsidRPr="004A0C99">
        <w:t>γνόντα</w:t>
      </w:r>
      <w:r w:rsidRPr="007A27DB">
        <w:rPr>
          <w:lang w:val="da-DK"/>
        </w:rPr>
        <w:t xml:space="preserve"> (gnota) berasal dari kata </w:t>
      </w:r>
      <w:r w:rsidRPr="004A0C99">
        <w:t>γινώσκω</w:t>
      </w:r>
      <w:r w:rsidRPr="007A27DB">
        <w:rPr>
          <w:lang w:val="da-DK"/>
        </w:rPr>
        <w:t xml:space="preserve"> (ginosko) yang menjelaskan bahwa Yesus memahami apa itu dosa, namun Dia tidak memiliki keterlibatan secara pribadi dengan dosa – bahkan Yesuspun tidak mengandung dosa sedikitpun.</w:t>
      </w:r>
      <w:r w:rsidRPr="004A0C99">
        <w:rPr>
          <w:rStyle w:val="ReferensiCatatanKaki"/>
        </w:rPr>
        <w:footnoteReference w:id="16"/>
      </w:r>
      <w:r w:rsidRPr="007A27DB">
        <w:rPr>
          <w:lang w:val="da-DK"/>
        </w:rPr>
        <w:t xml:space="preserve"> Yesus di dalam diriNya sendiri tidak memiliki dosa. Yesus berbeda dengan manusia. Manusia dilahirkan dengan dosa asal yang turun dari pemberontakan Adam dan Hawa. Namun, Yesus tidak mengalami dosa asal karena Yesus sendiri dikandung melalui Roh Kudus. Dengan kata lain, meskipun Yesus memahami apa itu dosa, namun secara </w:t>
      </w:r>
      <w:r w:rsidRPr="007A27DB">
        <w:rPr>
          <w:i/>
          <w:iCs/>
          <w:lang w:val="da-DK"/>
        </w:rPr>
        <w:t>nature</w:t>
      </w:r>
      <w:r w:rsidRPr="007A27DB">
        <w:rPr>
          <w:lang w:val="da-DK"/>
        </w:rPr>
        <w:t xml:space="preserve"> Yesus tidak memiliki dosa dan tidak berdosa. </w:t>
      </w:r>
      <w:r w:rsidRPr="004A0C99">
        <w:t>Hal tersebut menjadikan Yesus sebagai korban penebus dosa yang sempurna untuk mewakili manusia di hadapan Allah. Yesus yang tidak berdosa menjadi korban penebus manusia dari dosa akar semua umat percaya menjadi kebenaran Allah. Guthrie menegaskan bahwa</w:t>
      </w:r>
      <w:r w:rsidRPr="004A0C99">
        <w:rPr>
          <w:i/>
          <w:iCs/>
        </w:rPr>
        <w:t xml:space="preserve"> ἵνα ἡμεῖς γενώμεθα δικαιοσύνη Θεοῦ ἐν αὐτῷ - hina hēmeis genōmetha dikaiosynē</w:t>
      </w:r>
      <w:r w:rsidRPr="004A0C99">
        <w:t xml:space="preserve">  (kita menjadi kebenaran Allah) memiliki arti orang percaya yang dahulu tidak benar, melalui hubungan dengan Kristus, menerima kebenaran Allah, diperdamaikan dengan Allah, dan ditransformasikan sebagai umat perjanjian yang baru di dalam dunia. Dengan kata lain, karena identifikasi dengan Kristus, orang percaya sebagai umat perjanjian Allah yang baru berada dalam posisi yang benar di hadapan Allah dan merupakan ekspresi kebenaran Allah di hadapan dunia.</w:t>
      </w:r>
      <w:r w:rsidRPr="004A0C99">
        <w:rPr>
          <w:rStyle w:val="ReferensiCatatanKaki"/>
        </w:rPr>
        <w:footnoteReference w:id="17"/>
      </w:r>
      <w:r w:rsidRPr="004A0C99">
        <w:t xml:space="preserve"> Hal tersebut memberikan sebuah pernyataan yang jelas mengenai perubahan status orang percaya di hadapan Allah. Sebelum Yesus datang, manusia adalah makhluk berdosa yang harus dimurkai Allah. Namun, Yesus datang untuk menanggung dosa dan kesalahan manusia di hadapan Allah. Penebusan yang dilakukan Yesus Kristus membawa orang percaya memiliki status benar di hadapan Allah. Melalui penebusan Yesus Kristus, orang percaya menjadi umat perjanjian di hadapan Allah. Melalui penebusan Yesus Kristus, orang percaya menjadi ekspresi kebenaran Allah di dalam dunia ini. Oleh karena itu, melalui frasa kunci seperti "Dia yang tidak mengenal dosa", "dijadikan-Nya dosa", dan "kita menjadi kebenaran Allah" menegaskan bahwa Yesus Kristus berperan signifikan dalam penebusanNya untuk membawa manusia mengalami transformasi status menjadi orang benar di hadapan Allah.</w:t>
      </w:r>
    </w:p>
    <w:p w14:paraId="6C04261F" w14:textId="77777777" w:rsidR="004A0C99" w:rsidRPr="004A0C99" w:rsidRDefault="004A0C99" w:rsidP="004A0C99">
      <w:pPr>
        <w:jc w:val="both"/>
        <w:rPr>
          <w:i/>
          <w:iCs/>
        </w:rPr>
      </w:pPr>
    </w:p>
    <w:p w14:paraId="763751BE" w14:textId="77777777" w:rsidR="004A0C99" w:rsidRPr="007A27DB" w:rsidRDefault="004A0C99" w:rsidP="004A0C99">
      <w:pPr>
        <w:jc w:val="both"/>
        <w:rPr>
          <w:i/>
          <w:iCs/>
          <w:lang w:val="da-DK"/>
        </w:rPr>
      </w:pPr>
      <w:r w:rsidRPr="007A27DB">
        <w:rPr>
          <w:i/>
          <w:iCs/>
          <w:lang w:val="da-DK"/>
        </w:rPr>
        <w:t>Konsep Justifikasi dalam Kerangka Naratif Kovenantal</w:t>
      </w:r>
    </w:p>
    <w:p w14:paraId="4347E82D" w14:textId="77777777" w:rsidR="004A0C99" w:rsidRPr="007A27DB" w:rsidRDefault="004A0C99" w:rsidP="004A0C99">
      <w:pPr>
        <w:jc w:val="both"/>
        <w:rPr>
          <w:lang w:val="da-DK"/>
        </w:rPr>
      </w:pPr>
      <w:r w:rsidRPr="007A27DB">
        <w:rPr>
          <w:lang w:val="da-DK"/>
        </w:rPr>
        <w:tab/>
        <w:t xml:space="preserve">Tema kovenan terdapat di dalam rangkaian kisah sepanjang Alkitab. Tema kovenan yang terdapat dalam rangkaian kisah sepanjang Alkitab ini juga memiliki konektivitas dengan konsep justifikasi. Kovenan pertama yang terjadi di sepanjang sejarah Alkitab ialah </w:t>
      </w:r>
      <w:r w:rsidRPr="007A27DB">
        <w:rPr>
          <w:lang w:val="da-DK"/>
        </w:rPr>
        <w:lastRenderedPageBreak/>
        <w:t>kovenan antara Allah dengan Adam. Ristiono dan Sirait menyatakan bahwa kovenan yang didirikan dengan Adam, sering disebut sebagai kovenan kerja, dianggap sebagai kovenan primordial antara Ilahi dan manusia, yang dilambangkan oleh Adam. kovenan ini ditandai dengan komitmen untuk memberikan kehidupan dengan imbalan kepatuhan dan untuk memaksakan kematian jika terjadi ketidaktaatan.</w:t>
      </w:r>
      <w:r w:rsidRPr="004A0C99">
        <w:rPr>
          <w:rStyle w:val="ReferensiCatatanKaki"/>
        </w:rPr>
        <w:footnoteReference w:id="18"/>
      </w:r>
      <w:r w:rsidRPr="007A27DB">
        <w:rPr>
          <w:lang w:val="da-DK"/>
        </w:rPr>
        <w:t xml:space="preserve"> Di dalam kovenan kerja, ketaatan Adam merupakan titik kunci kovenan kerja ini berlangsung. Apabila Adam sanggup mentaati kovenan kerja dengan Allah, maka ada imbalan dari kepatuhan tersebut. Namun, apabila Adam tidak mentaati kovenan tersebut, maka kematianlah yang terjadi. Bagaimanapun juga, Adam gagal mentaati kovenan kerja tersebut dan kegagalan Adam membawa dosa memasuki kehidupan manusia. Hal ini menegaskan bahwa kegagalan Adam dalam melaksanakan kovenan kerja membawa manusia mengalami status </w:t>
      </w:r>
      <w:r w:rsidRPr="007A27DB">
        <w:rPr>
          <w:i/>
          <w:iCs/>
          <w:lang w:val="da-DK"/>
        </w:rPr>
        <w:t>unjust</w:t>
      </w:r>
      <w:r w:rsidRPr="007A27DB">
        <w:rPr>
          <w:lang w:val="da-DK"/>
        </w:rPr>
        <w:t xml:space="preserve"> di hadapan Allah. </w:t>
      </w:r>
    </w:p>
    <w:p w14:paraId="38A2CD75" w14:textId="77777777" w:rsidR="004A0C99" w:rsidRPr="007A27DB" w:rsidRDefault="004A0C99" w:rsidP="004A0C99">
      <w:pPr>
        <w:ind w:firstLine="720"/>
        <w:jc w:val="both"/>
        <w:rPr>
          <w:lang w:val="da-DK"/>
        </w:rPr>
      </w:pPr>
      <w:r w:rsidRPr="007A27DB">
        <w:rPr>
          <w:lang w:val="da-DK"/>
        </w:rPr>
        <w:t>Di satu sisi, Allah mengikat kovenan kembali dengan Abraham. Kumar menegaskan bahwa kovenan Abraham menandai perkembangan yang signifikan dalam rencana penebusan Allah, menjanjikan keturunan Abraham, tanah, dan berkat. Ini adalah perjanjian kasih karunia, menekankan iman dan inisiatif Allah dalam membangun umat bagi diri-Nya sendiri.</w:t>
      </w:r>
      <w:r w:rsidRPr="004A0C99">
        <w:rPr>
          <w:rStyle w:val="ReferensiCatatanKaki"/>
        </w:rPr>
        <w:footnoteReference w:id="19"/>
      </w:r>
      <w:r w:rsidRPr="007A27DB">
        <w:rPr>
          <w:lang w:val="da-DK"/>
        </w:rPr>
        <w:t xml:space="preserve"> Kovenan abraham menandakan titik penting dalam kemajuan rencana penebusan Allah, karena di situlah Allah berkomitmen tanpa syarat untuk memberikan keturunan, wilayah, dan berkat kepada Abraham—sebuah tindakan yang menggarisbawahi esensi keselamatan yang baik hati. Dari sudut pandang justifikasi, kovenan  ini menekankan bahwa pembenaran manusia di hadapan Allah tidak bergantung pada usaha manusia, melainkan pada iman sebagai tanggapan terhadap janji Tuhan (Kejadian 15:6; Roma 4:3). Ini menyiratkan bahwa Allah membentuk umat-Nya bukan melalui kepatuhan pada hukum, tetapi melalui hubungan berbasis iman yang dipupuk oleh anugerah ilahi. Akibatnya, kovenan Abraham muncul sebagai pendahulu untuk penjelasan doktrin justifikasi oleh iman, yang akhirnya diwujudkan dalam pekerjaan penebusan Kristus seperti yang digambarkan dalam Perjanjian Baru. </w:t>
      </w:r>
    </w:p>
    <w:p w14:paraId="58B0C371" w14:textId="77777777" w:rsidR="004A0C99" w:rsidRPr="007A27DB" w:rsidRDefault="004A0C99" w:rsidP="004A0C99">
      <w:pPr>
        <w:ind w:firstLine="720"/>
        <w:jc w:val="both"/>
        <w:rPr>
          <w:lang w:val="da-DK"/>
        </w:rPr>
      </w:pPr>
      <w:r w:rsidRPr="007A27DB">
        <w:rPr>
          <w:lang w:val="da-DK"/>
        </w:rPr>
        <w:t>Kembali berfokus kepada kovenan kerja, kovenan kerja kembali terjalin melalui Musa. Purwonugroho menegaskan bahwa kovenan yang didirikan melalui Musa sering dikaitkan dengan ketetapan hukum dan dianggap sebagai perjanjian pekerjaan. Kovenan ini memberikan Taurat kepada orang Israel, yang menggambarkan peraturan dan perintah yang harus mereka patuhi. Kovenan ini penting untuk memahami interaksi antara hukum dan kasih karunia, karena menggarisbawahi perlunya seorang penyelamat karena ketidakmampuan umat manusia untuk sepenuhnya mematuhi hukum.</w:t>
      </w:r>
      <w:r w:rsidRPr="004A0C99">
        <w:rPr>
          <w:rStyle w:val="ReferensiCatatanKaki"/>
        </w:rPr>
        <w:footnoteReference w:id="20"/>
      </w:r>
      <w:r w:rsidRPr="007A27DB">
        <w:rPr>
          <w:lang w:val="da-DK"/>
        </w:rPr>
        <w:t xml:space="preserve"> Dalam konteks konsep justifikasi, kovenan yang ditetapkan melalui Musa sering dianggap sebagai kovenan kerja karena penekanannya pada perlunya pekerjaan kepatuhan manusia terhadap hukum tersebut sebagai prasyarat untuk berkat ilahi. Taurat dianugerahkan kepada Israel bukan sebagai sarana keselamatan yang independen, melainkan sebagai alat reflektif yang menggambarkan dosa dan mengungkapkan standar kebenaran Allah yang sempurna. Kegagalan umat manusia untuk menyesuaikan diri dengan hukum dengan cara yang sempurna menggarisbawahi ketidakcukupan upaya manusia dalam mencapai pembenaran, dengan demikian meletakkan dasar bagi aspirasi pembenaran melalui kasih karunia. Akibatnya, perjanjian Musa muncul sebagai kerangka teologis yang signifikan untuk </w:t>
      </w:r>
      <w:r w:rsidRPr="007A27DB">
        <w:rPr>
          <w:lang w:val="da-DK"/>
        </w:rPr>
        <w:lastRenderedPageBreak/>
        <w:t xml:space="preserve">memahami perlunya seorang Mediator yang mampu memenuhi hukum Taurat dengan sempurna, khususnya Yesus Kristus dalam perjanjian kasih karunia. </w:t>
      </w:r>
    </w:p>
    <w:p w14:paraId="104699E6" w14:textId="77777777" w:rsidR="004A0C99" w:rsidRPr="007A27DB" w:rsidRDefault="004A0C99" w:rsidP="004A0C99">
      <w:pPr>
        <w:ind w:firstLine="720"/>
        <w:jc w:val="both"/>
        <w:rPr>
          <w:lang w:val="da-DK"/>
        </w:rPr>
      </w:pPr>
      <w:r w:rsidRPr="007A27DB">
        <w:rPr>
          <w:lang w:val="da-DK"/>
        </w:rPr>
        <w:t>Pada puncaknya, kovenan melalui Yesus Kristus menjadi penggenapan dari kovenan-kovenan yang terdahulu. Purwonugroho dan Zaluchu menyatakan bahwa kovenan melalui Kristus, sering disebut sebagai perjanjian baru, adalah penggenapan dari semua kovenan sebelumnya. Itu didasarkan pada kasih karunia dan didirikan melalui kehidupan, kematian, dan kebangkitan Yesus Kristus.</w:t>
      </w:r>
      <w:r w:rsidRPr="004A0C99">
        <w:rPr>
          <w:rStyle w:val="ReferensiCatatanKaki"/>
        </w:rPr>
        <w:footnoteReference w:id="21"/>
      </w:r>
      <w:r w:rsidRPr="007A27DB">
        <w:rPr>
          <w:lang w:val="da-DK"/>
        </w:rPr>
        <w:t xml:space="preserve"> Melalui pribadi Yesus Kristus dan karya penebusanNya di atas kayu salib, justifikasi tersebut diberikan kepada orang percaya. Justifikasi diberikan bukan atas dasar daya upaya manusia yang telah rusak oleh dosa. Justifikasi tersebut diberikan karena Yesus Kristus memberikan diriNya untuk mewakili orang percaya di hadapan Allah. Melalui ketaatan Yesus yang sempurna, kematiaNya dalam menanggung dosa manusia, orang percaya diperhitungkan benar di hadapan Allah melalui Yesus Kristus. Oleh karena itu, alur kovenan melalui Adam – Abraham – Musa mengalami puncaknya di dalam Yesus Kristus sebagai penggenap kovenan yang terdahulu agar manusia diperhitungkan benar di hadapan Allah di dalam Yesus.</w:t>
      </w:r>
    </w:p>
    <w:p w14:paraId="7F8AC9D8" w14:textId="77777777" w:rsidR="004A0C99" w:rsidRPr="007A27DB" w:rsidRDefault="004A0C99" w:rsidP="004A0C99">
      <w:pPr>
        <w:jc w:val="both"/>
        <w:rPr>
          <w:lang w:val="da-DK"/>
        </w:rPr>
      </w:pPr>
      <w:r w:rsidRPr="007A27DB">
        <w:rPr>
          <w:lang w:val="da-DK"/>
        </w:rPr>
        <w:tab/>
        <w:t>Teologi Kovenan memberikan kerangka struktural pada doktrin pembenaran. Teologi kovenan mengalami puncaknya di dalam pribadi dan pekerjaan Yesus Kristus saat Ia berada di dunia ini. Moraes menegaskan bahwa Yesus, melalui kehidupan dan kematian-Nya yang taat, memenuhi hukum Taurat sehingga memungkinkan orang percaya untuk menerima pembenaran sebagai anggota umat perjanjian Allah. Pembenaran ini tidak hanya mengubah status hukum orang percaya di hadapan Allah tetapi juga memulai pembaruan internal melalui iman dan kehidupan yang dipimpin oleh Roh Kristus.</w:t>
      </w:r>
      <w:r w:rsidRPr="004A0C99">
        <w:rPr>
          <w:rStyle w:val="ReferensiCatatanKaki"/>
        </w:rPr>
        <w:footnoteReference w:id="22"/>
      </w:r>
      <w:r w:rsidRPr="007A27DB">
        <w:rPr>
          <w:lang w:val="da-DK"/>
        </w:rPr>
        <w:t xml:space="preserve"> Yesus datang untuk menggenapi Hukum Taurat (Matius 5:17). Ketaatan Yesus yang sempurna tidak hanya berhenti pada penggenapan Hukum Taurat saja, melainkan Yesus taat sampai mati (Filipi 2:7-8). Kesempurnaan ketaatan Yesus Kristus membawa orang percaya menjadi umat perjanjian Allah. Status orang percaya yang dahulu ialah seteru Allah, melalui kinerja Yesus kini memiliki status benar di hadapan Allah. Orang percaya kini mengalami penyertaan kehidupan oleh Roh Kudus sebagai dampak dari status benarnya yang telah dikerjakan Yesus Kristus. </w:t>
      </w:r>
    </w:p>
    <w:p w14:paraId="0A6E53A4" w14:textId="77777777" w:rsidR="004A0C99" w:rsidRPr="007A27DB" w:rsidRDefault="004A0C99" w:rsidP="004A0C99">
      <w:pPr>
        <w:ind w:firstLine="720"/>
        <w:jc w:val="both"/>
        <w:rPr>
          <w:lang w:val="da-DK"/>
        </w:rPr>
      </w:pPr>
      <w:r w:rsidRPr="007A27DB">
        <w:rPr>
          <w:lang w:val="da-DK"/>
        </w:rPr>
        <w:t>Selain itu, Yesus Kristus memiliki peranan yang sangat signifikan di dalam perspektif kovenan. Greever menegaskan bahwa Yesus memiliki peran sentral dalam teologi kovenan, di mana Ia dipandang sebagai penggenapan dari janji-janji kovenan dalam Perjanjian Lama. Yesus dianggap sebagai puncak dari narasi alkitabiah, di mana semua janji kovenan Allah dalam Perjanjian Lama mencapai pemenuhannya dalam kovenan baru yang diinisiasi oleh Kristus. Yesus dilihat sebagai Adam yang sejati, Israel yang sejati, dan Daud yang sejati, serta penerima sejati dari janji-janji kovenan.</w:t>
      </w:r>
      <w:r w:rsidRPr="004A0C99">
        <w:rPr>
          <w:rStyle w:val="ReferensiCatatanKaki"/>
        </w:rPr>
        <w:footnoteReference w:id="23"/>
      </w:r>
      <w:r w:rsidRPr="007A27DB">
        <w:rPr>
          <w:lang w:val="da-DK"/>
        </w:rPr>
        <w:t xml:space="preserve"> Dalam kerangka doktrin justifikasi, peran penting Yesus dalam teologi kovenan terkait erat dengan pemahaman bahwa pembenaran melalui iman mewakili penyempurnaan janji Allah yang telah diproklamasikan sejak Perjanjian Lama. Kristus, sebagai realisasi dari kovenan-kovenan yang ditetapkan dengan Abraham, Musa, dan Daud, mencontohkan esensi kovenan melalui ketaatan-Nya yang sempurna dan pengorbanan penebusan-Nya di kayu salib, sehingga memungkinkan umat manusia, melalui iman kepada-Nya, untuk mencapai pembenaran dan rekonsiliasi dengan Allah. Akibatnya, Yesus, sebagai Adam sejati, memulihkan apa yang </w:t>
      </w:r>
      <w:r w:rsidRPr="007A27DB">
        <w:rPr>
          <w:lang w:val="da-DK"/>
        </w:rPr>
        <w:lastRenderedPageBreak/>
        <w:t xml:space="preserve">hilang dalam kejatuhan; sebagai Israel sejati, Dia menyelesaikan hukum Taurat; dan sebagai Daud yang benar, Dia memerintah dengan kebenaran dan membimbing umat menuju kebenaran perjanjian yang diungkapkan dalam pembenaran oleh iman. </w:t>
      </w:r>
    </w:p>
    <w:p w14:paraId="458B6AE8" w14:textId="77777777" w:rsidR="004A0C99" w:rsidRPr="004A0C99" w:rsidRDefault="004A0C99" w:rsidP="004A0C99">
      <w:pPr>
        <w:ind w:firstLine="720"/>
        <w:jc w:val="both"/>
      </w:pPr>
      <w:r w:rsidRPr="007A27DB">
        <w:rPr>
          <w:lang w:val="da-DK"/>
        </w:rPr>
        <w:t>Lebih lanjut lagi, teologi kovenan memberikan kerangka yang solid untuk memahami keselamatan dan pembenaran serta hubungan orang percaya dengan Allah. Wunsch menegaskan bahwa Teologi kovenan memberikan kerangka untuk memahami keselamatan Kristen, termasuk pembenaran dan theosis, dengan mengaitkan hukum dan injil serta persatuan dengan Kristus. Ini menunjukkan bahwa pembenaran tidak hanya merupakan tindakan hukum tetapi juga melibatkan hubungan perjanjian yang dinamis antara Tuhan dan manusia di dalam Kristus. Perjanjian yang dinamis di dalam Kristus ini mengakibatkan munculnya transformasi kehidupan di dalam diri orang percaya.</w:t>
      </w:r>
      <w:r w:rsidRPr="004A0C99">
        <w:rPr>
          <w:rStyle w:val="ReferensiCatatanKaki"/>
        </w:rPr>
        <w:footnoteReference w:id="24"/>
      </w:r>
      <w:r w:rsidRPr="007A27DB">
        <w:rPr>
          <w:lang w:val="da-DK"/>
        </w:rPr>
        <w:t xml:space="preserve"> Persatuan antara hukum dan Injil bukanlah persatuan yang kontradiktif, melainkan </w:t>
      </w:r>
      <w:r w:rsidRPr="007A27DB">
        <w:rPr>
          <w:i/>
          <w:iCs/>
          <w:lang w:val="da-DK"/>
        </w:rPr>
        <w:t xml:space="preserve">complimentary </w:t>
      </w:r>
      <w:r w:rsidRPr="007A27DB">
        <w:rPr>
          <w:lang w:val="da-DK"/>
        </w:rPr>
        <w:t xml:space="preserve">yang mengarah kepada kesatuan relasi kovenan. </w:t>
      </w:r>
      <w:r w:rsidRPr="004A0C99">
        <w:t>Hal tersebut membawa orang percaya mengalami status benar di hadapan Allah melalui Yesus Kristus dan ketaatanNya yang sempurna. Persatuan antara Allah dengan orang percaya yang telah dinyatakan benar tersebut memberikan dampak besar bagi orang percaya. Status benar orang percaya membawa orang percaya mengalami hubungan baik dengan Allah yang membawa kuasa transformatif di dalam kehidupan orang percaya. Oleh karena itu, teologi kovenan memberikan sumbangsih signifikan melalui peran sentral Yesus Kristus sebagai pemenuh kovenan serta membawa orang percaya mengalami status benar di hadapan Allah.</w:t>
      </w:r>
    </w:p>
    <w:p w14:paraId="10912631" w14:textId="77777777" w:rsidR="004A0C99" w:rsidRPr="004A0C99" w:rsidRDefault="004A0C99" w:rsidP="004A0C99">
      <w:pPr>
        <w:jc w:val="both"/>
      </w:pPr>
    </w:p>
    <w:p w14:paraId="2B72EC76" w14:textId="77777777" w:rsidR="004A0C99" w:rsidRPr="007A27DB" w:rsidRDefault="004A0C99" w:rsidP="004A0C99">
      <w:pPr>
        <w:jc w:val="both"/>
        <w:rPr>
          <w:i/>
          <w:iCs/>
          <w:lang w:val="da-DK"/>
        </w:rPr>
      </w:pPr>
      <w:r w:rsidRPr="007A27DB">
        <w:rPr>
          <w:i/>
          <w:iCs/>
          <w:lang w:val="da-DK"/>
        </w:rPr>
        <w:t>Sintesis Teologis antara Teologi Kovenan dan Doktrin Justifikasi</w:t>
      </w:r>
    </w:p>
    <w:p w14:paraId="72E6295B" w14:textId="77777777" w:rsidR="004A0C99" w:rsidRPr="004A0C99" w:rsidRDefault="004A0C99" w:rsidP="004A0C99">
      <w:pPr>
        <w:jc w:val="both"/>
      </w:pPr>
      <w:r w:rsidRPr="007A27DB">
        <w:rPr>
          <w:i/>
          <w:iCs/>
          <w:lang w:val="da-DK"/>
        </w:rPr>
        <w:tab/>
      </w:r>
      <w:r w:rsidRPr="007A27DB">
        <w:rPr>
          <w:lang w:val="da-DK"/>
        </w:rPr>
        <w:t>2 Korintus 5:21 merupakan dasar yang kuat bagi doktrin justifikasi. Di satu sisi, 2 Korintus 5:21 juga merupakan kulminasi dari pemenuhan janji kovenantal di dalam Kristus. 2 Korintus 5:21 menegaskan mengenai peran Yesus Kristus dalam menggantikan posisi manusia yang bersalah di hadapan Allah. Hetmina menyatakan bahwa kematian Yesus dipandang sebagai tindakan pengganti, di mana ia menanggung dosa-dosa umat manusia, memungkinkan orang percaya dibenarkan oleh kebenaran-Nya. Ini adalah tema sentral dalam teologi Paulus, di mana Paulus menekankan bahwa pembenaran adalah melalui darah Kristus.</w:t>
      </w:r>
      <w:r w:rsidRPr="004A0C99">
        <w:rPr>
          <w:rStyle w:val="ReferensiCatatanKaki"/>
        </w:rPr>
        <w:footnoteReference w:id="25"/>
      </w:r>
      <w:r w:rsidRPr="007A27DB">
        <w:rPr>
          <w:lang w:val="da-DK"/>
        </w:rPr>
        <w:t xml:space="preserve"> Yesus secara sukarela menggantikan posisi manusia yang semestinya menerima murka Allah akibat dosa dan pelanggarannya. Penggantian posisi ini mengakibatkan hukuman Allah ditimpakan kepada Yesus, sementara itu kebenaran Kristus ditimpakan kepada orang percaya. Penggantian posisi ini menegaskan bahwa pembenaran di hadapan Allah ialah hasil karya keselamatan Yesus Kristus semata, bukan berasal dari daya upaya manusia. </w:t>
      </w:r>
      <w:r w:rsidRPr="004A0C99">
        <w:t xml:space="preserve">Darah Yesus menjadi penjamin posisi benar manusia di hadapan Allah. </w:t>
      </w:r>
      <w:r w:rsidRPr="007A27DB">
        <w:rPr>
          <w:lang w:val="da-DK"/>
        </w:rPr>
        <w:t>Selain itu, Paulus menegaskan di dalam 2 Korintus 5:21 bahwa Yesus menebus orang percaya dari kutuk. Yamaguchi menyatakan bahwa Paulus menguraikan kematian Yesus sebagai pengorbanan dan kutukan. Paulus menjelaskan bahwa Yesus menjadi kutukan untuk menebus umat manusia dari kutukan perjanjian Musa akibat keberdosaan manusia. Dengan hal ini, era perjanjian baru dimulai di dalam Yesus.</w:t>
      </w:r>
      <w:r w:rsidRPr="004A0C99">
        <w:rPr>
          <w:rStyle w:val="ReferensiCatatanKaki"/>
        </w:rPr>
        <w:footnoteReference w:id="26"/>
      </w:r>
      <w:r w:rsidRPr="007A27DB">
        <w:rPr>
          <w:lang w:val="da-DK"/>
        </w:rPr>
        <w:t xml:space="preserve"> Hukum Taurat memiliki tuntutan yang sempurna dimana kutuk akan menimpa manusia yang tidak melakukan hukum Taurat secara sempurna (Ulangan 27:26). </w:t>
      </w:r>
      <w:r w:rsidRPr="004A0C99">
        <w:t xml:space="preserve">Di satu sisi, kondisi keberdosaan manusia mengakibatkan </w:t>
      </w:r>
      <w:r w:rsidRPr="004A0C99">
        <w:lastRenderedPageBreak/>
        <w:t xml:space="preserve">manusia tidak dimungkinkan untuk mentaati hukum Taurat secara sempurna. Dengan demikian, manusia semestinya menerima kutukan dari Allah. Namun, Yesus menggantikan posisi manusia dengan jalan menerima kutukan tersebut melalui pengorbananNya dan kematianNya di kayu salib. Melalui pengorbanan Yesus, orang percaya tidak menerima kutuk Allah melainkan menerima kebenaran Allah. Hal tersebut menandakan bahwa era perjanjian baru dimulai di dalam Yesus Kristus. Oleh karena itu, 2 Korintus 5:21 memberikan bukti yang kuat bahwa justifikasi merupakan puncak dari pemenuhan janji kovenan di dalam Kristus bagi orang percaya. </w:t>
      </w:r>
    </w:p>
    <w:p w14:paraId="02CD74A2" w14:textId="0613ACD7" w:rsidR="004A0C99" w:rsidRPr="004A0C99" w:rsidRDefault="004A0C99" w:rsidP="004A0C99">
      <w:pPr>
        <w:jc w:val="both"/>
      </w:pPr>
      <w:r w:rsidRPr="004A0C99">
        <w:tab/>
      </w:r>
      <w:r w:rsidRPr="007A27DB">
        <w:rPr>
          <w:lang w:val="da-DK"/>
        </w:rPr>
        <w:t>Yesus Kristus merupakan pemenuh dari kovenan baru. Yesus berperan aktif untuk menanggung kovenan lama dimana hal tersebut membawa orang percaya mengalami kovenan yang baru. Ketaatan Yesus merupakan kunci dari kegenapan kovenan lama tersebut. Vanhoozer menegaskan bahwa Yesus dipandang sebagai penggenap kovenan penebusan melalui ketaatan-Nya yang aktif. Yesus, sebagai Anak Allah yang kekal, mengambil peran sebagai hamba kovenan untuk memenuhi ketentuan kovenan melalui ketaatan aktif-Nya dan menanggung sanksi kovenan kerja – yang gagal ditaati oleh manusia melalui penderitaanNya di kayu salib, sehingga orang percaya memperoleh berkat kovenan berupa adopsi sebagai anak bagi umat Allah.</w:t>
      </w:r>
      <w:r w:rsidRPr="004A0C99">
        <w:rPr>
          <w:rStyle w:val="ReferensiCatatanKaki"/>
        </w:rPr>
        <w:footnoteReference w:id="27"/>
      </w:r>
      <w:r w:rsidRPr="007A27DB">
        <w:rPr>
          <w:lang w:val="da-DK"/>
        </w:rPr>
        <w:t xml:space="preserve"> Inkarnasi Yesus dan ketaatanNya di dalam kehidupanNya selama di dunia ini merupakan pemenuh dari kovenan kerja. Selain itu, Yesus juga menanggung sanksi kovenan kerja yang gagal ditaati oleh manusia karena kondisi </w:t>
      </w:r>
      <w:r w:rsidRPr="007A27DB">
        <w:rPr>
          <w:i/>
          <w:iCs/>
          <w:lang w:val="da-DK"/>
        </w:rPr>
        <w:t>total depravity</w:t>
      </w:r>
      <w:r w:rsidRPr="007A27DB">
        <w:rPr>
          <w:lang w:val="da-DK"/>
        </w:rPr>
        <w:t>nya. Melalui penderitaanNya di kayu salib, orang percaya menerima kovenan yang baru. Orang percaya dinyatakan sebagai umat Allah bahkan orang percaya juga dinyatakan sebagai anak Allah melalui ketaatan Yesus di atas kayu salib. Dengan kata lain, ketaatan aktif  Yesus membawa orang percaya beroleh status anak Allah sebagai berkat dari kovenan baru di dalam Yesus. Selain itu, Yesus juga berperan sebagai mediator di dalam kovenan baru tersebut. Jordaan menyatakan bahwa Kristus disebut sebagai Mediator dari Kovenan Baru, yang berbeda dengan kovenan lama. Kovenan Baru ini tidak hanya membandingkan dengan kovenan lama, tetapi juga memberikan harapan baru bagi umat manusia yang jatuh dalam dosa. Darah Kristus membawa rekonsiliasi penuh dengan Tuhan dan keselamatan dari pembalasan-Nya, yang merupakan hasil baru dari kovenan yang mengarah pada pengorbanan rekonsiliatif Kristus.</w:t>
      </w:r>
      <w:r w:rsidRPr="004A0C99">
        <w:rPr>
          <w:rStyle w:val="ReferensiCatatanKaki"/>
        </w:rPr>
        <w:footnoteReference w:id="28"/>
      </w:r>
      <w:r w:rsidRPr="007A27DB">
        <w:rPr>
          <w:lang w:val="da-DK"/>
        </w:rPr>
        <w:t xml:space="preserve"> Yesus menjadi rekonsiliator dalam hubungan antara Allah dengan manusia yang telah terpisah oleh dosa. Di dalam kovenan baru, Yesus memberikan sebuah harapan bagi manusia yang telah rusak oleh dosa. </w:t>
      </w:r>
      <w:r w:rsidRPr="004A0C99">
        <w:t>Pengorbanan Yesus untuk menanggung dosa membawa pendamaian bagi manusia yang terpisah dengan Allah karena dosa. Melalui Yesus sebagai mediator, umat Allah dapat memiliki hubungan yang intim dan harmonis. Hubungan tersebut merupakan berkat dari kovenan yang baru. Dengan demikian, Yesus Kristus merpuakan representasi kovenan baru yang menanggung konsekuensi kutuk kovenan lama sehingga orang percaya menerima pembenaran di dalam kovenan yang baru oleh Kristus.</w:t>
      </w:r>
      <w:r w:rsidR="00CA3261">
        <w:t xml:space="preserve"> Di dalam Yesus, orang percaya dipersatukan untuk menjadi komunitas kovenan yang baru.</w:t>
      </w:r>
    </w:p>
    <w:p w14:paraId="1F0025F9" w14:textId="77777777" w:rsidR="004A0C99" w:rsidRPr="004A0C99" w:rsidRDefault="004A0C99" w:rsidP="004A0C99">
      <w:pPr>
        <w:jc w:val="both"/>
      </w:pPr>
    </w:p>
    <w:p w14:paraId="63BD80FF" w14:textId="77777777" w:rsidR="004A0C99" w:rsidRPr="007A27DB" w:rsidRDefault="004A0C99" w:rsidP="004A0C99">
      <w:pPr>
        <w:jc w:val="both"/>
        <w:rPr>
          <w:i/>
          <w:iCs/>
          <w:lang w:val="da-DK"/>
        </w:rPr>
      </w:pPr>
      <w:r w:rsidRPr="007A27DB">
        <w:rPr>
          <w:i/>
          <w:iCs/>
          <w:lang w:val="da-DK"/>
        </w:rPr>
        <w:t>Implikasi Teologis dan Dogmatis</w:t>
      </w:r>
    </w:p>
    <w:p w14:paraId="780AA8AD" w14:textId="77777777" w:rsidR="004A0C99" w:rsidRPr="007A27DB" w:rsidRDefault="004A0C99" w:rsidP="004A0C99">
      <w:pPr>
        <w:jc w:val="both"/>
        <w:rPr>
          <w:lang w:val="da-DK"/>
        </w:rPr>
      </w:pPr>
      <w:r w:rsidRPr="007A27DB">
        <w:rPr>
          <w:i/>
          <w:iCs/>
          <w:lang w:val="da-DK"/>
        </w:rPr>
        <w:tab/>
      </w:r>
      <w:r w:rsidRPr="007A27DB">
        <w:rPr>
          <w:lang w:val="da-DK"/>
        </w:rPr>
        <w:t xml:space="preserve">Sintesis teologi kovenan dan doktrin justifikasi dalam terang 2 Kkorintus 5:21 memberikan implikasi teologis dan dogmatis yang kuat untuk meneguhkan imputasi ganda sebagai hasil relasional kovenantal. Imputasi ganda memberikan konfirmasi tegas mengenai kebenaran Kristus bagi orang percaya di hadapan Allah. Kaligis dan Manogu menyatakan bahwa Imputasi ganda menegaskan bahwa kebenaran Kristus diperhitungkan kepada orang </w:t>
      </w:r>
      <w:r w:rsidRPr="007A27DB">
        <w:rPr>
          <w:lang w:val="da-DK"/>
        </w:rPr>
        <w:lastRenderedPageBreak/>
        <w:t>percaya, dan dosa-dosa mereka diperhitungkan kepada Kristus. Hal ini dipandang sebagai pemenuhan keadilan ilahi, dengan iman bertindak sebagai alat yang melaluinya orang percaya dibenarkan oleh rahmat Allah.</w:t>
      </w:r>
      <w:r w:rsidRPr="004A0C99">
        <w:rPr>
          <w:rStyle w:val="ReferensiCatatanKaki"/>
        </w:rPr>
        <w:footnoteReference w:id="29"/>
      </w:r>
      <w:r w:rsidRPr="007A27DB">
        <w:rPr>
          <w:lang w:val="da-DK"/>
        </w:rPr>
        <w:t xml:space="preserve"> Melalui struktur kovenan, imputasi ganda ini menekankan keagungan peran Yesus Kristus sebagai Adam ke dua yang menggenapi kovenan kerja secara sempurna atas nama orang percaya. Dalam hal ini, kebenaran Kristus secara legal dan forensik diperhitungkan kepada orang percaya yang telah dipersatukan menjadi umat perjanjian melalui iman kepada Yesus Kristus. lebih lanjut lagi, peran Yesus Kristus dalam membenarkan orang percaya tidak lepas dari kesempurnaan ketaatanNya. Purwonugroho, Halawa dan Panggabean menyatakan bahwa kebenaran Kristus diperhitungkan kepada manusia karena ketaatan Yesus Kristus di kayu salib secara sempurna mewakili manusia. Ketaatan Yesus membawa orang percaya mengalami hubungan kembali dengan Allah di dalam keharmonisan dan kebenaran.</w:t>
      </w:r>
      <w:r w:rsidRPr="004A0C99">
        <w:rPr>
          <w:rStyle w:val="ReferensiCatatanKaki"/>
        </w:rPr>
        <w:footnoteReference w:id="30"/>
      </w:r>
      <w:r w:rsidRPr="007A27DB">
        <w:rPr>
          <w:lang w:val="da-DK"/>
        </w:rPr>
        <w:t xml:space="preserve"> </w:t>
      </w:r>
      <w:r w:rsidRPr="004A0C99">
        <w:t xml:space="preserve">Hal tersebut membawa umat percaya menjadi umat perjanjian baru di hadapan Allah. Ketaatan Yesus Kristus yang sempurna membawa pendamaian bagi Allah sehingga orang percaya kini dapat hidup secara harmonis dengan Allah melalui Yesus Kristus. </w:t>
      </w:r>
      <w:r w:rsidRPr="007A27DB">
        <w:rPr>
          <w:lang w:val="da-DK"/>
        </w:rPr>
        <w:t>Oleh karena itu, sintesis teologi kovenan dan doktrin justifikasi dalam terang 2 Korintus 5:21 menegaskan konsep imputasi ganda sebagai hasil dari relasi kovenantal.</w:t>
      </w:r>
    </w:p>
    <w:p w14:paraId="4BF5E038" w14:textId="77777777" w:rsidR="004A0C99" w:rsidRPr="004A0C99" w:rsidRDefault="004A0C99" w:rsidP="004A0C99">
      <w:pPr>
        <w:jc w:val="both"/>
      </w:pPr>
      <w:r w:rsidRPr="007A27DB">
        <w:rPr>
          <w:lang w:val="da-DK"/>
        </w:rPr>
        <w:tab/>
        <w:t>Sintesis teologi kovenan dan doktrin justifikasi dalam terang 2 Korintus 5:21 juga memberikan penguatan pemahaman tentang justifikasi. Justifikasi tidak hanya sekedar dipandang sebagai status forensik, melainkan juga justifikasi dipandang sebagai realitas relasional dan perjanjian. Justifikasi secara forensik menegaskan sebuah deklarasi kebenaran di dalam teologi Kristen. Nessan menyatakan bahwa Justifikasi sebagai status forensik atau deklaratif dalam konteks teologi Kristen. Justifikasi orang percaya ditegaskan melalui penebusan Yesus yang menggantikan manusia untuk menanggung dosa manusia. Justifikasi ini menegaskan bahwa orang percaya di dalam Yesus adalah benar seutuhnya dan hal ini merupakan tindakan eksternal yang tidak memerlukan seseorang untuk menjadi suci terlebih dahulu untuk dinyatakan benar.</w:t>
      </w:r>
      <w:r w:rsidRPr="004A0C99">
        <w:rPr>
          <w:rStyle w:val="ReferensiCatatanKaki"/>
        </w:rPr>
        <w:footnoteReference w:id="31"/>
      </w:r>
      <w:r w:rsidRPr="007A27DB">
        <w:rPr>
          <w:lang w:val="da-DK"/>
        </w:rPr>
        <w:t xml:space="preserve"> Melalui penebusan Yesus Kristus bagi orang percaya, orang percaya dideklarasikan benar di hadapan Allah. Deklarasi benar ini tidak melibatkan sedikitpun daya upaya manusia untuk dinyatakan benar. Deklarasi justifikasi ini semata-mata dan sepenuhnya ialah hasil upaya eksternal yaitu upaya Yesus Kristus semata dalam membenarkan orang percaya melalui karya salibNya. </w:t>
      </w:r>
      <w:r w:rsidRPr="004A0C99">
        <w:t>Di satu sisi, justifikasi juga dipandang sebagai realitas relasional Allah dengan manusia orang percaya. Simut menyatakan bahwa Justifikasi sebagai realitas relasional antara manusia dengan Allah menekankan status kekal dan janji ilahi yang menghubungkan manusia dengan Allah melalui iman kepada Kristus.</w:t>
      </w:r>
      <w:r w:rsidRPr="004A0C99">
        <w:rPr>
          <w:rStyle w:val="ReferensiCatatanKaki"/>
        </w:rPr>
        <w:footnoteReference w:id="32"/>
      </w:r>
      <w:r w:rsidRPr="004A0C99">
        <w:t xml:space="preserve"> Melalui penebusan Yesus Kristus, orang percaya kembali memiliki hubungan yang harmonis dengan Allah. Penebusan Yesus Kristus meniadakan permusuhan antara Allah dengan manusia karena dosa Adam. Melalui penebusan Yesus Kristus, orang percaya dideklarasikan sebagai orang benar. Deklarasi justifikasi tersebut membawa orang percaya memiliki hubungan yang harmonis dan mendalam dengan Allah. Hal tersebut dapat dialami </w:t>
      </w:r>
      <w:r w:rsidRPr="004A0C99">
        <w:lastRenderedPageBreak/>
        <w:t xml:space="preserve">melalui iman kepada Yesus Kristus. Selain itu, justifikasi juga dipandang memiliki realitas perjanjian. </w:t>
      </w:r>
    </w:p>
    <w:p w14:paraId="32A7A96C" w14:textId="77777777" w:rsidR="004A0C99" w:rsidRPr="007A27DB" w:rsidRDefault="004A0C99" w:rsidP="004A0C99">
      <w:pPr>
        <w:ind w:firstLine="720"/>
        <w:jc w:val="both"/>
        <w:rPr>
          <w:lang w:val="da-DK"/>
        </w:rPr>
      </w:pPr>
      <w:r w:rsidRPr="004A0C99">
        <w:t>Justifikasi muncul sebagai kegenapan kovenan di dalam Yesus Kristus. Moraes menyatakan bahwa justifikasi adalah karunia kasih karunia, diterima melalui iman kepada Yesus Kristus, dan bukan oleh perbuatan hukum Taurat. Justifikasi dinyatakan melalui kesetiaan Yesus Kristus, menyoroti bahwa kepatuhan Kristus dan kematian korban memenuhi tuntutan hukum Taurat, sehingga memungkinkan orang percaya mewarisi berkat-berkat Perjanjian Baru.</w:t>
      </w:r>
      <w:r w:rsidRPr="004A0C99">
        <w:rPr>
          <w:rStyle w:val="ReferensiCatatanKaki"/>
        </w:rPr>
        <w:footnoteReference w:id="33"/>
      </w:r>
      <w:r w:rsidRPr="004A0C99">
        <w:t xml:space="preserve"> Justifikasi dalam konteks kovenan menegaskan bahwa Allah membenarkan orang percaya melalui ketaatan Yesus Kristus dan pengorbananNya di kayu salib. Manusia tidak dapat dinyatakan benar melalui ketaatan manusia yang tidak sempurna di dalam kovena kerja yaitu Hukum Taurat. Melalui kepatuhan Yesus Kristus mewakili umat manusia secara sempurna, orang percaya beroleh beroleh berkat-berkat perjajian baru. Melalui ketaatan Yesus Kristus, orang percaya juga dipersatukan menjadi umat perjanjian Allah. </w:t>
      </w:r>
      <w:r w:rsidRPr="007A27DB">
        <w:rPr>
          <w:lang w:val="da-DK"/>
        </w:rPr>
        <w:t>Oleh karena itu, sintesis teologi kovenan dan doktrin justifikasi dalam terang 2 Korintus 5:21 memberikan penguatan mengenai justifikasi tidak hanya sebagai status forensik, melainkan realitas relasional dan realitas perjanjian.</w:t>
      </w:r>
    </w:p>
    <w:p w14:paraId="651B6F58" w14:textId="77777777" w:rsidR="004A0C99" w:rsidRPr="007A27DB" w:rsidRDefault="004A0C99" w:rsidP="004A0C99">
      <w:pPr>
        <w:jc w:val="both"/>
        <w:rPr>
          <w:lang w:val="da-DK"/>
        </w:rPr>
      </w:pPr>
    </w:p>
    <w:p w14:paraId="135ABFC8" w14:textId="77777777" w:rsidR="00C30472" w:rsidRPr="007A27DB" w:rsidRDefault="00C30472">
      <w:pPr>
        <w:jc w:val="both"/>
        <w:rPr>
          <w:lang w:val="da-DK"/>
        </w:rPr>
      </w:pPr>
    </w:p>
    <w:p w14:paraId="1B7C2636" w14:textId="77777777" w:rsidR="00C30472" w:rsidRPr="007A27DB" w:rsidRDefault="00000000">
      <w:pPr>
        <w:tabs>
          <w:tab w:val="left" w:pos="284"/>
        </w:tabs>
        <w:jc w:val="both"/>
        <w:rPr>
          <w:b/>
          <w:lang w:val="da-DK"/>
        </w:rPr>
      </w:pPr>
      <w:r w:rsidRPr="007A27DB">
        <w:rPr>
          <w:b/>
          <w:lang w:val="da-DK"/>
        </w:rPr>
        <w:t>KESIMPULAN</w:t>
      </w:r>
    </w:p>
    <w:p w14:paraId="227DEEE5" w14:textId="1ED212AA" w:rsidR="00C30472" w:rsidRPr="007A27DB" w:rsidRDefault="00000000" w:rsidP="004A0C99">
      <w:pPr>
        <w:tabs>
          <w:tab w:val="left" w:pos="284"/>
        </w:tabs>
        <w:jc w:val="both"/>
        <w:rPr>
          <w:lang w:val="da-DK"/>
        </w:rPr>
      </w:pPr>
      <w:r w:rsidRPr="007A27DB">
        <w:rPr>
          <w:lang w:val="da-DK"/>
        </w:rPr>
        <w:tab/>
      </w:r>
      <w:r w:rsidRPr="007A27DB">
        <w:rPr>
          <w:lang w:val="da-DK"/>
        </w:rPr>
        <w:tab/>
      </w:r>
      <w:r w:rsidR="004A0C99" w:rsidRPr="007A27DB">
        <w:rPr>
          <w:lang w:val="da-DK"/>
        </w:rPr>
        <w:t xml:space="preserve">Justifikasi merupakan doktrin yang menyatakan kebenaran manusia di hadapan Allah melalui iman kepada Yesus Kristus, bukan dengan usaha perbuatan baik manusia. Di satu sisi, teologi kovenan menggambarkan sejarah relasi Allah dengan umat manusia dalam perspektif kovenan. Hubungan antara teologi kovenan dan doktrin justifikasi dapat disintesiskan secara utuh dan kedua hal tersebut bertumpu pada pengorbanan Yesus. Kematian Yesus sebagai pengganti manusia untuk menanggung segala dosa dan kesalahan merupakan puncak dari janji keselamatan yang telah bergema sepanjang perjanjian lama. </w:t>
      </w:r>
      <w:r w:rsidR="004A0C99" w:rsidRPr="004A0C99">
        <w:t xml:space="preserve">Melalui kematian Yesus, orang percaya yang menaruh iman kepada Yesus Kristus dinyatakan benar di hadapan Allah. </w:t>
      </w:r>
      <w:r w:rsidR="004A0C99" w:rsidRPr="007A27DB">
        <w:rPr>
          <w:lang w:val="da-DK"/>
        </w:rPr>
        <w:t>Lebih lanjut lagi, 2 Korintus 5:21 memberikan landasan yang kuat untuk konstruksi sintesis teologi kovenan dan doktrin justifikasi tersebut. 2 Korintus 5:21 menegaskan bahwa Yesus merupakan pengganti posisi manusia berdosa. Yesus Kristus tidak memiliki dosa sedikitpun. Namun, Allah membuat Yesus menjadi kegenapan janji keselamatan dalam perjanjian lama untuk menanggung hukuman dosa. Sintesis teologi kovenan dan doktrin justifikasi melalui 2 Korintus 5:21 memberikan implikasi dogmatis dan teologis yang kuat. Sintesis tersebut meneguhkan imputasi ganda yaitu kebenaran Kristus yang diperhitungkan di dalam orang percaya sebagai hasil dari relasional kovenantal. Selain itu, sintesis teologis tersebut juga memberikan penguatan pemahaman justifikasi sebagai realitas relasional dan kovenantal. Oleh karena itu, penulis menyimpulkan bahwa 2 Korintus 5:21 merupakan landasan yang kuat dan solid untuk mensintesiskan teologi kovenan dan doktrin justifikasi.</w:t>
      </w:r>
    </w:p>
    <w:p w14:paraId="74941A23" w14:textId="77777777" w:rsidR="004A0C99" w:rsidRPr="007A27DB" w:rsidRDefault="004A0C99" w:rsidP="004A0C99">
      <w:pPr>
        <w:tabs>
          <w:tab w:val="left" w:pos="284"/>
        </w:tabs>
        <w:jc w:val="both"/>
        <w:rPr>
          <w:b/>
          <w:lang w:val="da-DK"/>
        </w:rPr>
      </w:pPr>
    </w:p>
    <w:p w14:paraId="544295B7" w14:textId="77777777" w:rsidR="00C30472" w:rsidRPr="007A27DB" w:rsidRDefault="00000000">
      <w:pPr>
        <w:rPr>
          <w:b/>
          <w:lang w:val="da-DK"/>
        </w:rPr>
      </w:pPr>
      <w:r w:rsidRPr="007A27DB">
        <w:rPr>
          <w:b/>
          <w:lang w:val="da-DK"/>
        </w:rPr>
        <w:t xml:space="preserve">DAFTAR PUSTAKA </w:t>
      </w:r>
    </w:p>
    <w:p w14:paraId="70BBA407" w14:textId="77777777" w:rsidR="004A0C99" w:rsidRPr="004A0C99" w:rsidRDefault="004A0C99" w:rsidP="004A0C99">
      <w:pPr>
        <w:widowControl w:val="0"/>
        <w:autoSpaceDE w:val="0"/>
        <w:autoSpaceDN w:val="0"/>
        <w:adjustRightInd w:val="0"/>
        <w:ind w:left="480" w:hanging="480"/>
      </w:pPr>
      <w:r w:rsidRPr="004A0C99">
        <w:fldChar w:fldCharType="begin" w:fldLock="1"/>
      </w:r>
      <w:r w:rsidRPr="007B77E0">
        <w:rPr>
          <w:lang w:val="en-ID"/>
        </w:rPr>
        <w:instrText xml:space="preserve">ADDIN Mendeley Bibliography CSL_BIBLIOGRAPHY </w:instrText>
      </w:r>
      <w:r w:rsidRPr="004A0C99">
        <w:fldChar w:fldCharType="separate"/>
      </w:r>
      <w:r w:rsidRPr="007B77E0">
        <w:rPr>
          <w:lang w:val="en-ID"/>
        </w:rPr>
        <w:t xml:space="preserve">Asselt, Willem J. van. </w:t>
      </w:r>
      <w:r w:rsidRPr="004A0C99">
        <w:t xml:space="preserve">“Covenant Theology: An Invitation to Friendship.” </w:t>
      </w:r>
      <w:r w:rsidRPr="004A0C99">
        <w:rPr>
          <w:i/>
          <w:iCs/>
        </w:rPr>
        <w:t>NTT Journal for Theology and the Study of Religion</w:t>
      </w:r>
      <w:r w:rsidRPr="004A0C99">
        <w:t xml:space="preserve"> 64, no. 1 (2010): 1–15. https://doi.org/10.5117/ntt2010.64.001.asse.</w:t>
      </w:r>
    </w:p>
    <w:p w14:paraId="69908F5C" w14:textId="77777777" w:rsidR="004A0C99" w:rsidRPr="004A0C99" w:rsidRDefault="004A0C99" w:rsidP="004A0C99">
      <w:pPr>
        <w:widowControl w:val="0"/>
        <w:autoSpaceDE w:val="0"/>
        <w:autoSpaceDN w:val="0"/>
        <w:adjustRightInd w:val="0"/>
        <w:ind w:left="480" w:hanging="480"/>
      </w:pPr>
      <w:r w:rsidRPr="004A0C99">
        <w:t xml:space="preserve">Chia, Yee Xian. “Paul’s Justification by Faith: Reformers’ Perspective and Implication for Theological Learning.” </w:t>
      </w:r>
      <w:r w:rsidRPr="004A0C99">
        <w:rPr>
          <w:i/>
          <w:iCs/>
        </w:rPr>
        <w:t>Jurnal Jaffray</w:t>
      </w:r>
      <w:r w:rsidRPr="004A0C99">
        <w:t xml:space="preserve"> 20, no. 2 (2022): 180. https://doi.org/10.25278/jj.v20i2.720.</w:t>
      </w:r>
    </w:p>
    <w:p w14:paraId="69D8AF23" w14:textId="77777777" w:rsidR="004A0C99" w:rsidRPr="004A0C99" w:rsidRDefault="004A0C99" w:rsidP="004A0C99">
      <w:pPr>
        <w:widowControl w:val="0"/>
        <w:autoSpaceDE w:val="0"/>
        <w:autoSpaceDN w:val="0"/>
        <w:adjustRightInd w:val="0"/>
        <w:ind w:left="480" w:hanging="480"/>
      </w:pPr>
      <w:r w:rsidRPr="004A0C99">
        <w:t xml:space="preserve">Comfort, Phillip W. </w:t>
      </w:r>
      <w:r w:rsidRPr="004A0C99">
        <w:rPr>
          <w:i/>
          <w:iCs/>
        </w:rPr>
        <w:t>1 Corinthians &amp; 2 Corinthians</w:t>
      </w:r>
      <w:r w:rsidRPr="004A0C99">
        <w:t xml:space="preserve">. Illinois: Tyndale House Publishers, </w:t>
      </w:r>
      <w:r w:rsidRPr="004A0C99">
        <w:lastRenderedPageBreak/>
        <w:t>2009.</w:t>
      </w:r>
    </w:p>
    <w:p w14:paraId="38C3AF14" w14:textId="77777777" w:rsidR="004A0C99" w:rsidRPr="004A0C99" w:rsidRDefault="004A0C99" w:rsidP="004A0C99">
      <w:pPr>
        <w:widowControl w:val="0"/>
        <w:autoSpaceDE w:val="0"/>
        <w:autoSpaceDN w:val="0"/>
        <w:adjustRightInd w:val="0"/>
        <w:ind w:left="480" w:hanging="480"/>
      </w:pPr>
      <w:r w:rsidRPr="004A0C99">
        <w:t>Cosme De Moraes, L. “Justification by Faith in Galatians 2.15-21: An Exegetical Study.” North-West University, 2019.</w:t>
      </w:r>
    </w:p>
    <w:p w14:paraId="4620522E" w14:textId="77777777" w:rsidR="004A0C99" w:rsidRPr="004A0C99" w:rsidRDefault="004A0C99" w:rsidP="004A0C99">
      <w:pPr>
        <w:widowControl w:val="0"/>
        <w:autoSpaceDE w:val="0"/>
        <w:autoSpaceDN w:val="0"/>
        <w:adjustRightInd w:val="0"/>
        <w:ind w:left="480" w:hanging="480"/>
      </w:pPr>
      <w:r w:rsidRPr="004A0C99">
        <w:t xml:space="preserve">Cunningham, Philip A. “A Covenantal Christology.” </w:t>
      </w:r>
      <w:r w:rsidRPr="004A0C99">
        <w:rPr>
          <w:i/>
          <w:iCs/>
        </w:rPr>
        <w:t>Studies in Christian-Jewish Relations</w:t>
      </w:r>
      <w:r w:rsidRPr="004A0C99">
        <w:t xml:space="preserve"> 1, no. 1 (2005): 41–52. https://doi.org/doi: 10.6017/SCJR.V1I1.1355.</w:t>
      </w:r>
    </w:p>
    <w:p w14:paraId="60FD863A" w14:textId="77777777" w:rsidR="004A0C99" w:rsidRPr="004A0C99" w:rsidRDefault="004A0C99" w:rsidP="004A0C99">
      <w:pPr>
        <w:widowControl w:val="0"/>
        <w:autoSpaceDE w:val="0"/>
        <w:autoSpaceDN w:val="0"/>
        <w:adjustRightInd w:val="0"/>
        <w:ind w:left="480" w:hanging="480"/>
      </w:pPr>
      <w:r w:rsidRPr="004A0C99">
        <w:t xml:space="preserve">Greever, Joshua M. “The Nature of the New Covenant: A Case Study in Ephesians 2:11-22.” </w:t>
      </w:r>
      <w:r w:rsidRPr="004A0C99">
        <w:rPr>
          <w:i/>
          <w:iCs/>
        </w:rPr>
        <w:t>Sbjt</w:t>
      </w:r>
      <w:r w:rsidRPr="004A0C99">
        <w:t xml:space="preserve"> 20, no. 1 (2016): 73–89. http://www.sbts.edu/resources/journal-of-theology/sbjt-201-spring-2016/nature-new-covenant-case-study-ephesians-211-22/.</w:t>
      </w:r>
    </w:p>
    <w:p w14:paraId="79133EE7" w14:textId="77777777" w:rsidR="004A0C99" w:rsidRPr="004A0C99" w:rsidRDefault="004A0C99" w:rsidP="004A0C99">
      <w:pPr>
        <w:widowControl w:val="0"/>
        <w:autoSpaceDE w:val="0"/>
        <w:autoSpaceDN w:val="0"/>
        <w:adjustRightInd w:val="0"/>
        <w:ind w:left="480" w:hanging="480"/>
      </w:pPr>
      <w:r w:rsidRPr="004A0C99">
        <w:t xml:space="preserve">Guthrie, George H. </w:t>
      </w:r>
      <w:r w:rsidRPr="004A0C99">
        <w:rPr>
          <w:i/>
          <w:iCs/>
        </w:rPr>
        <w:t>2 Corinthians</w:t>
      </w:r>
      <w:r w:rsidRPr="004A0C99">
        <w:t>. Grand Rapids, Michigan: Baker Academic, 2015.</w:t>
      </w:r>
    </w:p>
    <w:p w14:paraId="726109F8" w14:textId="77777777" w:rsidR="004A0C99" w:rsidRPr="004A0C99" w:rsidRDefault="004A0C99" w:rsidP="004A0C99">
      <w:pPr>
        <w:widowControl w:val="0"/>
        <w:autoSpaceDE w:val="0"/>
        <w:autoSpaceDN w:val="0"/>
        <w:adjustRightInd w:val="0"/>
        <w:ind w:left="480" w:hanging="480"/>
      </w:pPr>
      <w:r w:rsidRPr="004A0C99">
        <w:t xml:space="preserve">Hetmina, Widarty. “Studi Tentang Pembenaran Dalam Kristus Menurut Roma 5:1-11.” </w:t>
      </w:r>
      <w:r w:rsidRPr="004A0C99">
        <w:rPr>
          <w:i/>
          <w:iCs/>
        </w:rPr>
        <w:t>Jurnal Luxnos</w:t>
      </w:r>
      <w:r w:rsidRPr="004A0C99">
        <w:t xml:space="preserve"> 4, no. 2 (2021): 255–66. https://doi.org/10.47304/jl.v4i2.133.</w:t>
      </w:r>
    </w:p>
    <w:p w14:paraId="0FC85839" w14:textId="77777777" w:rsidR="004A0C99" w:rsidRPr="004A0C99" w:rsidRDefault="004A0C99" w:rsidP="004A0C99">
      <w:pPr>
        <w:widowControl w:val="0"/>
        <w:autoSpaceDE w:val="0"/>
        <w:autoSpaceDN w:val="0"/>
        <w:adjustRightInd w:val="0"/>
        <w:ind w:left="480" w:hanging="480"/>
      </w:pPr>
      <w:r w:rsidRPr="004A0C99">
        <w:t xml:space="preserve">Hooker, Morna D. “On Becoming the Righteousness of God: Another Look at 2 Cor 5:21.” </w:t>
      </w:r>
      <w:r w:rsidRPr="004A0C99">
        <w:rPr>
          <w:i/>
          <w:iCs/>
        </w:rPr>
        <w:t>Novum Testamentum</w:t>
      </w:r>
      <w:r w:rsidRPr="004A0C99">
        <w:t xml:space="preserve"> 50, no. 4 (2008): 358–75. https://doi.org/10.1163/156853608X318466.</w:t>
      </w:r>
    </w:p>
    <w:p w14:paraId="13ED3031" w14:textId="77777777" w:rsidR="004A0C99" w:rsidRPr="004A0C99" w:rsidRDefault="004A0C99" w:rsidP="004A0C99">
      <w:pPr>
        <w:widowControl w:val="0"/>
        <w:autoSpaceDE w:val="0"/>
        <w:autoSpaceDN w:val="0"/>
        <w:adjustRightInd w:val="0"/>
        <w:ind w:left="480" w:hanging="480"/>
      </w:pPr>
      <w:r w:rsidRPr="004A0C99">
        <w:t xml:space="preserve">Hughes, R Kent. </w:t>
      </w:r>
      <w:r w:rsidRPr="004A0C99">
        <w:rPr>
          <w:i/>
          <w:iCs/>
        </w:rPr>
        <w:t>2 Corinthians</w:t>
      </w:r>
      <w:r w:rsidRPr="004A0C99">
        <w:t>. Wheaton, Illinois: Crossway Book, 2006.</w:t>
      </w:r>
    </w:p>
    <w:p w14:paraId="0D5E8518" w14:textId="77777777" w:rsidR="004A0C99" w:rsidRPr="004A0C99" w:rsidRDefault="004A0C99" w:rsidP="004A0C99">
      <w:pPr>
        <w:widowControl w:val="0"/>
        <w:autoSpaceDE w:val="0"/>
        <w:autoSpaceDN w:val="0"/>
        <w:adjustRightInd w:val="0"/>
        <w:ind w:left="480" w:hanging="480"/>
      </w:pPr>
      <w:r w:rsidRPr="004A0C99">
        <w:t xml:space="preserve">Hunter, D. J., J. Mccallum, and D. Howes. “Defining Exploratory-Descriptive Qualitative Research and Considering Its Application to Healthcare.” </w:t>
      </w:r>
      <w:r w:rsidRPr="004A0C99">
        <w:rPr>
          <w:i/>
          <w:iCs/>
        </w:rPr>
        <w:t>Journal of Nursing and Health Care</w:t>
      </w:r>
      <w:r w:rsidRPr="004A0C99">
        <w:t xml:space="preserve"> 4, no. 1 (2019): 1–7.</w:t>
      </w:r>
    </w:p>
    <w:p w14:paraId="7E24B385" w14:textId="77777777" w:rsidR="004A0C99" w:rsidRPr="004A0C99" w:rsidRDefault="004A0C99" w:rsidP="004A0C99">
      <w:pPr>
        <w:widowControl w:val="0"/>
        <w:autoSpaceDE w:val="0"/>
        <w:autoSpaceDN w:val="0"/>
        <w:adjustRightInd w:val="0"/>
        <w:ind w:left="480" w:hanging="480"/>
      </w:pPr>
      <w:r w:rsidRPr="004A0C99">
        <w:t xml:space="preserve">Jordaan, Gert J.C. “Some Reflections on the ‘New Covenant’ in Hebrews 12:24.” </w:t>
      </w:r>
      <w:r w:rsidRPr="004A0C99">
        <w:rPr>
          <w:i/>
          <w:iCs/>
        </w:rPr>
        <w:t>In Die Skriflig/In Luce Verbi</w:t>
      </w:r>
      <w:r w:rsidRPr="004A0C99">
        <w:t xml:space="preserve"> 50, no. 4 (2016): 8. https://doi.org/10.4102/ids.v50i4.2140.</w:t>
      </w:r>
    </w:p>
    <w:p w14:paraId="6107F24C" w14:textId="77777777" w:rsidR="004A0C99" w:rsidRPr="004A0C99" w:rsidRDefault="004A0C99" w:rsidP="004A0C99">
      <w:pPr>
        <w:widowControl w:val="0"/>
        <w:autoSpaceDE w:val="0"/>
        <w:autoSpaceDN w:val="0"/>
        <w:adjustRightInd w:val="0"/>
        <w:ind w:left="480" w:hanging="480"/>
      </w:pPr>
      <w:r w:rsidRPr="004A0C99">
        <w:t xml:space="preserve">Jüngel, Eberhard. “On the Doctrine of Justification.” </w:t>
      </w:r>
      <w:r w:rsidRPr="004A0C99">
        <w:rPr>
          <w:i/>
          <w:iCs/>
        </w:rPr>
        <w:t>International Journal of Systematic Theology</w:t>
      </w:r>
      <w:r w:rsidRPr="004A0C99">
        <w:t xml:space="preserve"> 1, no. 1 (1999): 24–52. https://doi.org/10.1111/1463-1652.00003.</w:t>
      </w:r>
    </w:p>
    <w:p w14:paraId="08E7268E" w14:textId="77777777" w:rsidR="004A0C99" w:rsidRPr="004A0C99" w:rsidRDefault="004A0C99" w:rsidP="004A0C99">
      <w:pPr>
        <w:widowControl w:val="0"/>
        <w:autoSpaceDE w:val="0"/>
        <w:autoSpaceDN w:val="0"/>
        <w:adjustRightInd w:val="0"/>
        <w:ind w:left="480" w:hanging="480"/>
      </w:pPr>
      <w:r w:rsidRPr="004A0C99">
        <w:t xml:space="preserve">Kaligis, Fergindo Reza, and Ridwanta Manogu. “Analisis Teologis Konsep Pembenaran Berdasarkan Pengakuan Iman Westminster Dan Katekismus Heidelberg [A Theological Analysis of the Concept of Justification Based on the Westminster Confession of Faith and the Heidelberg Catechism].” </w:t>
      </w:r>
      <w:r w:rsidRPr="004A0C99">
        <w:rPr>
          <w:i/>
          <w:iCs/>
        </w:rPr>
        <w:t>Diligentia: Journal of Theology and Christian Education</w:t>
      </w:r>
      <w:r w:rsidRPr="004A0C99">
        <w:t xml:space="preserve"> 2, no. 1 (2020): 102. https://doi.org/10.19166/dil.v2i1.2285.</w:t>
      </w:r>
    </w:p>
    <w:p w14:paraId="26BEBA01" w14:textId="77777777" w:rsidR="004A0C99" w:rsidRPr="004A0C99" w:rsidRDefault="004A0C99" w:rsidP="004A0C99">
      <w:pPr>
        <w:widowControl w:val="0"/>
        <w:autoSpaceDE w:val="0"/>
        <w:autoSpaceDN w:val="0"/>
        <w:adjustRightInd w:val="0"/>
        <w:ind w:left="480" w:hanging="480"/>
      </w:pPr>
      <w:r w:rsidRPr="004A0C99">
        <w:t xml:space="preserve">Keener, Craig S. </w:t>
      </w:r>
      <w:r w:rsidRPr="004A0C99">
        <w:rPr>
          <w:i/>
          <w:iCs/>
        </w:rPr>
        <w:t>1-2 Corinthians (The New Cambridge Bible Commentary)</w:t>
      </w:r>
      <w:r w:rsidRPr="004A0C99">
        <w:t>. New Jersey 08865-0817: Cambridge University Press, 2005.</w:t>
      </w:r>
    </w:p>
    <w:p w14:paraId="7DF2767A" w14:textId="77777777" w:rsidR="004A0C99" w:rsidRPr="004A0C99" w:rsidRDefault="004A0C99" w:rsidP="004A0C99">
      <w:pPr>
        <w:widowControl w:val="0"/>
        <w:autoSpaceDE w:val="0"/>
        <w:autoSpaceDN w:val="0"/>
        <w:adjustRightInd w:val="0"/>
        <w:ind w:left="480" w:hanging="480"/>
      </w:pPr>
      <w:r w:rsidRPr="004A0C99">
        <w:t>Kumar, Ashwani. “The Relationship of the Old Covenant to the Everlasting Covenant.” Andrews University, 2016. https://doi.org/10.32597/theses/91/.</w:t>
      </w:r>
    </w:p>
    <w:p w14:paraId="59B81669" w14:textId="77777777" w:rsidR="004A0C99" w:rsidRPr="004A0C99" w:rsidRDefault="004A0C99" w:rsidP="004A0C99">
      <w:pPr>
        <w:widowControl w:val="0"/>
        <w:autoSpaceDE w:val="0"/>
        <w:autoSpaceDN w:val="0"/>
        <w:adjustRightInd w:val="0"/>
        <w:ind w:left="480" w:hanging="480"/>
      </w:pPr>
      <w:r w:rsidRPr="004A0C99">
        <w:t xml:space="preserve">Maclean, Hamish. “A Theological and Contextual Exploration of James Torrance’s Covenant or Contract?” </w:t>
      </w:r>
      <w:r w:rsidRPr="004A0C99">
        <w:rPr>
          <w:i/>
          <w:iCs/>
        </w:rPr>
        <w:t>International Journal of Public Theology</w:t>
      </w:r>
      <w:r w:rsidRPr="004A0C99">
        <w:t xml:space="preserve"> 18, no. 2 (2024): 191–206. https://doi.org/10.1163/15697320-20241531.</w:t>
      </w:r>
    </w:p>
    <w:p w14:paraId="0640B029" w14:textId="77777777" w:rsidR="004A0C99" w:rsidRPr="004A0C99" w:rsidRDefault="004A0C99" w:rsidP="004A0C99">
      <w:pPr>
        <w:widowControl w:val="0"/>
        <w:autoSpaceDE w:val="0"/>
        <w:autoSpaceDN w:val="0"/>
        <w:adjustRightInd w:val="0"/>
        <w:ind w:left="480" w:hanging="480"/>
      </w:pPr>
      <w:r w:rsidRPr="004A0C99">
        <w:t xml:space="preserve">Nessan, Craig L. “Justification and Sanctification.” In </w:t>
      </w:r>
      <w:r w:rsidRPr="004A0C99">
        <w:rPr>
          <w:i/>
          <w:iCs/>
        </w:rPr>
        <w:t>Free in Deed</w:t>
      </w:r>
      <w:r w:rsidRPr="004A0C99">
        <w:t>, 67–80, 2021. https://doi.org/10.2307/j.ctv1x6779g.8.</w:t>
      </w:r>
    </w:p>
    <w:p w14:paraId="7AB2CB97" w14:textId="77777777" w:rsidR="004A0C99" w:rsidRPr="007A27DB" w:rsidRDefault="004A0C99" w:rsidP="004A0C99">
      <w:pPr>
        <w:widowControl w:val="0"/>
        <w:autoSpaceDE w:val="0"/>
        <w:autoSpaceDN w:val="0"/>
        <w:adjustRightInd w:val="0"/>
        <w:ind w:left="480" w:hanging="480"/>
        <w:rPr>
          <w:lang w:val="da-DK"/>
        </w:rPr>
      </w:pPr>
      <w:r w:rsidRPr="004A0C99">
        <w:t xml:space="preserve">Purwonugroho, Daniel Pesah. “Integrasi Hukum Taurat Dalam Kerangka Total Depravity: Perspektif Teologi Kovenan Terhadap Pemahaman Dosa Dan Anugerah.” </w:t>
      </w:r>
      <w:r w:rsidRPr="007A27DB">
        <w:rPr>
          <w:i/>
          <w:iCs/>
          <w:lang w:val="da-DK"/>
        </w:rPr>
        <w:t>AGATHA: Jurnal Teologi Dan Pendidikan Kristiani</w:t>
      </w:r>
      <w:r w:rsidRPr="007A27DB">
        <w:rPr>
          <w:lang w:val="da-DK"/>
        </w:rPr>
        <w:t xml:space="preserve"> 1, no. 1 (2024): 1–18.</w:t>
      </w:r>
    </w:p>
    <w:p w14:paraId="383950A0" w14:textId="77777777" w:rsidR="004A0C99" w:rsidRPr="007A27DB" w:rsidRDefault="004A0C99" w:rsidP="004A0C99">
      <w:pPr>
        <w:widowControl w:val="0"/>
        <w:autoSpaceDE w:val="0"/>
        <w:autoSpaceDN w:val="0"/>
        <w:adjustRightInd w:val="0"/>
        <w:ind w:left="480" w:hanging="480"/>
        <w:rPr>
          <w:lang w:val="da-DK"/>
        </w:rPr>
      </w:pPr>
      <w:r w:rsidRPr="007A27DB">
        <w:rPr>
          <w:lang w:val="da-DK"/>
        </w:rPr>
        <w:t xml:space="preserve">———. “Studi Teologis Dogmatika Tritunggal Dalam Perspektif Teologi Kovenan Bagi Kehidupan Jemaat.” </w:t>
      </w:r>
      <w:r w:rsidRPr="007A27DB">
        <w:rPr>
          <w:i/>
          <w:iCs/>
          <w:lang w:val="da-DK"/>
        </w:rPr>
        <w:t>Antrophos: Jurnal Ilmiah Teologi Dan Pendidikan Agama Kristen</w:t>
      </w:r>
      <w:r w:rsidRPr="007A27DB">
        <w:rPr>
          <w:lang w:val="da-DK"/>
        </w:rPr>
        <w:t xml:space="preserve"> 1, no. 1 (2024): 43–54.</w:t>
      </w:r>
    </w:p>
    <w:p w14:paraId="09D6CBD7" w14:textId="77777777" w:rsidR="004A0C99" w:rsidRPr="004A0C99" w:rsidRDefault="004A0C99" w:rsidP="004A0C99">
      <w:pPr>
        <w:widowControl w:val="0"/>
        <w:autoSpaceDE w:val="0"/>
        <w:autoSpaceDN w:val="0"/>
        <w:adjustRightInd w:val="0"/>
        <w:ind w:left="480" w:hanging="480"/>
      </w:pPr>
      <w:r w:rsidRPr="007A27DB">
        <w:rPr>
          <w:lang w:val="da-DK"/>
        </w:rPr>
        <w:t xml:space="preserve">Purwonugroho, Daniel Pesah, Iman Kristina Halawa, and Saut Maruli P Panggabean. “Harmoni Teologi: ‘Unconditional Election’ Dan Teologi Kovenan Bagi Kehidupan Rohani Jemaat.” </w:t>
      </w:r>
      <w:r w:rsidRPr="004A0C99">
        <w:rPr>
          <w:i/>
          <w:iCs/>
        </w:rPr>
        <w:t>DIEGESIS - Jurnal Teologi Kharismatika</w:t>
      </w:r>
      <w:r w:rsidRPr="004A0C99">
        <w:t xml:space="preserve"> 7, no. 2 (2024): 165–82.</w:t>
      </w:r>
    </w:p>
    <w:p w14:paraId="1056B60C" w14:textId="77777777" w:rsidR="004A0C99" w:rsidRPr="004A0C99" w:rsidRDefault="004A0C99" w:rsidP="004A0C99">
      <w:pPr>
        <w:widowControl w:val="0"/>
        <w:autoSpaceDE w:val="0"/>
        <w:autoSpaceDN w:val="0"/>
        <w:adjustRightInd w:val="0"/>
        <w:ind w:left="480" w:hanging="480"/>
      </w:pPr>
      <w:r w:rsidRPr="004A0C99">
        <w:t xml:space="preserve">Purwonugroho, Daniel Pesah, and Sonny Eli Zaluchu. </w:t>
      </w:r>
      <w:r w:rsidRPr="007A27DB">
        <w:rPr>
          <w:lang w:val="da-DK"/>
        </w:rPr>
        <w:t xml:space="preserve">“Janji Pemulihan Israel Dalam Kitab Zefanya: Refleksi Teologi Kovenan.” </w:t>
      </w:r>
      <w:r w:rsidRPr="004A0C99">
        <w:rPr>
          <w:i/>
          <w:iCs/>
        </w:rPr>
        <w:t>Jurnal Teologi Berita Hidup</w:t>
      </w:r>
      <w:r w:rsidRPr="004A0C99">
        <w:t xml:space="preserve"> 2, no. 1 (2019): 20–27. https://doi.org/10.38189/jtbh.v2i1.21.</w:t>
      </w:r>
    </w:p>
    <w:p w14:paraId="6992B403" w14:textId="77777777" w:rsidR="004A0C99" w:rsidRPr="004A0C99" w:rsidRDefault="004A0C99" w:rsidP="004A0C99">
      <w:pPr>
        <w:widowControl w:val="0"/>
        <w:autoSpaceDE w:val="0"/>
        <w:autoSpaceDN w:val="0"/>
        <w:adjustRightInd w:val="0"/>
        <w:ind w:left="480" w:hanging="480"/>
      </w:pPr>
      <w:r w:rsidRPr="004A0C99">
        <w:t xml:space="preserve">Ristiono, Yosua Budi, and Junio Richson Sirait. </w:t>
      </w:r>
      <w:r w:rsidRPr="007A27DB">
        <w:rPr>
          <w:lang w:val="da-DK"/>
        </w:rPr>
        <w:t xml:space="preserve">“Refleksi Teologi Kovenan Berdasarkan Kejadian 1-3 Dan Implikasinya Bagi Kehidupan Orang Percaya Masa Kini.” </w:t>
      </w:r>
      <w:r w:rsidRPr="004A0C99">
        <w:rPr>
          <w:i/>
          <w:iCs/>
        </w:rPr>
        <w:t xml:space="preserve">JURNAL </w:t>
      </w:r>
      <w:r w:rsidRPr="004A0C99">
        <w:rPr>
          <w:i/>
          <w:iCs/>
        </w:rPr>
        <w:lastRenderedPageBreak/>
        <w:t>KADESI</w:t>
      </w:r>
      <w:r w:rsidRPr="004A0C99">
        <w:t>, 2021. https://doi.org/10.54765/ejurnalkadesi.v3i2.9.</w:t>
      </w:r>
    </w:p>
    <w:p w14:paraId="3C10C622" w14:textId="77777777" w:rsidR="004A0C99" w:rsidRPr="004A0C99" w:rsidRDefault="004A0C99" w:rsidP="004A0C99">
      <w:pPr>
        <w:widowControl w:val="0"/>
        <w:autoSpaceDE w:val="0"/>
        <w:autoSpaceDN w:val="0"/>
        <w:adjustRightInd w:val="0"/>
        <w:ind w:left="480" w:hanging="480"/>
      </w:pPr>
      <w:r w:rsidRPr="004A0C99">
        <w:t xml:space="preserve">Sandys-Wunsch, John. “Covenant and Creation: A Theology of Old Testament Covenants.” </w:t>
      </w:r>
      <w:r w:rsidRPr="004A0C99">
        <w:rPr>
          <w:i/>
          <w:iCs/>
        </w:rPr>
        <w:t>Studies in Religion/Sciences Religieuses</w:t>
      </w:r>
      <w:r w:rsidRPr="004A0C99">
        <w:t xml:space="preserve"> 15, no. 4 (1986): 529–30. https://doi.org/10.1177/000842988601500426.</w:t>
      </w:r>
    </w:p>
    <w:p w14:paraId="6A8DE788" w14:textId="77777777" w:rsidR="004A0C99" w:rsidRPr="004A0C99" w:rsidRDefault="004A0C99" w:rsidP="004A0C99">
      <w:pPr>
        <w:widowControl w:val="0"/>
        <w:autoSpaceDE w:val="0"/>
        <w:autoSpaceDN w:val="0"/>
        <w:adjustRightInd w:val="0"/>
        <w:ind w:left="480" w:hanging="480"/>
      </w:pPr>
      <w:r w:rsidRPr="004A0C99">
        <w:t xml:space="preserve">Simuț, Corneliu C. “J. I. Packer’s Theology of Justification—His Reception and Appropriation of a Classic Protestant Doctrine.” </w:t>
      </w:r>
      <w:r w:rsidRPr="004A0C99">
        <w:rPr>
          <w:i/>
          <w:iCs/>
        </w:rPr>
        <w:t>Religions</w:t>
      </w:r>
      <w:r w:rsidRPr="004A0C99">
        <w:t xml:space="preserve"> 14, no. 12 (2023). https://doi.org/10.3390/rel14121442.</w:t>
      </w:r>
    </w:p>
    <w:p w14:paraId="60F83CCC" w14:textId="77777777" w:rsidR="004A0C99" w:rsidRPr="004A0C99" w:rsidRDefault="004A0C99" w:rsidP="004A0C99">
      <w:pPr>
        <w:widowControl w:val="0"/>
        <w:autoSpaceDE w:val="0"/>
        <w:autoSpaceDN w:val="0"/>
        <w:adjustRightInd w:val="0"/>
        <w:ind w:left="480" w:hanging="480"/>
      </w:pPr>
      <w:r w:rsidRPr="004A0C99">
        <w:t xml:space="preserve">Terry, Justyn. “The Forgiveness of Sins and the Work of Christ: A Case for Substitutionary Atonement.” </w:t>
      </w:r>
      <w:r w:rsidRPr="004A0C99">
        <w:rPr>
          <w:i/>
          <w:iCs/>
        </w:rPr>
        <w:t>Anglican Theological Review</w:t>
      </w:r>
      <w:r w:rsidRPr="004A0C99">
        <w:t xml:space="preserve"> 95, no. 1 (2013): 9. https://www.questia.com/library/journal/1P3-2883106151/the-forgiveness-of-sins-and-the-work-of-christ-a.</w:t>
      </w:r>
    </w:p>
    <w:p w14:paraId="2E4149A2" w14:textId="77777777" w:rsidR="004A0C99" w:rsidRPr="004A0C99" w:rsidRDefault="004A0C99" w:rsidP="004A0C99">
      <w:pPr>
        <w:widowControl w:val="0"/>
        <w:autoSpaceDE w:val="0"/>
        <w:autoSpaceDN w:val="0"/>
        <w:adjustRightInd w:val="0"/>
        <w:ind w:left="480" w:hanging="480"/>
      </w:pPr>
      <w:r w:rsidRPr="004A0C99">
        <w:t xml:space="preserve">Trueman, Carl R. “The Article by Which the Church Stands or Falls.” In </w:t>
      </w:r>
      <w:r w:rsidRPr="004A0C99">
        <w:rPr>
          <w:i/>
          <w:iCs/>
        </w:rPr>
        <w:t>John Owen</w:t>
      </w:r>
      <w:r w:rsidRPr="004A0C99">
        <w:t>, 101–21, 2021. https://doi.org/10.4324/9781315251448-4.</w:t>
      </w:r>
    </w:p>
    <w:p w14:paraId="19B2986E" w14:textId="77777777" w:rsidR="004A0C99" w:rsidRPr="004A0C99" w:rsidRDefault="004A0C99" w:rsidP="004A0C99">
      <w:pPr>
        <w:widowControl w:val="0"/>
        <w:autoSpaceDE w:val="0"/>
        <w:autoSpaceDN w:val="0"/>
        <w:adjustRightInd w:val="0"/>
        <w:ind w:left="480" w:hanging="480"/>
      </w:pPr>
      <w:r w:rsidRPr="004A0C99">
        <w:t xml:space="preserve">Vanhoozer, Kevin J. “Redemption Accomplished: Atonement.” In </w:t>
      </w:r>
      <w:r w:rsidRPr="004A0C99">
        <w:rPr>
          <w:i/>
          <w:iCs/>
        </w:rPr>
        <w:t>The Oxford Handbook of Reformed Theology</w:t>
      </w:r>
      <w:r w:rsidRPr="004A0C99">
        <w:t>, 473–96, 2020. https://doi.org/10.1093/oxfordhb/9780198723912.013.31.</w:t>
      </w:r>
    </w:p>
    <w:p w14:paraId="738E7FDC" w14:textId="77777777" w:rsidR="004A0C99" w:rsidRPr="004A0C99" w:rsidRDefault="004A0C99" w:rsidP="004A0C99">
      <w:pPr>
        <w:widowControl w:val="0"/>
        <w:autoSpaceDE w:val="0"/>
        <w:autoSpaceDN w:val="0"/>
        <w:adjustRightInd w:val="0"/>
        <w:ind w:left="480" w:hanging="480"/>
      </w:pPr>
      <w:r w:rsidRPr="007A27DB">
        <w:rPr>
          <w:lang w:val="da-DK"/>
        </w:rPr>
        <w:t xml:space="preserve">Wahyudin. “Metode Penelitian Kualitatif Studi Pustaka Dan Studi Lapangan.” </w:t>
      </w:r>
      <w:r w:rsidRPr="004A0C99">
        <w:rPr>
          <w:i/>
          <w:iCs/>
        </w:rPr>
        <w:t>Pre-Print Digital Library UIN Sunan Gunung Djati Bandung</w:t>
      </w:r>
      <w:r w:rsidRPr="004A0C99">
        <w:t xml:space="preserve"> 6, no. 1 (2017): 1–6.</w:t>
      </w:r>
    </w:p>
    <w:p w14:paraId="3CCC1B33" w14:textId="77777777" w:rsidR="004A0C99" w:rsidRPr="004A0C99" w:rsidRDefault="004A0C99" w:rsidP="004A0C99">
      <w:pPr>
        <w:widowControl w:val="0"/>
        <w:autoSpaceDE w:val="0"/>
        <w:autoSpaceDN w:val="0"/>
        <w:adjustRightInd w:val="0"/>
        <w:ind w:left="480" w:hanging="480"/>
      </w:pPr>
      <w:r w:rsidRPr="004A0C99">
        <w:t xml:space="preserve">Witherington, B. </w:t>
      </w:r>
      <w:r w:rsidRPr="004A0C99">
        <w:rPr>
          <w:i/>
          <w:iCs/>
        </w:rPr>
        <w:t>Conflict and Community in Corinth: A Socio-Rhetorical Commentary on 1 and 2 Corinthians</w:t>
      </w:r>
      <w:r w:rsidRPr="004A0C99">
        <w:t>. Grand Rapids, Michigan: Eerdmans Publishing Company, 1995.</w:t>
      </w:r>
    </w:p>
    <w:p w14:paraId="7D3C4C2A" w14:textId="77777777" w:rsidR="004A0C99" w:rsidRPr="004A0C99" w:rsidRDefault="004A0C99" w:rsidP="004A0C99">
      <w:pPr>
        <w:widowControl w:val="0"/>
        <w:autoSpaceDE w:val="0"/>
        <w:autoSpaceDN w:val="0"/>
        <w:adjustRightInd w:val="0"/>
        <w:ind w:left="480" w:hanging="480"/>
      </w:pPr>
      <w:r w:rsidRPr="004A0C99">
        <w:t>Yamaguchi, Norio. “Sacrifice, Curse, and the Covenant in Paul’s Soteriology.” University of St Andrews, 2015. https://research-repository.st-andrews.ac.uk/handle/10023/7419%0Ahttps://research-repository.st-andrews.ac.uk/bitstream/10023/7419/1/Thefulltextofthisdocumentisnotavailable.pdf%0Ahttp://files/25643/7419.html.</w:t>
      </w:r>
    </w:p>
    <w:p w14:paraId="0D42E2E5" w14:textId="77777777" w:rsidR="004A0C99" w:rsidRPr="004A0C99" w:rsidRDefault="004A0C99" w:rsidP="004A0C99">
      <w:pPr>
        <w:jc w:val="both"/>
      </w:pPr>
      <w:r w:rsidRPr="004A0C99">
        <w:fldChar w:fldCharType="end"/>
      </w:r>
    </w:p>
    <w:p w14:paraId="6B71F03F" w14:textId="77777777" w:rsidR="00C30472" w:rsidRDefault="00C30472" w:rsidP="004A0C99">
      <w:pPr>
        <w:shd w:val="clear" w:color="auto" w:fill="FFFFFF"/>
        <w:ind w:left="720" w:hanging="720"/>
      </w:pPr>
    </w:p>
    <w:sectPr w:rsidR="00C30472" w:rsidSect="004A0C99">
      <w:type w:val="continuous"/>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278FC" w14:textId="77777777" w:rsidR="00310A31" w:rsidRPr="004A0C99" w:rsidRDefault="00310A31">
      <w:r w:rsidRPr="004A0C99">
        <w:separator/>
      </w:r>
    </w:p>
  </w:endnote>
  <w:endnote w:type="continuationSeparator" w:id="0">
    <w:p w14:paraId="15843A99" w14:textId="77777777" w:rsidR="00310A31" w:rsidRPr="004A0C99" w:rsidRDefault="00310A31">
      <w:r w:rsidRPr="004A0C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467296FD-44B0-4FC5-8ED3-72772F424E04}"/>
    <w:embedBold r:id="rId2" w:fontKey="{3B8BD0E7-43DF-4260-9936-6F54BD714028}"/>
  </w:font>
  <w:font w:name="Calibri">
    <w:panose1 w:val="020F0502020204030204"/>
    <w:charset w:val="00"/>
    <w:family w:val="swiss"/>
    <w:pitch w:val="variable"/>
    <w:sig w:usb0="E4002EFF" w:usb1="C200247B" w:usb2="00000009" w:usb3="00000000" w:csb0="000001FF" w:csb1="00000000"/>
    <w:embedRegular r:id="rId3" w:fontKey="{579026B8-E94A-4519-B575-339A624E9A6B}"/>
    <w:embedBold r:id="rId4" w:fontKey="{B013AC05-73B2-4CD0-8456-ACBC3037B2ED}"/>
    <w:embedItalic r:id="rId5" w:fontKey="{E1CF0B20-C23D-4735-8D1F-4B5E42D7588E}"/>
  </w:font>
  <w:font w:name="Calisto MT">
    <w:panose1 w:val="02040603050505030304"/>
    <w:charset w:val="00"/>
    <w:family w:val="roman"/>
    <w:pitch w:val="variable"/>
    <w:sig w:usb0="00000003" w:usb1="00000000" w:usb2="00000000" w:usb3="00000000" w:csb0="00000001" w:csb1="00000000"/>
    <w:embedRegular r:id="rId6" w:fontKey="{2BFC354D-A641-403D-BB37-67D305E432AA}"/>
    <w:embedBold r:id="rId7" w:fontKey="{D656654A-71A7-4AD2-9B68-18A6F71DA78E}"/>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A4AC43BC-96C7-43DB-9156-449AF14B64E4}"/>
    <w:embedItalic r:id="rId9" w:fontKey="{3D6F5D60-A003-4D69-B9FA-5DD8D22BFC8D}"/>
  </w:font>
  <w:font w:name="Lustria">
    <w:altName w:val="Calibri"/>
    <w:charset w:val="00"/>
    <w:family w:val="auto"/>
    <w:pitch w:val="default"/>
    <w:embedRegular r:id="rId10" w:fontKey="{C5CCD37A-9FE6-4722-9B13-2B4C23F2D6D5}"/>
    <w:embedBold r:id="rId11" w:fontKey="{A174080E-5DF4-4AA6-B740-C6DC3EB56D3F}"/>
    <w:embedItalic r:id="rId12" w:fontKey="{CCE2A1FB-0561-449D-93D7-57288EA230EC}"/>
  </w:font>
  <w:font w:name="EB Garamond">
    <w:altName w:val="Calibri"/>
    <w:charset w:val="00"/>
    <w:family w:val="auto"/>
    <w:pitch w:val="variable"/>
    <w:sig w:usb0="E00002FF" w:usb1="02000413" w:usb2="00000000" w:usb3="00000000" w:csb0="0000019F" w:csb1="00000000"/>
    <w:embedRegular r:id="rId13" w:fontKey="{12A21AF0-ABA0-45B7-B30B-EE2595626003}"/>
  </w:font>
  <w:font w:name="Garamond">
    <w:panose1 w:val="02020404030301010803"/>
    <w:charset w:val="00"/>
    <w:family w:val="roman"/>
    <w:pitch w:val="variable"/>
    <w:sig w:usb0="00000287" w:usb1="00000000" w:usb2="00000000" w:usb3="00000000" w:csb0="0000009F" w:csb1="00000000"/>
    <w:embedRegular r:id="rId14" w:fontKey="{798CC5B5-DC24-4230-B4A8-677ADCE5DF89}"/>
  </w:font>
  <w:font w:name="Cambria">
    <w:panose1 w:val="02040503050406030204"/>
    <w:charset w:val="00"/>
    <w:family w:val="roman"/>
    <w:pitch w:val="variable"/>
    <w:sig w:usb0="E00006FF" w:usb1="420024FF" w:usb2="02000000" w:usb3="00000000" w:csb0="0000019F" w:csb1="00000000"/>
    <w:embedRegular r:id="rId15" w:fontKey="{159B08FD-A966-41AC-AAE6-A4C5372B9C15}"/>
    <w:embedBoldItalic r:id="rId16" w:fontKey="{3F5E1069-CBBF-4E56-8B4A-04AF4A2E1F0C}"/>
  </w:font>
  <w:font w:name="Corben">
    <w:charset w:val="00"/>
    <w:family w:val="auto"/>
    <w:pitch w:val="default"/>
    <w:embedRegular r:id="rId17" w:fontKey="{E91F8DD4-A033-4EDE-AA65-89D1FA8C8651}"/>
  </w:font>
  <w:font w:name="Verdana">
    <w:panose1 w:val="020B0604030504040204"/>
    <w:charset w:val="00"/>
    <w:family w:val="swiss"/>
    <w:pitch w:val="variable"/>
    <w:sig w:usb0="A00006FF" w:usb1="4000205B" w:usb2="00000010" w:usb3="00000000" w:csb0="0000019F" w:csb1="00000000"/>
    <w:embedRegular r:id="rId18" w:fontKey="{10F3407C-291D-4286-92D4-C16EFD39749D}"/>
    <w:embedBold r:id="rId19" w:fontKey="{33552D59-16AD-4CDA-B705-2B8E4D254D8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Pr="004A0C99"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sidRPr="004A0C99">
      <w:rPr>
        <w:rFonts w:eastAsia="Times New Roman"/>
        <w:color w:val="000000"/>
        <w:sz w:val="22"/>
        <w:szCs w:val="22"/>
      </w:rPr>
      <w:fldChar w:fldCharType="begin"/>
    </w:r>
    <w:r w:rsidRPr="004A0C99">
      <w:rPr>
        <w:rFonts w:eastAsia="Times New Roman"/>
        <w:color w:val="000000"/>
        <w:sz w:val="22"/>
        <w:szCs w:val="22"/>
      </w:rPr>
      <w:instrText>PAGE</w:instrText>
    </w:r>
    <w:r w:rsidRPr="004A0C99">
      <w:rPr>
        <w:rFonts w:eastAsia="Times New Roman"/>
        <w:color w:val="000000"/>
        <w:sz w:val="22"/>
        <w:szCs w:val="22"/>
      </w:rPr>
      <w:fldChar w:fldCharType="separate"/>
    </w:r>
    <w:r w:rsidR="00AE35FD" w:rsidRPr="004A0C99">
      <w:rPr>
        <w:rFonts w:eastAsia="Times New Roman"/>
        <w:color w:val="000000"/>
        <w:sz w:val="22"/>
        <w:szCs w:val="22"/>
      </w:rPr>
      <w:t>2</w:t>
    </w:r>
    <w:r w:rsidRPr="004A0C99">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Pr="004A0C99"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sidRPr="004A0C99">
      <w:rPr>
        <w:rFonts w:eastAsia="Times New Roman"/>
        <w:color w:val="000000"/>
        <w:sz w:val="22"/>
        <w:szCs w:val="22"/>
      </w:rPr>
      <w:fldChar w:fldCharType="begin"/>
    </w:r>
    <w:r w:rsidRPr="004A0C99">
      <w:rPr>
        <w:rFonts w:eastAsia="Times New Roman"/>
        <w:color w:val="000000"/>
        <w:sz w:val="22"/>
        <w:szCs w:val="22"/>
      </w:rPr>
      <w:instrText>PAGE</w:instrText>
    </w:r>
    <w:r w:rsidRPr="004A0C99">
      <w:rPr>
        <w:rFonts w:eastAsia="Times New Roman"/>
        <w:color w:val="000000"/>
        <w:sz w:val="22"/>
        <w:szCs w:val="22"/>
      </w:rPr>
      <w:fldChar w:fldCharType="separate"/>
    </w:r>
    <w:r w:rsidR="00AE35FD" w:rsidRPr="004A0C99">
      <w:rPr>
        <w:rFonts w:eastAsia="Times New Roman"/>
        <w:color w:val="000000"/>
        <w:sz w:val="22"/>
        <w:szCs w:val="22"/>
      </w:rPr>
      <w:t>1</w:t>
    </w:r>
    <w:r w:rsidRPr="004A0C99">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Pr="004A0C99"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sidRPr="004A0C99">
      <w:rPr>
        <w:rFonts w:ascii="Corben" w:eastAsia="Corben" w:hAnsi="Corben" w:cs="Corben"/>
        <w:color w:val="000000"/>
        <w:sz w:val="22"/>
        <w:szCs w:val="22"/>
      </w:rPr>
      <w:fldChar w:fldCharType="begin"/>
    </w:r>
    <w:r w:rsidRPr="004A0C99">
      <w:rPr>
        <w:rFonts w:ascii="Corben" w:eastAsia="Corben" w:hAnsi="Corben" w:cs="Corben"/>
        <w:color w:val="000000"/>
        <w:sz w:val="22"/>
        <w:szCs w:val="22"/>
      </w:rPr>
      <w:instrText>PAGE</w:instrText>
    </w:r>
    <w:r w:rsidRPr="004A0C99">
      <w:rPr>
        <w:rFonts w:ascii="Corben" w:eastAsia="Corben" w:hAnsi="Corben" w:cs="Corben"/>
        <w:color w:val="000000"/>
        <w:sz w:val="22"/>
        <w:szCs w:val="22"/>
      </w:rPr>
      <w:fldChar w:fldCharType="separate"/>
    </w:r>
    <w:r w:rsidRPr="004A0C99">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C1406" w14:textId="77777777" w:rsidR="00310A31" w:rsidRPr="004A0C99" w:rsidRDefault="00310A31">
      <w:r w:rsidRPr="004A0C99">
        <w:separator/>
      </w:r>
    </w:p>
  </w:footnote>
  <w:footnote w:type="continuationSeparator" w:id="0">
    <w:p w14:paraId="6056AD52" w14:textId="77777777" w:rsidR="00310A31" w:rsidRPr="004A0C99" w:rsidRDefault="00310A31">
      <w:r w:rsidRPr="004A0C99">
        <w:continuationSeparator/>
      </w:r>
    </w:p>
  </w:footnote>
  <w:footnote w:id="1">
    <w:p w14:paraId="66769B6A"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{"citationItems":[{"id":"ITEM-1","itemData":{"DOI":"10.4324/9781315251448-4","author":[{"dropping-particle":"","family":"Trueman","given":"Carl R.","non-dropping-particle":"","parse-names":false,"suffix":""}],"container-title":"John Owen","id":"ITEM-1","issued":{"date-parts":[["2021"]]},"page":"101-121","title":"The Article by Which the Church Stands or Falls","type":"chapter"},"uris":["http://www.mendeley.com/documents/?uuid=8cc6f369-9717-4eac-a21e-a0684b7de875"]}],"mendeley":{"formattedCitation":"Carl R. Trueman, “The Article by Which the Church Stands or Falls,” in &lt;i&gt;John Owen&lt;/i&gt;, 2021, 101–21, https://doi.org/10.4324/9781315251448-4.","plainTextFormattedCitation":"Carl R. Trueman, “The Article by Which the Church Stands or Falls,” in John Owen, 2021, 101–21, https://doi.org/10.4324/9781315251448-4.","previouslyFormattedCitation":"(Trueman, 2021)"},"properties":{"noteIndex":1},"schema":"https://github.com/citation-style-language/schema/raw/master/csl-citation.json"}</w:instrText>
      </w:r>
      <w:r w:rsidRPr="004A0C99">
        <w:rPr>
          <w:lang w:val="en-US"/>
        </w:rPr>
        <w:fldChar w:fldCharType="separate"/>
      </w:r>
      <w:r w:rsidRPr="004A0C99">
        <w:rPr>
          <w:lang w:val="en-US"/>
        </w:rPr>
        <w:t xml:space="preserve">Carl R. Trueman, “The Article by Which the Church Stands or Falls,” in </w:t>
      </w:r>
      <w:r w:rsidRPr="004A0C99">
        <w:rPr>
          <w:i/>
          <w:lang w:val="en-US"/>
        </w:rPr>
        <w:t>John Owen</w:t>
      </w:r>
      <w:r w:rsidRPr="004A0C99">
        <w:rPr>
          <w:lang w:val="en-US"/>
        </w:rPr>
        <w:t>, 2021, 101–21, https://doi.org/10.4324/9781315251448-4.</w:t>
      </w:r>
      <w:r w:rsidRPr="004A0C99">
        <w:rPr>
          <w:lang w:val="en-US"/>
        </w:rPr>
        <w:fldChar w:fldCharType="end"/>
      </w:r>
    </w:p>
  </w:footnote>
  <w:footnote w:id="2">
    <w:p w14:paraId="6F353096"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{"citationItems":[{"id":"ITEM-1","itemData":{"DOI":"10.25278/jj.v20i2.720","ISSN":"1829-9474","abstract":"Since the Fall, man is totally depraved. Therefore, Paul insists that “a man is not justified by observing the law, but by faith in Jesus Christ.” The doctrine of Justification by Faith is one of the most important doctrines of Protestantism. Justification is the remission of sins and the imputation of Christ’s righteousness to sinners who have believed. However, the teaching of this doctrine is largely neglected today when churches do not support the three basic presuppositions in which the doctrine of Justification by Faith rests: the divine authority of Holy Scripture, the divine wrath against sin and the substitutionary satisfaction of Christ. When these truths are not supported and taught, inevitably the doctrine of Justification by Faith will be neglected. The doctrine of Justification by Faith determines whether the church stands or falls. When this doctrine is understood, believed, preached and taught, the church stands in the grace of God and is alive. On the other hand, when this doctrine is neglected, the church will fall from grace and will be in a state of darkness and death. The writer would like to reinstate the doctrine of Justification by Faith to its rightful and central p lace by giving an overview of Paul’s, Patristic Fathers’ and Reformers’ perspectives of justification. The doctrine of Justification by Faith must be taught in its biblical setting and its presuppositions re-established. Qualitative methods will be used in this study in the form of library research and journals.","author":[{"dropping-particle":"","family":"Chia","given":"Yee Xian","non-dropping-particle":"","parse-names":false,"suffix":""}],"container-title":"Jurnal Jaffray","id":"ITEM-1","issue":"2","issued":{"date-parts":[["2022"]]},"page":"180","title":"Paul’s Justification by Faith: Reformers’ Perspective and Implication for Theological Learning","type":"article-journal","volume":"20"},"uris":["http://www.mendeley.com/documents/?uuid=4e4b89c6-c2bf-41bc-853d-668b20d73efd"]}],"mendeley":{"formattedCitation":"Yee Xian Chia, “Paul’s Justification by Faith: Reformers’ Perspective and Implication for Theological Learning,” &lt;i&gt;Jurnal Jaffray&lt;/i&gt; 20, no. 2 (2022): 180, https://doi.org/10.25278/jj.v20i2.720.","plainTextFormattedCitation":"Yee Xian Chia, “Paul’s Justification by Faith: Reformers’ Perspective and Implication for Theological Learning,” Jurnal Jaffray 20, no. 2 (2022): 180, https://doi.org/10.25278/jj.v20i2.720.","previouslyFormattedCitation":"(Chia, 2022)"},"properties":{"noteIndex":2},"schema":"https://github.com/citation-style-language/schema/raw/master/csl-citation.json"}</w:instrText>
      </w:r>
      <w:r w:rsidRPr="004A0C99">
        <w:rPr>
          <w:lang w:val="en-US"/>
        </w:rPr>
        <w:fldChar w:fldCharType="separate"/>
      </w:r>
      <w:r w:rsidRPr="004A0C99">
        <w:rPr>
          <w:lang w:val="en-US"/>
        </w:rPr>
        <w:t xml:space="preserve">Yee Xian Chia, “Paul’s Justification by Faith: Reformers’ Perspective and Implication for Theological Learning,” </w:t>
      </w:r>
      <w:r w:rsidRPr="004A0C99">
        <w:rPr>
          <w:i/>
          <w:lang w:val="en-US"/>
        </w:rPr>
        <w:t>Jurnal Jaffray</w:t>
      </w:r>
      <w:r w:rsidRPr="004A0C99">
        <w:rPr>
          <w:lang w:val="en-US"/>
        </w:rPr>
        <w:t xml:space="preserve"> 20, no. 2 (2022): 180, https://doi.org/10.25278/jj.v20i2.720.</w:t>
      </w:r>
      <w:r w:rsidRPr="004A0C99">
        <w:rPr>
          <w:lang w:val="en-US"/>
        </w:rPr>
        <w:fldChar w:fldCharType="end"/>
      </w:r>
    </w:p>
  </w:footnote>
  <w:footnote w:id="3">
    <w:p w14:paraId="6695D231"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{"citationItems":[{"id":"ITEM-1","itemData":{"DOI":"10.1111/1463-1652.00003","ISSN":"14682400","abstract":"The doctrine of the justification of the ungodly is central to the Christian confession. Justification is to be understood through the four Reformation exclusive particles: Christ alone, grace alone, word alone and faith alone. Justification addresses the relationlessness which is produced by sin as limitless self-realization. Related in himself as Trinity, God in Christ and Spirit continues in relation to the godless, thereby establishing a wealth of relation which is righteous. This account of justification is illuminating both for fundamental issues in anthropology and ethics, and for current ecumenical controversies concerning salvation, sacraments and ministry.© Blackwell Publishers Ltd 1999.","author":[{"dropping-particle":"","family":"Jüngel","given":"Eberhard","non-dropping-particle":"","parse-names":false,"suffix":""}],"container-title":"International Journal of Systematic Theology","id":"ITEM-1","issue":"1","issued":{"date-parts":[["1999"]]},"page":"24-52","title":"On the doctrine of justification","type":"article-journal","volume":"1"},"uris":["http://www.mendeley.com/documents/?uuid=85bb2309-477a-42c8-97e6-f66236ea38b4"]}],"mendeley":{"formattedCitation":"Eberhard Jüngel, “On the Doctrine of Justification,” &lt;i&gt;International Journal of Systematic Theology&lt;/i&gt; 1, no. 1 (1999): 24–52, https://doi.org/10.1111/1463-1652.00003.","plainTextFormattedCitation":"Eberhard Jüngel, “On the Doctrine of Justification,” International Journal of Systematic Theology 1, no. 1 (1999): 24–52, https://doi.org/10.1111/1463-1652.00003.","previouslyFormattedCitation":"(Jüngel, 1999)"},"properties":{"noteIndex":3},"schema":"https://github.com/citation-style-language/schema/raw/master/csl-citation.json"}</w:instrText>
      </w:r>
      <w:r w:rsidRPr="004A0C99">
        <w:rPr>
          <w:lang w:val="en-US"/>
        </w:rPr>
        <w:fldChar w:fldCharType="separate"/>
      </w:r>
      <w:r w:rsidRPr="004A0C99">
        <w:rPr>
          <w:lang w:val="en-US"/>
        </w:rPr>
        <w:t xml:space="preserve">Eberhard Jüngel, “On the Doctrine of Justification,” </w:t>
      </w:r>
      <w:r w:rsidRPr="004A0C99">
        <w:rPr>
          <w:i/>
          <w:lang w:val="en-US"/>
        </w:rPr>
        <w:t>International Journal of Systematic Theology</w:t>
      </w:r>
      <w:r w:rsidRPr="004A0C99">
        <w:rPr>
          <w:lang w:val="en-US"/>
        </w:rPr>
        <w:t xml:space="preserve"> 1, no. 1 (1999): 24–52, https://doi.org/10.1111/1463-1652.00003.</w:t>
      </w:r>
      <w:r w:rsidRPr="004A0C99">
        <w:rPr>
          <w:lang w:val="en-US"/>
        </w:rPr>
        <w:fldChar w:fldCharType="end"/>
      </w:r>
    </w:p>
  </w:footnote>
  <w:footnote w:id="4">
    <w:p w14:paraId="1CAD8AA1"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{"citationItems":[{"id":"ITEM-1","itemData":{"DOI":"10.1163/15697320-20241531","ISSN":"15697320","abstract":"The covenant concept is a central theme original to the Bible and is generally defined as a formal commitment between two parties. James Torrance’s theological definition of a covenant is employed in this article to highlight two critical characteristics. It then explores Torrance’s claim of a legacy of confusion between a covenant and a contract in theology and discovers that this ambiguity is true of some historical and current scholarship. Torrance’s insights are applied to a contentious contextual example that has played out in New Zealand around the Treaty of Waitangi: the case is made for identifying how Torrance’s theological understanding of a covenant can lead into positive steps forward and thus contribute to a public theology.","author":[{"dropping-particle":"","family":"Maclean","given":"Hamish","non-dropping-particle":"","parse-names":false,"suffix":""}],"container-title":"International Journal of Public Theology","id":"ITEM-1","issue":"2","issued":{"date-parts":[["2024"]]},"page":"191-206","title":"A Theological and Contextual Exploration of James Torrance’s Covenant or Contract?","type":"article-journal","volume":"18"},"uris":["http://www.mendeley.com/documents/?uuid=9dd75f10-cbc3-4dd4-b38e-4de78f8b0c37"]}],"mendeley":{"formattedCitation":"Hamish Maclean, “A Theological and Contextual Exploration of James Torrance’s Covenant or Contract?,” &lt;i&gt;International Journal of Public Theology&lt;/i&gt; 18, no. 2 (2024): 191–206, https://doi.org/10.1163/15697320-20241531.","plainTextFormattedCitation":"Hamish Maclean, “A Theological and Contextual Exploration of James Torrance’s Covenant or Contract?,” International Journal of Public Theology 18, no. 2 (2024): 191–206, https://doi.org/10.1163/15697320-20241531.","previouslyFormattedCitation":"(Maclean, 2024)"},"properties":{"noteIndex":4},"schema":"https://github.com/citation-style-language/schema/raw/master/csl-citation.json"}</w:instrText>
      </w:r>
      <w:r w:rsidRPr="004A0C99">
        <w:rPr>
          <w:lang w:val="en-US"/>
        </w:rPr>
        <w:fldChar w:fldCharType="separate"/>
      </w:r>
      <w:r w:rsidRPr="004A0C99">
        <w:rPr>
          <w:lang w:val="en-US"/>
        </w:rPr>
        <w:t xml:space="preserve">Hamish Maclean, “A Theological and Contextual Exploration of James Torrance’s Covenant or Contract?,” </w:t>
      </w:r>
      <w:r w:rsidRPr="004A0C99">
        <w:rPr>
          <w:i/>
          <w:lang w:val="en-US"/>
        </w:rPr>
        <w:t>International Journal of Public Theology</w:t>
      </w:r>
      <w:r w:rsidRPr="004A0C99">
        <w:rPr>
          <w:lang w:val="en-US"/>
        </w:rPr>
        <w:t xml:space="preserve"> 18, no. 2 (2024): 191–206, https://doi.org/10.1163/15697320-20241531.</w:t>
      </w:r>
      <w:r w:rsidRPr="004A0C99">
        <w:rPr>
          <w:lang w:val="en-US"/>
        </w:rPr>
        <w:fldChar w:fldCharType="end"/>
      </w:r>
    </w:p>
  </w:footnote>
  <w:footnote w:id="5">
    <w:p w14:paraId="48ABFA62"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{"citationItems":[{"id":"ITEM-1","itemData":{"DOI":"10.5117/ntt2010.64.001.asse","ISSN":"2542-6583","author":[{"dropping-particle":"","family":"Asselt","given":"Willem J.","non-dropping-particle":"van","parse-names":false,"suffix":""}],"container-title":"NTT Journal for Theology and the Study of Religion","id":"ITEM-1","issue":"1","issued":{"date-parts":[["2010"]]},"page":"1-15","publisher":"Amsterdam University Press","title":"Covenant Theology: an Invitation to Friendship","type":"article-journal","volume":"64"},"uris":["http://www.mendeley.com/documents/?uuid=d3342960-6ef9-4f75-a60b-d5b1f11ddaaf"]}],"mendeley":{"formattedCitation":"Willem J. van Asselt, “Covenant Theology: An Invitation to Friendship,” &lt;i&gt;NTT Journal for Theology and the Study of Religion&lt;/i&gt; 64, no. 1 (2010): 1–15, https://doi.org/10.5117/ntt2010.64.001.asse.","plainTextFormattedCitation":"Willem J. van Asselt, “Covenant Theology: An Invitation to Friendship,” NTT Journal for Theology and the Study of Religion 64, no. 1 (2010): 1–15, https://doi.org/10.5117/ntt2010.64.001.asse.","previouslyFormattedCitation":"(van Asselt, 2010)"},"properties":{"noteIndex":5},"schema":"https://github.com/citation-style-language/schema/raw/master/csl-citation.json"}</w:instrText>
      </w:r>
      <w:r w:rsidRPr="004A0C99">
        <w:rPr>
          <w:lang w:val="en-US"/>
        </w:rPr>
        <w:fldChar w:fldCharType="separate"/>
      </w:r>
      <w:r w:rsidRPr="004A0C99">
        <w:rPr>
          <w:lang w:val="en-US"/>
        </w:rPr>
        <w:t xml:space="preserve">Willem J. van Asselt, “Covenant Theology: An Invitation to Friendship,” </w:t>
      </w:r>
      <w:r w:rsidRPr="004A0C99">
        <w:rPr>
          <w:i/>
          <w:lang w:val="en-US"/>
        </w:rPr>
        <w:t>NTT Journal for Theology and the Study of Religion</w:t>
      </w:r>
      <w:r w:rsidRPr="004A0C99">
        <w:rPr>
          <w:lang w:val="en-US"/>
        </w:rPr>
        <w:t xml:space="preserve"> 64, no. 1 (2010): 1–15, https://doi.org/10.5117/ntt2010.64.001.asse.</w:t>
      </w:r>
      <w:r w:rsidRPr="004A0C99">
        <w:rPr>
          <w:lang w:val="en-US"/>
        </w:rPr>
        <w:fldChar w:fldCharType="end"/>
      </w:r>
    </w:p>
  </w:footnote>
  <w:footnote w:id="6">
    <w:p w14:paraId="08B16EC7"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{"citationItems":[{"id":"ITEM-1","itemData":{"DOI":"doi: 10.6017/SCJR.V1I1.1355","author":[{"dropping-particle":"","family":"Cunningham","given":"Philip A.","non-dropping-particle":"","parse-names":false,"suffix":""}],"container-title":"Studies in Christian-Jewish Relations","id":"ITEM-1","issue":"1","issued":{"date-parts":[["2005"]]},"page":"41-52","title":"A Covenantal Christology","type":"article-journal","volume":"1"},"uris":["http://www.mendeley.com/documents/?uuid=48abdce7-3f38-40dc-aea1-85415b28ee05"]}],"mendeley":{"formattedCitation":"Philip A. Cunningham, “A Covenantal Christology,” &lt;i&gt;Studies in Christian-Jewish Relations&lt;/i&gt; 1, no. 1 (2005): 41–52, https://doi.org/doi: 10.6017/SCJR.V1I1.1355.","plainTextFormattedCitation":"Philip A. Cunningham, “A Covenantal Christology,” Studies in Christian-Jewish Relations 1, no. 1 (2005): 41–52, https://doi.org/doi: 10.6017/SCJR.V1I1.1355.","previouslyFormattedCitation":"(Cunningham, 2005)"},"properties":{"noteIndex":6},"schema":"https://github.com/citation-style-language/schema/raw/master/csl-citation.json"}</w:instrText>
      </w:r>
      <w:r w:rsidRPr="004A0C99">
        <w:rPr>
          <w:lang w:val="en-US"/>
        </w:rPr>
        <w:fldChar w:fldCharType="separate"/>
      </w:r>
      <w:r w:rsidRPr="004A0C99">
        <w:rPr>
          <w:lang w:val="en-US"/>
        </w:rPr>
        <w:t xml:space="preserve">Philip A. Cunningham, “A Covenantal Christology,” </w:t>
      </w:r>
      <w:r w:rsidRPr="004A0C99">
        <w:rPr>
          <w:i/>
          <w:lang w:val="en-US"/>
        </w:rPr>
        <w:t>Studies in Christian-Jewish Relations</w:t>
      </w:r>
      <w:r w:rsidRPr="004A0C99">
        <w:rPr>
          <w:lang w:val="en-US"/>
        </w:rPr>
        <w:t xml:space="preserve"> 1, no. 1 (2005): 41–52, https://doi.org/doi: 10.6017/SCJR.V1I1.1355.</w:t>
      </w:r>
      <w:r w:rsidRPr="004A0C99">
        <w:rPr>
          <w:lang w:val="en-US"/>
        </w:rPr>
        <w:fldChar w:fldCharType="end"/>
      </w:r>
    </w:p>
  </w:footnote>
  <w:footnote w:id="7">
    <w:p w14:paraId="19F36E5C"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{"citationItems":[{"id":"ITEM-1","itemData":{"DOI":"10.1163/156853608X318466","ISSN":"00481009","abstract":"At the end of 2 Corinthians 5, in which he is defending his style of ministry, Paul appeals three times to the gospel which he proclaims (vv. 14-15, 18-19, 21). These summaries are worded in ways that indicate the implications of the gospel for his ministry. At the same time, however, what is true of Paul should be true of all believers: they, too, should be living for the one who died and was raised for them (v. 15) and passing on the message of reconciliation to others (vv. 18-19). In the final summary, Christians are said to \"become the righteousness of God\" (v. 21). Käsemann's understanding of δικαιoσυνη Θεoν here as a reference to God's active power of salvation fits the context well: \"in Christ\", believers become what he is, and God's righteousness is manifested through them. © 2008 Brill Academic Publishers.","author":[{"dropping-particle":"","family":"Hooker","given":"Morna D.","non-dropping-particle":"","parse-names":false,"suffix":""}],"container-title":"Novum Testamentum","id":"ITEM-1","issue":"4","issued":{"date-parts":[["2008"]]},"page":"358-375","title":"On becoming the righteousness of god: Another look at 2 cor 5:21","type":"article-journal","volume":"50"},"uris":["http://www.mendeley.com/documents/?uuid=65414cde-63b0-417f-92db-47ff521d4a5a"]}],"mendeley":{"formattedCitation":"Morna D. Hooker, “On Becoming the Righteousness of God: Another Look at 2 Cor 5:21,” &lt;i&gt;Novum Testamentum&lt;/i&gt; 50, no. 4 (2008): 358–75, https://doi.org/10.1163/156853608X318466.","plainTextFormattedCitation":"Morna D. Hooker, “On Becoming the Righteousness of God: Another Look at 2 Cor 5:21,” Novum Testamentum 50, no. 4 (2008): 358–75, https://doi.org/10.1163/156853608X318466.","previouslyFormattedCitation":"(Hooker, 2008)"},"properties":{"noteIndex":7},"schema":"https://github.com/citation-style-language/schema/raw/master/csl-citation.json"}</w:instrText>
      </w:r>
      <w:r w:rsidRPr="004A0C99">
        <w:rPr>
          <w:lang w:val="en-US"/>
        </w:rPr>
        <w:fldChar w:fldCharType="separate"/>
      </w:r>
      <w:r w:rsidRPr="004A0C99">
        <w:rPr>
          <w:lang w:val="en-US"/>
        </w:rPr>
        <w:t xml:space="preserve">Morna D. Hooker, “On Becoming the Righteousness of God: Another Look at 2 Cor 5:21,” </w:t>
      </w:r>
      <w:r w:rsidRPr="004A0C99">
        <w:rPr>
          <w:i/>
          <w:lang w:val="en-US"/>
        </w:rPr>
        <w:t>Novum Testamentum</w:t>
      </w:r>
      <w:r w:rsidRPr="004A0C99">
        <w:rPr>
          <w:lang w:val="en-US"/>
        </w:rPr>
        <w:t xml:space="preserve"> 50, no. 4 (2008): 358–75, https://doi.org/10.1163/156853608X318466.</w:t>
      </w:r>
      <w:r w:rsidRPr="004A0C99">
        <w:rPr>
          <w:lang w:val="en-US"/>
        </w:rPr>
        <w:fldChar w:fldCharType="end"/>
      </w:r>
    </w:p>
  </w:footnote>
  <w:footnote w:id="8">
    <w:p w14:paraId="2ADD7D64"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{"citationItems":[{"id":"ITEM-1","itemData":{"author":[{"dropping-particle":"","family":"Terry","given":"Justyn","non-dropping-particle":"","parse-names":false,"suffix":""}],"container-title":"Anglican theological review","id":"ITEM-1","issue":"1","issued":{"date-parts":[["2013"]]},"page":"9","publisher":"Anglican Theological Review, Inc.","title":"The Forgiveness of Sins and the Work of Christ: A Case for Substitutionary Atonement","type":"article-journal","volume":"95"},"uris":["http://www.mendeley.com/documents/?uuid=02b8755c-17c6-44f3-bf5e-81f685eefeaa"]}],"mendeley":{"formattedCitation":"Justyn Terry, “The Forgiveness of Sins and the Work of Christ: A Case for Substitutionary Atonement,” &lt;i&gt;Anglican Theological Review&lt;/i&gt; 95, no. 1 (2013): 9, https://www.questia.com/library/journal/1P3-2883106151/the-forgiveness-of-sins-and-the-work-of-christ-a.","plainTextFormattedCitation":"Justyn Terry, “The Forgiveness of Sins and the Work of Christ: A Case for Substitutionary Atonement,” Anglican Theological Review 95, no. 1 (2013): 9, https://www.questia.com/library/journal/1P3-2883106151/the-forgiveness-of-sins-and-the-work-of-christ-a.","previouslyFormattedCitation":"(Terry, 2013)"},"properties":{"noteIndex":8},"schema":"https://github.com/citation-style-language/schema/raw/master/csl-citation.json"}</w:instrText>
      </w:r>
      <w:r w:rsidRPr="004A0C99">
        <w:rPr>
          <w:lang w:val="en-US"/>
        </w:rPr>
        <w:fldChar w:fldCharType="separate"/>
      </w:r>
      <w:r w:rsidRPr="004A0C99">
        <w:rPr>
          <w:lang w:val="en-US"/>
        </w:rPr>
        <w:t xml:space="preserve">Justyn Terry, “The Forgiveness of Sins and the Work of Christ: A Case for Substitutionary Atonement,” </w:t>
      </w:r>
      <w:r w:rsidRPr="004A0C99">
        <w:rPr>
          <w:i/>
          <w:lang w:val="en-US"/>
        </w:rPr>
        <w:t>Anglican Theological Review</w:t>
      </w:r>
      <w:r w:rsidRPr="004A0C99">
        <w:rPr>
          <w:lang w:val="en-US"/>
        </w:rPr>
        <w:t xml:space="preserve"> 95, no. 1 (2013): 9, https://www.questia.com/library/journal/1P3-2883106151/the-forgiveness-of-sins-and-the-work-of-christ-a.</w:t>
      </w:r>
      <w:r w:rsidRPr="004A0C99">
        <w:rPr>
          <w:lang w:val="en-US"/>
        </w:rPr>
        <w:fldChar w:fldCharType="end"/>
      </w:r>
    </w:p>
  </w:footnote>
  <w:footnote w:id="9">
    <w:p w14:paraId="0E202120"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Pesah","non-dropping-particle":"","parse-names":false,"suffix":""}],"container-title":"Antrophos: Jurnal Ilmiah Teologi dan Pendidikan Agama Kristen","id":"ITEM-1","issue":"1","issued":{"date-parts":[["2024"]]},"page":"43-54","title":"Studi Teologis Dogmatika Tritunggal Dalam Perspektif Teologi Kovenan Bagi Kehidupan Jemaat","type":"article-journal","volume":"1"},"uris":["http://www.mendeley.com/documents/?uuid=5a3ccb76-d9b9-484b-858a-48e503af35a7"]}],"mendeley":{"formattedCitation":"Daniel Pesah Purwonugroho, “Studi Teologis Dogmatika Tritunggal Dalam Perspektif Teologi Kovenan Bagi Kehidupan Jemaat,” &lt;i&gt;Antrophos: Jurnal Ilmiah Teologi Dan Pendidikan Agama Kristen&lt;/i&gt; 1, no. 1 (2024): 43–54.","plainTextFormattedCitation":"Daniel Pesah Purwonugroho, “Studi Teologis Dogmatika Tritunggal Dalam Perspektif Teologi Kovenan Bagi Kehidupan Jemaat,” Antrophos: Jurnal Ilmiah Teologi Dan Pendidikan Agama Kristen 1, no. 1 (2024): 43–54.","previouslyFormattedCitation":"(Purwonugroho, 2024b)"},"properties":{"noteIndex":9},"schema":"https://github.com/citation-style-language/schema/raw/master/csl-citation.json"}</w:instrText>
      </w:r>
      <w:r w:rsidRPr="004A0C99">
        <w:rPr>
          <w:lang w:val="en-US"/>
        </w:rPr>
        <w:fldChar w:fldCharType="separate"/>
      </w:r>
      <w:r w:rsidRPr="004A0C99">
        <w:rPr>
          <w:lang w:val="en-US"/>
        </w:rPr>
        <w:t xml:space="preserve">Daniel Pesah Purwonugroho, “Studi Teologis Dogmatika Tritunggal Dalam Perspektif Teologi Kovenan Bagi Kehidupan Jemaat,” </w:t>
      </w:r>
      <w:r w:rsidRPr="004A0C99">
        <w:rPr>
          <w:i/>
          <w:lang w:val="en-US"/>
        </w:rPr>
        <w:t>Antrophos: Jurnal Ilmiah Teologi Dan Pendidikan Agama Kristen</w:t>
      </w:r>
      <w:r w:rsidRPr="004A0C99">
        <w:rPr>
          <w:lang w:val="en-US"/>
        </w:rPr>
        <w:t xml:space="preserve"> 1, no. 1 (2024): 43–54.</w:t>
      </w:r>
      <w:r w:rsidRPr="004A0C99">
        <w:rPr>
          <w:lang w:val="en-US"/>
        </w:rPr>
        <w:fldChar w:fldCharType="end"/>
      </w:r>
    </w:p>
  </w:footnote>
  <w:footnote w:id="10">
    <w:p w14:paraId="01A37A28"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{"citationItems":[{"id":"ITEM-1","itemData":{"DOI":"10.1111/1463-1652.00003","ISSN":"14682400","abstract":"The doctrine of the justification of the ungodly is central to the Christian confession. Justification is to be understood through the four Reformation exclusive particles: Christ alone, grace alone, word alone and faith alone. Justification addresses the relationlessness which is produced by sin as limitless self-realization. Related in himself as Trinity, God in Christ and Spirit continues in relation to the godless, thereby establishing a wealth of relation which is righteous. This account of justification is illuminating both for fundamental issues in anthropology and ethics, and for current ecumenical controversies concerning salvation, sacraments and ministry.© Blackwell Publishers Ltd 1999.","author":[{"dropping-particle":"","family":"Jüngel","given":"Eberhard","non-dropping-particle":"","parse-names":false,"suffix":""}],"container-title":"International Journal of Systematic Theology","id":"ITEM-1","issue":"1","issued":{"date-parts":[["1999"]]},"page":"24-52","title":"On the doctrine of justification","type":"article-journal","volume":"1"},"uris":["http://www.mendeley.com/documents/?uuid=85bb2309-477a-42c8-97e6-f66236ea38b4"]}],"mendeley":{"formattedCitation":"Jüngel, “On the Doctrine of Justification.”","plainTextFormattedCitation":"Jüngel, “On the Doctrine of Justification.”","previouslyFormattedCitation":"(Jüngel, 1999)"},"properties":{"noteIndex":10},"schema":"https://github.com/citation-style-language/schema/raw/master/csl-citation.json"}</w:instrText>
      </w:r>
      <w:r w:rsidRPr="004A0C99">
        <w:rPr>
          <w:lang w:val="en-US"/>
        </w:rPr>
        <w:fldChar w:fldCharType="separate"/>
      </w:r>
      <w:r w:rsidRPr="004A0C99">
        <w:rPr>
          <w:lang w:val="en-US"/>
        </w:rPr>
        <w:t>Jüngel, “On the Doctrine of Justification.”</w:t>
      </w:r>
      <w:r w:rsidRPr="004A0C99">
        <w:rPr>
          <w:lang w:val="en-US"/>
        </w:rPr>
        <w:fldChar w:fldCharType="end"/>
      </w:r>
    </w:p>
  </w:footnote>
  <w:footnote w:id="11">
    <w:p w14:paraId="7792067A"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{"citationItems":[{"id":"ITEM-1","itemData":{"abstract":"El tiro de munición es una enfermedad de hongos común en Utah. Ataca capullos latentes de hojas, brotes de flores, hojas, frutos y ramitas. Las primeras lesiones visibles ocurren en las hojas jóvenes como pequeñas manchas redondas y bronceadas que con el tiempo se caen, dejando agujeros redondos. Las lesiones circulares se desarollan en la fruta que primero aparecen como manchas rojizas (mostradas a la derecha, arriba), y más tarde como protuberancias ásperas y taponadas.","author":[{"dropping-particle":"","family":"Hunter","given":"D. J.","non-dropping-particle":"","parse-names":false,"suffix":""},{"dropping-particle":"","family":"Mccallum","given":"J.","non-dropping-particle":"","parse-names":false,"suffix":""},{"dropping-particle":"","family":"Howes","given":"D.","non-dropping-particle":"","parse-names":false,"suffix":""}],"container-title":"Journal of Nursing and Health Care","id":"ITEM-1","issue":"1","issued":{"date-parts":[["2019"]]},"page":"1-7","title":"Defining exploratory-descriptive qualitative research and considering its application to healthcare","type":"article-journal","volume":"4"},"uris":["http://www.mendeley.com/documents/?uuid=3fa3eacf-8672-414c-be35-c00c26cd13a6"]}],"mendeley":{"formattedCitation":"D. J. Hunter, J. Mccallum, and D. Howes, “Defining Exploratory-Descriptive Qualitative Research and Considering Its Application to Healthcare,” &lt;i&gt;Journal of Nursing and Health Care&lt;/i&gt; 4, no. 1 (2019): 1–7.","plainTextFormattedCitation":"D. J. Hunter, J. Mccallum, and D. Howes, “Defining Exploratory-Descriptive Qualitative Research and Considering Its Application to Healthcare,” Journal of Nursing and Health Care 4, no. 1 (2019): 1–7.","previouslyFormattedCitation":"(Hunter et al., 2019)"},"properties":{"noteIndex":11},"schema":"https://github.com/citation-style-language/schema/raw/master/csl-citation.json"}</w:instrText>
      </w:r>
      <w:r w:rsidRPr="004A0C99">
        <w:rPr>
          <w:lang w:val="en-US"/>
        </w:rPr>
        <w:fldChar w:fldCharType="separate"/>
      </w:r>
      <w:r w:rsidRPr="004A0C99">
        <w:rPr>
          <w:lang w:val="en-US"/>
        </w:rPr>
        <w:t xml:space="preserve">D. J. Hunter, J. Mccallum, and D. Howes, “Defining Exploratory-Descriptive Qualitative Research and Considering Its Application to Healthcare,” </w:t>
      </w:r>
      <w:r w:rsidRPr="004A0C99">
        <w:rPr>
          <w:i/>
          <w:lang w:val="en-US"/>
        </w:rPr>
        <w:t>Journal of Nursing and Health Care</w:t>
      </w:r>
      <w:r w:rsidRPr="004A0C99">
        <w:rPr>
          <w:lang w:val="en-US"/>
        </w:rPr>
        <w:t xml:space="preserve"> 4, no. 1 (2019): 1–7.</w:t>
      </w:r>
      <w:r w:rsidRPr="004A0C99">
        <w:rPr>
          <w:lang w:val="en-US"/>
        </w:rPr>
        <w:fldChar w:fldCharType="end"/>
      </w:r>
    </w:p>
  </w:footnote>
  <w:footnote w:id="12">
    <w:p w14:paraId="380F6E22"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{"citationItems":[{"id":"ITEM-1","itemData":{"abstract":"Penelitian ini bertujuan membahas metode penelitian kualitatif studi pustaka dan studi lapangan. Metode penelitian ini menerapkan jenis kualitatif melalui studi pustaka dan studi lapangan. Hasil dan pembahasan penelitian ini mencakup ulasan tentang metode penelitian kualitatif, studi pustaka, studi lapangan, dan gabungan keduanya. Kesimpulan penelitian ini ialah pengguna metode penelitian jenis kualitatif studi lapangan dipastikan terlebih dahulu melaksanakan studi pustaka. Rekomendasi penelitian ini adalah penerapan metode penelitian jenis kualitatif dapat menegaskan apakah studi pustaka dan studi lapangan sendiri-sendiri ataukah gabungan keduanya.","author":[{"dropping-particle":"","family":"Wahyudin","given":"","non-dropping-particle":"","parse-names":false,"suffix":""}],"container-title":"Pre-print Digital Library UIN Sunan Gunung Djati Bandung","id":"ITEM-1","issue":"1","issued":{"date-parts":[["2017"]]},"page":"1-6","publisher":"Pusat Perpustakaan UIN Sunan Gunung Djati Bandung","title":"Metode Penelitian Kualitatif Studi Pustaka dan Studi Lapangan","type":"article-journal","volume":"6"},"uris":["http://www.mendeley.com/documents/?uuid=76e6a7f9-12ff-4b41-ac36-e5762a1ab4bc"]}],"mendeley":{"formattedCitation":"Wahyudin, “Metode Penelitian Kualitatif Studi Pustaka Dan Studi Lapangan,” &lt;i&gt;Pre-Print Digital Library UIN Sunan Gunung Djati Bandung&lt;/i&gt; 6, no. 1 (2017): 1–6.","plainTextFormattedCitation":"Wahyudin, “Metode Penelitian Kualitatif Studi Pustaka Dan Studi Lapangan,” Pre-Print Digital Library UIN Sunan Gunung Djati Bandung 6, no. 1 (2017): 1–6.","previouslyFormattedCitation":"(Wahyudin, 2017)"},"properties":{"noteIndex":12},"schema":"https://github.com/citation-style-language/schema/raw/master/csl-citation.json"}</w:instrText>
      </w:r>
      <w:r w:rsidRPr="004A0C99">
        <w:rPr>
          <w:lang w:val="en-US"/>
        </w:rPr>
        <w:fldChar w:fldCharType="separate"/>
      </w:r>
      <w:r w:rsidRPr="004A0C99">
        <w:rPr>
          <w:lang w:val="en-US"/>
        </w:rPr>
        <w:t xml:space="preserve">Wahyudin, “Metode Penelitian Kualitatif Studi Pustaka Dan Studi Lapangan,” </w:t>
      </w:r>
      <w:r w:rsidRPr="004A0C99">
        <w:rPr>
          <w:i/>
          <w:lang w:val="en-US"/>
        </w:rPr>
        <w:t>Pre-Print Digital Library UIN Sunan Gunung Djati Bandung</w:t>
      </w:r>
      <w:r w:rsidRPr="004A0C99">
        <w:rPr>
          <w:lang w:val="en-US"/>
        </w:rPr>
        <w:t xml:space="preserve"> 6, no. 1 (2017): 1–6.</w:t>
      </w:r>
      <w:r w:rsidRPr="004A0C99">
        <w:rPr>
          <w:lang w:val="en-US"/>
        </w:rPr>
        <w:fldChar w:fldCharType="end"/>
      </w:r>
    </w:p>
  </w:footnote>
  <w:footnote w:id="13">
    <w:p w14:paraId="688B7E60"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{"citationItems":[{"id":"ITEM-1","itemData":{"author":[{"dropping-particle":"","family":"Keener","given":"Craig S","non-dropping-particle":"","parse-names":false,"suffix":""}],"id":"ITEM-1","issued":{"date-parts":[["2005"]]},"publisher":"Cambridge University Press","publisher-place":"New Jersey 08865-0817","title":"1-2 Corinthians (The New Cambridge Bible Commentary)","type":"book"},"locator":"144-145","uris":["http://www.mendeley.com/documents/?uuid=7c3e36eb-6b61-4659-ad1f-5d8af0c33a8a"]}],"mendeley":{"formattedCitation":"Craig S Keener, &lt;i&gt;1-2 Corinthians (The New Cambridge Bible Commentary)&lt;/i&gt; (New Jersey 08865-0817: Cambridge University Press, 2005), 144–45.","plainTextFormattedCitation":"Craig S Keener, 1-2 Corinthians (The New Cambridge Bible Commentary) (New Jersey 08865-0817: Cambridge University Press, 2005), 144–45.","previouslyFormattedCitation":"(Keener, 2005, pp. 144–145)"},"properties":{"noteIndex":13},"schema":"https://github.com/citation-style-language/schema/raw/master/csl-citation.json"}</w:instrText>
      </w:r>
      <w:r w:rsidRPr="004A0C99">
        <w:rPr>
          <w:lang w:val="en-US"/>
        </w:rPr>
        <w:fldChar w:fldCharType="separate"/>
      </w:r>
      <w:r w:rsidRPr="004A0C99">
        <w:rPr>
          <w:lang w:val="en-US"/>
        </w:rPr>
        <w:t xml:space="preserve">Craig S Keener, </w:t>
      </w:r>
      <w:r w:rsidRPr="004A0C99">
        <w:rPr>
          <w:i/>
          <w:lang w:val="en-US"/>
        </w:rPr>
        <w:t>1-2 Corinthians (The New Cambridge Bible Commentary)</w:t>
      </w:r>
      <w:r w:rsidRPr="004A0C99">
        <w:rPr>
          <w:lang w:val="en-US"/>
        </w:rPr>
        <w:t xml:space="preserve"> (New Jersey 08865-0817: Cambridge University Press, 2005), 144–45.</w:t>
      </w:r>
      <w:r w:rsidRPr="004A0C99">
        <w:rPr>
          <w:lang w:val="en-US"/>
        </w:rPr>
        <w:fldChar w:fldCharType="end"/>
      </w:r>
    </w:p>
  </w:footnote>
  <w:footnote w:id="14">
    <w:p w14:paraId="4A7C08EF"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{"citationItems":[{"id":"ITEM-1","itemData":{"ISBN":"9780802801449","author":[{"dropping-particle":"","family":"Witherington","given":"B","non-dropping-particle":"","parse-names":false,"suffix":""}],"id":"ITEM-1","issued":{"date-parts":[["1995"]]},"publisher":"Eerdmans Publishing Company","publisher-place":"Grand Rapids, Michigan","title":"Conflict and Community in Corinth: A Socio-Rhetorical Commentary on 1 and 2 Corinthians","type":"book"},"locator":"557","uris":["http://www.mendeley.com/documents/?uuid=2bd1c948-fbd7-4b0f-8650-0dab3fe77987"]}],"mendeley":{"formattedCitation":"B Witherington, &lt;i&gt;Conflict and Community in Corinth: A Socio-Rhetorical Commentary on 1 and 2 Corinthians&lt;/i&gt; (Grand Rapids, Michigan: Eerdmans Publishing Company, 1995), 557.","plainTextFormattedCitation":"B Witherington, Conflict and Community in Corinth: A Socio-Rhetorical Commentary on 1 and 2 Corinthians (Grand Rapids, Michigan: Eerdmans Publishing Company, 1995), 557.","previouslyFormattedCitation":"(Witherington, 1995, p. 557)"},"properties":{"noteIndex":14},"schema":"https://github.com/citation-style-language/schema/raw/master/csl-citation.json"}</w:instrText>
      </w:r>
      <w:r w:rsidRPr="004A0C99">
        <w:rPr>
          <w:lang w:val="en-US"/>
        </w:rPr>
        <w:fldChar w:fldCharType="separate"/>
      </w:r>
      <w:r w:rsidRPr="004A0C99">
        <w:rPr>
          <w:lang w:val="en-US"/>
        </w:rPr>
        <w:t xml:space="preserve">B Witherington, </w:t>
      </w:r>
      <w:r w:rsidRPr="004A0C99">
        <w:rPr>
          <w:i/>
          <w:lang w:val="en-US"/>
        </w:rPr>
        <w:t>Conflict and Community in Corinth: A Socio-Rhetorical Commentary on 1 and 2 Corinthians</w:t>
      </w:r>
      <w:r w:rsidRPr="004A0C99">
        <w:rPr>
          <w:lang w:val="en-US"/>
        </w:rPr>
        <w:t xml:space="preserve"> (Grand Rapids, Michigan: Eerdmans Publishing Company, 1995), 557.</w:t>
      </w:r>
      <w:r w:rsidRPr="004A0C99">
        <w:rPr>
          <w:lang w:val="en-US"/>
        </w:rPr>
        <w:fldChar w:fldCharType="end"/>
      </w:r>
    </w:p>
  </w:footnote>
  <w:footnote w:id="15">
    <w:p w14:paraId="136F8D6C"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{"citationItems":[{"id":"ITEM-1","itemData":{"author":[{"dropping-particle":"","family":"Hughes","given":"R Kent","non-dropping-particle":"","parse-names":false,"suffix":""}],"id":"ITEM-1","issued":{"date-parts":[["2006"]]},"publisher":"Crossway Book","publisher-place":"Wheaton, Illinois","title":"2 Corinthians","type":"book"},"locator":"126","uris":["http://www.mendeley.com/documents/?uuid=c9be0c60-b68c-484e-bbdf-07daa463ec1b"]}],"mendeley":{"formattedCitation":"R Kent Hughes, &lt;i&gt;2 Corinthians&lt;/i&gt; (Wheaton, Illinois: Crossway Book, 2006), 126.","plainTextFormattedCitation":"R Kent Hughes, 2 Corinthians (Wheaton, Illinois: Crossway Book, 2006), 126.","previouslyFormattedCitation":"(Hughes, 2006, p. 126)"},"properties":{"noteIndex":15},"schema":"https://github.com/citation-style-language/schema/raw/master/csl-citation.json"}</w:instrText>
      </w:r>
      <w:r w:rsidRPr="004A0C99">
        <w:rPr>
          <w:lang w:val="en-US"/>
        </w:rPr>
        <w:fldChar w:fldCharType="separate"/>
      </w:r>
      <w:r w:rsidRPr="004A0C99">
        <w:rPr>
          <w:lang w:val="en-US"/>
        </w:rPr>
        <w:t xml:space="preserve">R Kent Hughes, </w:t>
      </w:r>
      <w:r w:rsidRPr="004A0C99">
        <w:rPr>
          <w:i/>
          <w:lang w:val="en-US"/>
        </w:rPr>
        <w:t>2 Corinthians</w:t>
      </w:r>
      <w:r w:rsidRPr="004A0C99">
        <w:rPr>
          <w:lang w:val="en-US"/>
        </w:rPr>
        <w:t xml:space="preserve"> (Wheaton, Illinois: Crossway Book, 2006), 126.</w:t>
      </w:r>
      <w:r w:rsidRPr="004A0C99">
        <w:rPr>
          <w:lang w:val="en-US"/>
        </w:rPr>
        <w:fldChar w:fldCharType="end"/>
      </w:r>
    </w:p>
  </w:footnote>
  <w:footnote w:id="16">
    <w:p w14:paraId="39911E7C"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{"citationItems":[{"id":"ITEM-1","itemData":{"author":[{"dropping-particle":"","family":"Comfort","given":"Phillip W","non-dropping-particle":"","parse-names":false,"suffix":""}],"id":"ITEM-1","issued":{"date-parts":[["2009"]]},"publisher":"Tyndale House Publishers","publisher-place":"Illinois","title":"1 Corinthians &amp; 2 Corinthians","type":"book"},"locator":"569","uris":["http://www.mendeley.com/documents/?uuid=29540d23-4201-4ce8-bd96-c76f7a7415b0"]}],"mendeley":{"formattedCitation":"Phillip W Comfort, &lt;i&gt;1 Corinthians &amp; 2 Corinthians&lt;/i&gt; (Illinois: Tyndale House Publishers, 2009), 569.","plainTextFormattedCitation":"Phillip W Comfort, 1 Corinthians &amp; 2 Corinthians (Illinois: Tyndale House Publishers, 2009), 569.","previouslyFormattedCitation":"(Comfort, 2009, p. 569)"},"properties":{"noteIndex":16},"schema":"https://github.com/citation-style-language/schema/raw/master/csl-citation.json"}</w:instrText>
      </w:r>
      <w:r w:rsidRPr="004A0C99">
        <w:rPr>
          <w:lang w:val="en-US"/>
        </w:rPr>
        <w:fldChar w:fldCharType="separate"/>
      </w:r>
      <w:r w:rsidRPr="004A0C99">
        <w:rPr>
          <w:lang w:val="en-US"/>
        </w:rPr>
        <w:t xml:space="preserve">Phillip W Comfort, </w:t>
      </w:r>
      <w:r w:rsidRPr="004A0C99">
        <w:rPr>
          <w:i/>
          <w:lang w:val="en-US"/>
        </w:rPr>
        <w:t>1 Corinthians &amp; 2 Corinthians</w:t>
      </w:r>
      <w:r w:rsidRPr="004A0C99">
        <w:rPr>
          <w:lang w:val="en-US"/>
        </w:rPr>
        <w:t xml:space="preserve"> (Illinois: Tyndale House Publishers, 2009), 569.</w:t>
      </w:r>
      <w:r w:rsidRPr="004A0C99">
        <w:rPr>
          <w:lang w:val="en-US"/>
        </w:rPr>
        <w:fldChar w:fldCharType="end"/>
      </w:r>
    </w:p>
  </w:footnote>
  <w:footnote w:id="17">
    <w:p w14:paraId="0F4B4202"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{"citationItems":[{"id":"ITEM-1","itemData":{"author":[{"dropping-particle":"","family":"Guthrie","given":"George H","non-dropping-particle":"","parse-names":false,"suffix":""}],"id":"ITEM-1","issued":{"date-parts":[["2015"]]},"publisher":"Baker Academic","publisher-place":"Grand Rapids, Michigan","title":"2 Corinthians","type":"book"},"locator":"490","uris":["http://www.mendeley.com/documents/?uuid=300b121b-a8f5-4677-aecd-affa95bfabb1"]}],"mendeley":{"formattedCitation":"George H Guthrie, &lt;i&gt;2 Corinthians&lt;/i&gt; (Grand Rapids, Michigan: Baker Academic, 2015), 490.","plainTextFormattedCitation":"George H Guthrie, 2 Corinthians (Grand Rapids, Michigan: Baker Academic, 2015), 490.","previouslyFormattedCitation":"(Guthrie, 2015, p. 490)"},"properties":{"noteIndex":17},"schema":"https://github.com/citation-style-language/schema/raw/master/csl-citation.json"}</w:instrText>
      </w:r>
      <w:r w:rsidRPr="004A0C99">
        <w:rPr>
          <w:lang w:val="en-US"/>
        </w:rPr>
        <w:fldChar w:fldCharType="separate"/>
      </w:r>
      <w:r w:rsidRPr="004A0C99">
        <w:rPr>
          <w:lang w:val="en-US"/>
        </w:rPr>
        <w:t xml:space="preserve">George H Guthrie, </w:t>
      </w:r>
      <w:r w:rsidRPr="004A0C99">
        <w:rPr>
          <w:i/>
          <w:lang w:val="en-US"/>
        </w:rPr>
        <w:t>2 Corinthians</w:t>
      </w:r>
      <w:r w:rsidRPr="004A0C99">
        <w:rPr>
          <w:lang w:val="en-US"/>
        </w:rPr>
        <w:t xml:space="preserve"> (Grand Rapids, Michigan: Baker Academic, 2015), 490.</w:t>
      </w:r>
      <w:r w:rsidRPr="004A0C99">
        <w:rPr>
          <w:lang w:val="en-US"/>
        </w:rPr>
        <w:fldChar w:fldCharType="end"/>
      </w:r>
    </w:p>
  </w:footnote>
  <w:footnote w:id="18">
    <w:p w14:paraId="552FFABA"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{"citationItems":[{"id":"ITEM-1","itemData":{"DOI":"10.54765/ejurnalkadesi.v3i2.9","ISSN":"2655-4801","abstract":"Covenant theology is one of the most important parts of the Christian faith. Theology is God's initiative in persuading His love for man. God promises to give redemption to all men without requirement. However, advances in technology and science have harmed one's belief in God's promise. The purpose of this study was to find reflections of covenant theology found in Genesis 1-3 and its implications for today's believers. The method used in this article is library research with a descriptive qualitative approach. Through the research of the library, three covenants that God gave to man were covenants of work, redemption, and grace. The covenant can still be enjoyed by all believers today if, it can place Christ at the center of the fulfillment of god's covenant.","author":[{"dropping-particle":"","family":"Ristiono","given":"Yosua Budi","non-dropping-particle":"","parse-names":false,"suffix":""},{"dropping-particle":"","family":"Sirait","given":"Junio Richson","non-dropping-particle":"","parse-names":false,"suffix":""}],"container-title":"JURNAL KADESI","id":"ITEM-1","issued":{"date-parts":[["2021"]]},"title":"Refleksi Teologi Kovenan Berdasarkan Kejadian 1-3 dan Implikasinya bagi Kehidupan Orang Percaya Masa Kini","type":"article-journal"},"uris":["http://www.mendeley.com/documents/?uuid=08e04b82-7904-4064-ae77-1a9aea2aafdb"]}],"mendeley":{"formattedCitation":"Yosua Budi Ristiono and Junio Richson Sirait, “Refleksi Teologi Kovenan Berdasarkan Kejadian 1-3 Dan Implikasinya Bagi Kehidupan Orang Percaya Masa Kini,” &lt;i&gt;JURNAL KADESI&lt;/i&gt;, 2021, https://doi.org/10.54765/ejurnalkadesi.v3i2.9.","plainTextFormattedCitation":"Yosua Budi Ristiono and Junio Richson Sirait, “Refleksi Teologi Kovenan Berdasarkan Kejadian 1-3 Dan Implikasinya Bagi Kehidupan Orang Percaya Masa Kini,” JURNAL KADESI, 2021, https://doi.org/10.54765/ejurnalkadesi.v3i2.9.","previouslyFormattedCitation":"(Ristiono &amp; Sirait, 2021)"},"properties":{"noteIndex":18},"schema":"https://github.com/citation-style-language/schema/raw/master/csl-citation.json"}</w:instrText>
      </w:r>
      <w:r w:rsidRPr="004A0C99">
        <w:rPr>
          <w:lang w:val="en-US"/>
        </w:rPr>
        <w:fldChar w:fldCharType="separate"/>
      </w:r>
      <w:r w:rsidRPr="004A0C99">
        <w:rPr>
          <w:lang w:val="en-US"/>
        </w:rPr>
        <w:t xml:space="preserve">Yosua Budi Ristiono and Junio Richson Sirait, “Refleksi Teologi Kovenan Berdasarkan Kejadian 1-3 Dan Implikasinya Bagi Kehidupan Orang Percaya Masa Kini,” </w:t>
      </w:r>
      <w:r w:rsidRPr="004A0C99">
        <w:rPr>
          <w:i/>
          <w:lang w:val="en-US"/>
        </w:rPr>
        <w:t>JURNAL KADESI</w:t>
      </w:r>
      <w:r w:rsidRPr="004A0C99">
        <w:rPr>
          <w:lang w:val="en-US"/>
        </w:rPr>
        <w:t>, 2021, https://doi.org/10.54765/ejurnalkadesi.v3i2.9.</w:t>
      </w:r>
      <w:r w:rsidRPr="004A0C99">
        <w:rPr>
          <w:lang w:val="en-US"/>
        </w:rPr>
        <w:fldChar w:fldCharType="end"/>
      </w:r>
    </w:p>
  </w:footnote>
  <w:footnote w:id="19">
    <w:p w14:paraId="2CB28DA9"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{"citationItems":[{"id":"ITEM-1","itemData":{"DOI":"10.32597/theses/91/","author":[{"dropping-particle":"","family":"Kumar","given":"Ashwani","non-dropping-particle":"","parse-names":false,"suffix":""}],"id":"ITEM-1","issued":{"date-parts":[["2016"]]},"publisher":"Andrews University","title":"The Relationship of the Old Covenant to the Everlasting Covenant","type":"thesis"},"uris":["http://www.mendeley.com/documents/?uuid=58869180-a2fa-4fce-8690-36f02b68c069"]}],"mendeley":{"formattedCitation":"Ashwani Kumar, “The Relationship of the Old Covenant to the Everlasting Covenant” (Andrews University, 2016), https://doi.org/10.32597/theses/91/.","plainTextFormattedCitation":"Ashwani Kumar, “The Relationship of the Old Covenant to the Everlasting Covenant” (Andrews University, 2016), https://doi.org/10.32597/theses/91/.","previouslyFormattedCitation":"(Kumar, 2016)"},"properties":{"noteIndex":19},"schema":"https://github.com/citation-style-language/schema/raw/master/csl-citation.json"}</w:instrText>
      </w:r>
      <w:r w:rsidRPr="004A0C99">
        <w:rPr>
          <w:lang w:val="en-US"/>
        </w:rPr>
        <w:fldChar w:fldCharType="separate"/>
      </w:r>
      <w:r w:rsidRPr="004A0C99">
        <w:rPr>
          <w:lang w:val="en-US"/>
        </w:rPr>
        <w:t>Ashwani Kumar, “The Relationship of the Old Covenant to the Everlasting Covenant” (Andrews University, 2016), https://doi.org/10.32597/theses/91/.</w:t>
      </w:r>
      <w:r w:rsidRPr="004A0C99">
        <w:rPr>
          <w:lang w:val="en-US"/>
        </w:rPr>
        <w:fldChar w:fldCharType="end"/>
      </w:r>
    </w:p>
  </w:footnote>
  <w:footnote w:id="20">
    <w:p w14:paraId="58F148EF"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Pesah","non-dropping-particle":"","parse-names":false,"suffix":""}],"container-title":"AGATHA: Jurnal Teologi dan Pendidikan Kristiani","id":"ITEM-1","issue":"1","issued":{"date-parts":[["2024"]]},"page":"1-18","title":"Integrasi Hukum Taurat dalam Kerangka Total Depravity: Perspektif Teologi Kovenan Terhadap Pemahaman Dosa dan Anugerah","type":"article-journal","volume":"1"},"uris":["http://www.mendeley.com/documents/?uuid=b7ef81ff-d981-44b0-8eed-c4a8e276746a"]}],"mendeley":{"formattedCitation":"Daniel Pesah Purwonugroho, “Integrasi Hukum Taurat Dalam Kerangka Total Depravity: Perspektif Teologi Kovenan Terhadap Pemahaman Dosa Dan Anugerah,” &lt;i&gt;AGATHA: Jurnal Teologi Dan Pendidikan Kristiani&lt;/i&gt; 1, no. 1 (2024): 1–18.","plainTextFormattedCitation":"Daniel Pesah Purwonugroho, “Integrasi Hukum Taurat Dalam Kerangka Total Depravity: Perspektif Teologi Kovenan Terhadap Pemahaman Dosa Dan Anugerah,” AGATHA: Jurnal Teologi Dan Pendidikan Kristiani 1, no. 1 (2024): 1–18.","previouslyFormattedCitation":"(Purwonugroho, 2024a)"},"properties":{"noteIndex":20},"schema":"https://github.com/citation-style-language/schema/raw/master/csl-citation.json"}</w:instrText>
      </w:r>
      <w:r w:rsidRPr="004A0C99">
        <w:rPr>
          <w:lang w:val="en-US"/>
        </w:rPr>
        <w:fldChar w:fldCharType="separate"/>
      </w:r>
      <w:r w:rsidRPr="004A0C99">
        <w:rPr>
          <w:lang w:val="en-US"/>
        </w:rPr>
        <w:t xml:space="preserve">Daniel Pesah Purwonugroho, “Integrasi Hukum Taurat Dalam Kerangka Total Depravity: Perspektif Teologi Kovenan Terhadap Pemahaman Dosa Dan Anugerah,” </w:t>
      </w:r>
      <w:r w:rsidRPr="004A0C99">
        <w:rPr>
          <w:i/>
          <w:lang w:val="en-US"/>
        </w:rPr>
        <w:t>AGATHA: Jurnal Teologi Dan Pendidikan Kristiani</w:t>
      </w:r>
      <w:r w:rsidRPr="004A0C99">
        <w:rPr>
          <w:lang w:val="en-US"/>
        </w:rPr>
        <w:t xml:space="preserve"> 1, no. 1 (2024): 1–18.</w:t>
      </w:r>
      <w:r w:rsidRPr="004A0C99">
        <w:rPr>
          <w:lang w:val="en-US"/>
        </w:rPr>
        <w:fldChar w:fldCharType="end"/>
      </w:r>
    </w:p>
  </w:footnote>
  <w:footnote w:id="21">
    <w:p w14:paraId="3B87F009"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{"citationItems":[{"id":"ITEM-1","itemData":{"DOI":"10.38189/jtbh.v2i1.21","ISSN":"2656-4904","abstract":"The God of the Israelites is a God of covenants that bind covenants with humanity. Agreement between them has a binding nature to one another. Throughout the history of the Israelites recorded in the Old Testament, God often spoke through His prophets. God delivered a special message about the lives of the Israelites and also what He promised them through these prophets. All messages in the Old Testament and the prophetic books refer to a conditional Covenant. On the one hand, God pursues and punishes, but on the other hand, He restores. The Covenant theology reveals God's intention to punish and repair that is manifested in Christ's mission. This paper analyzes the implementation of the covenant theology in the ministry of the Prophet Zephaniah through the study of literature and sees its implementation for the presence of Christ in the world.Abstrak: Allah adalah Allah perjanjian yang mengikat perjanjian kepada umat manusia. Perjanjian yang terjalin antara Allah dengan manusia memiliki sifat yang sangat mengikat. Di dalam kehidupan bangsa Israel yang terekam sepanjang kitab Perjanjian Lama, Allah bersabda melalui nabi nabiNya. Allah memberikan pesan secara spesifik perihal kehidupan bangsa Israel dan juga apa yang menjadi janjiNya kepada mereka. Seluruh pesan Perjanjian Lama dan khususnya kitab Nabi-nabi mengarah pada satu perjanjian atau kovenan bersyarat. Pada satu sisi, Allah menuntut dan menghukum tetapi pada sisi lain, Allah memulihkan. Teologi kovenan menampilkan maksud Allah untuk menghukum dan memulihkan yang tergambar di dalam misi Kristus. Tulisan ini menganalisis implementasi Teologi kovenan di dalam pelayanan Nabi Zefanya melalui studi literatur dan  melihat implementaisnya bagi kehadiran Kristus di dunia. ","author":[{"dropping-particle":"","family":"Purwonugroho","given":"Daniel Pesah","non-dropping-particle":"","parse-names":false,"suffix":""},{"dropping-particle":"","family":"Zaluchu","given":"Sonny Eli","non-dropping-particle":"","parse-names":false,"suffix":""}],"container-title":"Jurnal Teologi Berita Hidup","id":"ITEM-1","issue":"1","issued":{"date-parts":[["2019"]]},"page":"20-27","title":"Janji Pemulihan Israel dalam Kitab Zefanya: Refleksi Teologi Kovenan","type":"article-journal","volume":"2"},"uris":["http://www.mendeley.com/documents/?uuid=4ffc58d4-93f3-4b11-9df1-406b47bbfadd"]}],"mendeley":{"formattedCitation":"Daniel Pesah Purwonugroho and Sonny Eli Zaluchu, “Janji Pemulihan Israel Dalam Kitab Zefanya: Refleksi Teologi Kovenan,” &lt;i&gt;Jurnal Teologi Berita Hidup&lt;/i&gt; 2, no. 1 (2019): 20–27, https://doi.org/10.38189/jtbh.v2i1.21.","plainTextFormattedCitation":"Daniel Pesah Purwonugroho and Sonny Eli Zaluchu, “Janji Pemulihan Israel Dalam Kitab Zefanya: Refleksi Teologi Kovenan,” Jurnal Teologi Berita Hidup 2, no. 1 (2019): 20–27, https://doi.org/10.38189/jtbh.v2i1.21.","previouslyFormattedCitation":"(Purwonugroho &amp; Zaluchu, 2019)"},"properties":{"noteIndex":21},"schema":"https://github.com/citation-style-language/schema/raw/master/csl-citation.json"}</w:instrText>
      </w:r>
      <w:r w:rsidRPr="004A0C99">
        <w:rPr>
          <w:lang w:val="en-US"/>
        </w:rPr>
        <w:fldChar w:fldCharType="separate"/>
      </w:r>
      <w:r w:rsidRPr="004A0C99">
        <w:rPr>
          <w:lang w:val="en-US"/>
        </w:rPr>
        <w:t xml:space="preserve">Daniel Pesah Purwonugroho and Sonny Eli Zaluchu, “Janji Pemulihan Israel Dalam Kitab Zefanya: Refleksi Teologi Kovenan,” </w:t>
      </w:r>
      <w:r w:rsidRPr="004A0C99">
        <w:rPr>
          <w:i/>
          <w:lang w:val="en-US"/>
        </w:rPr>
        <w:t>Jurnal Teologi Berita Hidup</w:t>
      </w:r>
      <w:r w:rsidRPr="004A0C99">
        <w:rPr>
          <w:lang w:val="en-US"/>
        </w:rPr>
        <w:t xml:space="preserve"> 2, no. 1 (2019): 20–27, https://doi.org/10.38189/jtbh.v2i1.21.</w:t>
      </w:r>
      <w:r w:rsidRPr="004A0C99">
        <w:rPr>
          <w:lang w:val="en-US"/>
        </w:rPr>
        <w:fldChar w:fldCharType="end"/>
      </w:r>
    </w:p>
  </w:footnote>
  <w:footnote w:id="22">
    <w:p w14:paraId="691062BB"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{"citationItems":[{"id":"ITEM-1","itemData":{"author":[{"dropping-particle":"","family":"Cosme De Moraes","given":"L","non-dropping-particle":"","parse-names":false,"suffix":""}],"id":"ITEM-1","issued":{"date-parts":[["2019"]]},"publisher":"North-West University","title":"Justification by faith in Galatians 2.15-21: An exegetical study","type":"thesis"},"uris":["http://www.mendeley.com/documents/?uuid=7414fdb7-4f0a-4a28-8928-be2c87f02125"]}],"mendeley":{"formattedCitation":"L Cosme De Moraes, “Justification by Faith in Galatians 2.15-21: An Exegetical Study” (North-West University, 2019).","plainTextFormattedCitation":"L Cosme De Moraes, “Justification by Faith in Galatians 2.15-21: An Exegetical Study” (North-West University, 2019).","previouslyFormattedCitation":"(Cosme De Moraes, 2019)"},"properties":{"noteIndex":22},"schema":"https://github.com/citation-style-language/schema/raw/master/csl-citation.json"}</w:instrText>
      </w:r>
      <w:r w:rsidRPr="004A0C99">
        <w:rPr>
          <w:lang w:val="en-US"/>
        </w:rPr>
        <w:fldChar w:fldCharType="separate"/>
      </w:r>
      <w:r w:rsidRPr="004A0C99">
        <w:rPr>
          <w:lang w:val="en-US"/>
        </w:rPr>
        <w:t>L Cosme De Moraes, “Justification by Faith in Galatians 2.15-21: An Exegetical Study” (North-West University, 2019).</w:t>
      </w:r>
      <w:r w:rsidRPr="004A0C99">
        <w:rPr>
          <w:lang w:val="en-US"/>
        </w:rPr>
        <w:fldChar w:fldCharType="end"/>
      </w:r>
    </w:p>
  </w:footnote>
  <w:footnote w:id="23">
    <w:p w14:paraId="34A89B7E"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{"citationItems":[{"id":"ITEM-1","itemData":{"abstract":"Resources of the Southern Baptist Theological Seminary","author":[{"dropping-particle":"","family":"Greever","given":"Joshua M","non-dropping-particle":"","parse-names":false,"suffix":""}],"container-title":"Sbjt","id":"ITEM-1","issue":"1","issued":{"date-parts":[["2016"]]},"page":"73-89","title":"The Nature of the New Covenant: A Case Study in Ephesians 2:11-22","type":"article-journal","volume":"20"},"uris":["http://www.mendeley.com/documents/?uuid=38e9137e-f6d5-4ce0-9c1a-311679c39c5a"]}],"mendeley":{"formattedCitation":"Joshua M Greever, “The Nature of the New Covenant: A Case Study in Ephesians 2:11-22,” &lt;i&gt;Sbjt&lt;/i&gt; 20, no. 1 (2016): 73–89, http://www.sbts.edu/resources/journal-of-theology/sbjt-201-spring-2016/nature-new-covenant-case-study-ephesians-211-22/.","plainTextFormattedCitation":"Joshua M Greever, “The Nature of the New Covenant: A Case Study in Ephesians 2:11-22,” Sbjt 20, no. 1 (2016): 73–89, http://www.sbts.edu/resources/journal-of-theology/sbjt-201-spring-2016/nature-new-covenant-case-study-ephesians-211-22/.","previouslyFormattedCitation":"(Greever, 2016)"},"properties":{"noteIndex":23},"schema":"https://github.com/citation-style-language/schema/raw/master/csl-citation.json"}</w:instrText>
      </w:r>
      <w:r w:rsidRPr="004A0C99">
        <w:rPr>
          <w:lang w:val="en-US"/>
        </w:rPr>
        <w:fldChar w:fldCharType="separate"/>
      </w:r>
      <w:r w:rsidRPr="004A0C99">
        <w:rPr>
          <w:lang w:val="en-US"/>
        </w:rPr>
        <w:t xml:space="preserve">Joshua M Greever, “The Nature of the New Covenant: A Case Study in Ephesians 2:11-22,” </w:t>
      </w:r>
      <w:r w:rsidRPr="004A0C99">
        <w:rPr>
          <w:i/>
          <w:lang w:val="en-US"/>
        </w:rPr>
        <w:t>Sbjt</w:t>
      </w:r>
      <w:r w:rsidRPr="004A0C99">
        <w:rPr>
          <w:lang w:val="en-US"/>
        </w:rPr>
        <w:t xml:space="preserve"> 20, no. 1 (2016): 73–89, http://www.sbts.edu/resources/journal-of-theology/sbjt-201-spring-2016/nature-new-covenant-case-study-ephesians-211-22/.</w:t>
      </w:r>
      <w:r w:rsidRPr="004A0C99">
        <w:rPr>
          <w:lang w:val="en-US"/>
        </w:rPr>
        <w:fldChar w:fldCharType="end"/>
      </w:r>
    </w:p>
  </w:footnote>
  <w:footnote w:id="24">
    <w:p w14:paraId="4361F868"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{"citationItems":[{"id":"ITEM-1","itemData":{"DOI":"10.1177/000842988601500426","author":[{"dropping-particle":"","family":"Sandys-Wunsch","given":"John","non-dropping-particle":"","parse-names":false,"suffix":""}],"container-title":"Studies in Religion/Sciences Religieuses","id":"ITEM-1","issue":"4","issued":{"date-parts":[["1986"]]},"page":"529-530","publisher":"SAGE PublicationsSage UK: London, England","title":"Covenant and Creation: A Theology of Old Testament Covenants","type":"article-journal","volume":"15"},"uris":["http://www.mendeley.com/documents/?uuid=fbe31dcf-eb07-4dc9-bb5f-fe5c9f4797e1"]}],"mendeley":{"formattedCitation":"John Sandys-Wunsch, “Covenant and Creation: A Theology of Old Testament Covenants,” &lt;i&gt;Studies in Religion/Sciences Religieuses&lt;/i&gt; 15, no. 4 (1986): 529–30, https://doi.org/10.1177/000842988601500426.","plainTextFormattedCitation":"John Sandys-Wunsch, “Covenant and Creation: A Theology of Old Testament Covenants,” Studies in Religion/Sciences Religieuses 15, no. 4 (1986): 529–30, https://doi.org/10.1177/000842988601500426.","previouslyFormattedCitation":"(Sandys-Wunsch, 1986)"},"properties":{"noteIndex":24},"schema":"https://github.com/citation-style-language/schema/raw/master/csl-citation.json"}</w:instrText>
      </w:r>
      <w:r w:rsidRPr="004A0C99">
        <w:rPr>
          <w:lang w:val="en-US"/>
        </w:rPr>
        <w:fldChar w:fldCharType="separate"/>
      </w:r>
      <w:r w:rsidRPr="004A0C99">
        <w:rPr>
          <w:lang w:val="en-US"/>
        </w:rPr>
        <w:t xml:space="preserve">John Sandys-Wunsch, “Covenant and Creation: A Theology of Old Testament Covenants,” </w:t>
      </w:r>
      <w:r w:rsidRPr="004A0C99">
        <w:rPr>
          <w:i/>
          <w:lang w:val="en-US"/>
        </w:rPr>
        <w:t>Studies in Religion/Sciences Religieuses</w:t>
      </w:r>
      <w:r w:rsidRPr="004A0C99">
        <w:rPr>
          <w:lang w:val="en-US"/>
        </w:rPr>
        <w:t xml:space="preserve"> 15, no. 4 (1986): 529–30, https://doi.org/10.1177/000842988601500426.</w:t>
      </w:r>
      <w:r w:rsidRPr="004A0C99">
        <w:rPr>
          <w:lang w:val="en-US"/>
        </w:rPr>
        <w:fldChar w:fldCharType="end"/>
      </w:r>
    </w:p>
  </w:footnote>
  <w:footnote w:id="25">
    <w:p w14:paraId="20837A23"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{"citationItems":[{"id":"ITEM-1","itemData":{"DOI":"10.47304/jl.v4i2.133","ISSN":"2527-7561","abstract":"Abstract: In the discussion of this article the author concentrates on justification in Christ according to Romans 5: 1-11. Since the doctrine of justification means God's act of taking away the sinner's sin and counting him to be righteous, it is a free act on His part by His grace, through faith in Christ Jesus, not based on the person's virtue, but because Jesus shed His blood on behalf of people that, which was done for the fulfillment of the law to represent and to save him.\r Abstrak: Pembahasan artikel ini penulis konsen membahas tentang Pembenaran Dalam Kristus Menurut Roma 5:1-11. Karena doktrin pembenaran berarti tindakan Allah untuk menghapus dosa orang berdosa dan memperhitungkan dia benar, ini tindakan bebas dari pihak-Nya oleh kasih karunia-Nya, melalui iman dalam Kristus Yesus, bukan berdasarkan kebajikan orang itu, tetapi karena Yesus menumpahkan darah-Nya demi orang itu, yang dilakukan demi penggenapan hukum Taurat untuk mewakili dan untuk menyelamatkan dia.","author":[{"dropping-particle":"","family":"Hetmina","given":"Widarty","non-dropping-particle":"","parse-names":false,"suffix":""}],"container-title":"Jurnal Luxnos","id":"ITEM-1","issue":"2","issued":{"date-parts":[["2021"]]},"page":"255-266","title":"Studi Tentang Pembenaran Dalam Kristus Menurut Roma 5:1-11","type":"article-journal","volume":"4"},"uris":["http://www.mendeley.com/documents/?uuid=240b0926-d8af-430c-b21f-1160164338e8"]}],"mendeley":{"formattedCitation":"Widarty Hetmina, “Studi Tentang Pembenaran Dalam Kristus Menurut Roma 5:1-11,” &lt;i&gt;Jurnal Luxnos&lt;/i&gt; 4, no. 2 (2021): 255–66, https://doi.org/10.47304/jl.v4i2.133.","plainTextFormattedCitation":"Widarty Hetmina, “Studi Tentang Pembenaran Dalam Kristus Menurut Roma 5:1-11,” Jurnal Luxnos 4, no. 2 (2021): 255–66, https://doi.org/10.47304/jl.v4i2.133.","previouslyFormattedCitation":"(Hetmina, 2021)"},"properties":{"noteIndex":25},"schema":"https://github.com/citation-style-language/schema/raw/master/csl-citation.json"}</w:instrText>
      </w:r>
      <w:r w:rsidRPr="004A0C99">
        <w:rPr>
          <w:lang w:val="en-US"/>
        </w:rPr>
        <w:fldChar w:fldCharType="separate"/>
      </w:r>
      <w:r w:rsidRPr="004A0C99">
        <w:rPr>
          <w:lang w:val="en-US"/>
        </w:rPr>
        <w:t xml:space="preserve">Widarty Hetmina, “Studi Tentang Pembenaran Dalam Kristus Menurut Roma 5:1-11,” </w:t>
      </w:r>
      <w:r w:rsidRPr="004A0C99">
        <w:rPr>
          <w:i/>
          <w:lang w:val="en-US"/>
        </w:rPr>
        <w:t>Jurnal Luxnos</w:t>
      </w:r>
      <w:r w:rsidRPr="004A0C99">
        <w:rPr>
          <w:lang w:val="en-US"/>
        </w:rPr>
        <w:t xml:space="preserve"> 4, no. 2 (2021): 255–66, https://doi.org/10.47304/jl.v4i2.133.</w:t>
      </w:r>
      <w:r w:rsidRPr="004A0C99">
        <w:rPr>
          <w:lang w:val="en-US"/>
        </w:rPr>
        <w:fldChar w:fldCharType="end"/>
      </w:r>
    </w:p>
  </w:footnote>
  <w:footnote w:id="26">
    <w:p w14:paraId="6EF147B6"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{"citationItems":[{"id":"ITEM-1","itemData":{"abstract":"Pauline scholarship often overlooks the fact that from the Levitical sacrificial perspective  “sacrifice” and “curse” are diametrically opposed concepts. A sacrifice must be “holy and acceptable to God” (Rom 12:1). Arguably, Paul describes Jesus or his blood as a sacrifice to God (1Cor 5:7; Rom 3:25). In this light, how might we understand his assertion that Christ became a “curse” on the cross (Gal 3:13)? The “accursed” person who hangs on a tree is impure and defiled and thus totally unacceptable as a sacrifice to God (Deut 21:23; John 19:31). This research argues that the key concept that resolves such potential tensions in Paul’s statements is the “covenant”. Both “sacrifice” and “curse” are covenantal concepts. Sacrificial activities are essential for maintaining the covenant between God and his people. When God’s people sin, sacrifice provides the means to attain forgiveness and to remain in the covenant. However, the covenant can be broken by grievous sins such as idolatry, which result in the loss of the sanctuary and the sacrificial means. Consequently, they would fall under the “curse” of the covenant. This covenantal perspective underlies Paul’s soteriology. This thesis demonstrates that in Paul’s understanding Christ’s death serves both ends: the termination of the Mosaic curse by becoming a curse, and the dedication of his life-blood for the maintenance of the renewed covenant. These two things are related yet not identical. As test cases for this covenantal model, this research examines three Pauline texts. Galatians 3:13 describes the redemption of God’s people from the Mosaic covenantal curse. Deutero-Isaiah envisaged this event as a new “Exodus”, about which Paul talks in 1 Corinthians 5:7. Romans 3:25 illustrates the eschatological Yom Kippur for this new Exodus people consisting now of Jews and Gentiles, which sustains and sanctifies God’s renewed covenant people to the end.","author":[{"dropping-particle":"","family":"Yamaguchi","given":"Norio","non-dropping-particle":"","parse-names":false,"suffix":""}],"id":"ITEM-1","issued":{"date-parts":[["2015"]]},"publisher":"University of St Andrews","title":"Sacrifice, curse, and the covenant in Paul's soteriology","type":"thesis"},"uris":["http://www.mendeley.com/documents/?uuid=a7aec509-54dd-4de9-8283-8b30afa18030"]}],"mendeley":{"formattedCitation":"Norio Yamaguchi, “Sacrifice, Curse, and the Covenant in Paul’s Soteriology” (University of St Andrews, 2015), https://research-repository.st-andrews.ac.uk/handle/10023/7419%0Ahttps://research-repository.st-andrews.ac.uk/bitstream/10023/7419/1/Thefulltextofthisdocumentisnotavailable.pdf%0Ahttp://files/25643/7419.html.","plainTextFormattedCitation":"Norio Yamaguchi, “Sacrifice, Curse, and the Covenant in Paul’s Soteriology” (University of St Andrews, 2015), https://research-repository.st-andrews.ac.uk/handle/10023/7419%0Ahttps://research-repository.st-andrews.ac.uk/bitstream/10023/7419/1/Thefulltextofthisdocumentisnotavailable.pdf%0Ahttp://files/25643/7419.html.","previouslyFormattedCitation":"(Yamaguchi, 2015)"},"properties":{"noteIndex":26},"schema":"https://github.com/citation-style-language/schema/raw/master/csl-citation.json"}</w:instrText>
      </w:r>
      <w:r w:rsidRPr="004A0C99">
        <w:rPr>
          <w:lang w:val="en-US"/>
        </w:rPr>
        <w:fldChar w:fldCharType="separate"/>
      </w:r>
      <w:r w:rsidRPr="004A0C99">
        <w:rPr>
          <w:lang w:val="en-US"/>
        </w:rPr>
        <w:t>Norio Yamaguchi, “Sacrifice, Curse, and the Covenant in Paul’s Soteriology” (University of St Andrews, 2015), https://research-repository.st-andrews.ac.uk/handle/10023/7419%0Ahttps://research-repository.st-andrews.ac.uk/bitstream/10023/7419/1/Thefulltextofthisdocumentisnotavailable.pdf%0Ahttp://files/25643/7419.html.</w:t>
      </w:r>
      <w:r w:rsidRPr="004A0C99">
        <w:rPr>
          <w:lang w:val="en-US"/>
        </w:rPr>
        <w:fldChar w:fldCharType="end"/>
      </w:r>
    </w:p>
  </w:footnote>
  <w:footnote w:id="27">
    <w:p w14:paraId="3958F765"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{"citationItems":[{"id":"ITEM-1","itemData":{"DOI":"10.1093/oxfordhb/9780198723912.013.31","ISBN":"9780198723912","abstract":"Reformed theologians make sense of what Jesus did to redeem sinners by situating his life, death, and work in the broader context of God’s covenantal relationship with Israel and, in particular, with the three offices that structured the life of God’s holy nation: prophet, priest, and king. Reformed theologians agree that scripture narrates the history of redemption in terms of an overarching covenant of grace, though some criticize a perceived overemphasis on Christ’s obedience to the law as a ‘work’ that must be performed in order to merit grace. In order to preserve the best insights from federal theology and its critics, this essay sets forth a thesis that emphasizes federal satisfaction through filial obedience: Jesus Christ, the eternal Son of God made man, accomplished redemption by exchanging his status as covenant Lord for that of covenant servant to fulfil the covenant stipulation through his active obedience and to suffer the covenant sanction through his passive obedience to procure the covenant blessing (filial adoption) for God’s covenant people. It then goes on to explain the intent, content, event, and extent of Christ’s atoning work, and concludes that redemption is not simply accomplished by Christ but is found in him.","author":[{"dropping-particle":"","family":"Vanhoozer","given":"Kevin J.","non-dropping-particle":"","parse-names":false,"suffix":""}],"container-title":"The Oxford Handbook of Reformed Theology","id":"ITEM-1","issued":{"date-parts":[["2020"]]},"page":"473-496","title":"Redemption accomplished: Atonement","type":"chapter"},"uris":["http://www.mendeley.com/documents/?uuid=056a7c57-865e-4207-a1be-d6a5a59528b6"]}],"mendeley":{"formattedCitation":"Kevin J. Vanhoozer, “Redemption Accomplished: Atonement,” in &lt;i&gt;The Oxford Handbook of Reformed Theology&lt;/i&gt;, 2020, 473–96, https://doi.org/10.1093/oxfordhb/9780198723912.013.31.","plainTextFormattedCitation":"Kevin J. Vanhoozer, “Redemption Accomplished: Atonement,” in The Oxford Handbook of Reformed Theology, 2020, 473–96, https://doi.org/10.1093/oxfordhb/9780198723912.013.31.","previouslyFormattedCitation":"(Vanhoozer, 2020)"},"properties":{"noteIndex":27},"schema":"https://github.com/citation-style-language/schema/raw/master/csl-citation.json"}</w:instrText>
      </w:r>
      <w:r w:rsidRPr="004A0C99">
        <w:rPr>
          <w:lang w:val="en-US"/>
        </w:rPr>
        <w:fldChar w:fldCharType="separate"/>
      </w:r>
      <w:r w:rsidRPr="004A0C99">
        <w:rPr>
          <w:lang w:val="en-US"/>
        </w:rPr>
        <w:t xml:space="preserve">Kevin J. Vanhoozer, “Redemption Accomplished: Atonement,” in </w:t>
      </w:r>
      <w:r w:rsidRPr="004A0C99">
        <w:rPr>
          <w:i/>
          <w:lang w:val="en-US"/>
        </w:rPr>
        <w:t>The Oxford Handbook of Reformed Theology</w:t>
      </w:r>
      <w:r w:rsidRPr="004A0C99">
        <w:rPr>
          <w:lang w:val="en-US"/>
        </w:rPr>
        <w:t>, 2020, 473–96, https://doi.org/10.1093/oxfordhb/9780198723912.013.31.</w:t>
      </w:r>
      <w:r w:rsidRPr="004A0C99">
        <w:rPr>
          <w:lang w:val="en-US"/>
        </w:rPr>
        <w:fldChar w:fldCharType="end"/>
      </w:r>
    </w:p>
  </w:footnote>
  <w:footnote w:id="28">
    <w:p w14:paraId="2517B549"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{"citationItems":[{"id":"ITEM-1","itemData":{"DOI":"10.4102/ids.v50i4.2140","ISSN":"1018-6441","abstract":"In Hebrews 12:24 Jesus is called the Mediator of a διαθήκη νέα [new covenant], instead of aδιαθήκη καινή, as elsewhere in the New Testament. This peculiar reference to the new covenantis investigated within its relation to ‘the sprinkled blood that speaks of something better thanthe blood of Abel’ (Heb 12:24). In the investigation considerations from the micro- andmacrocontext of the structure of Hebrews are taken into account, as well as intertextua considerations. Special attention is given to the revelation-historical meaning of the blood ofAbel who was murdered by his brother (Gn 4:1–16). The outcome of the investigation is thatHebrews 12:24 uses the phrase διαθήκη νέα since, in contrast to the rest of Hebrews, it does notcompare the new covenant to the old covenant with Israel, but to the situation of humankindin their depravity after the fall into sin. Although God’s promise of a seed (Christ) in Genesis 3:15 already brought a shimmering of hope for salvation to fallen humankind, the blood of themurdered Abel witnessed to the fact that in itself humankind was destined for God’sjudgement, without a possibility of reconciliation with God. However, in his covenant of graceas already foreseen in the promised seed, God created a completely new possibility, namelythe prospect that the blood of Christ will bring about complete reconciliation with God andsalvation from his vengeance. Within the hopeless situation as witnessed by the blood of Abel the covenant leading to the reconciliatory sacrifice of Christ was a completely new outcome – aδιαθήκη νέα.","author":[{"dropping-particle":"","family":"Jordaan","given":"Gert J.C.","non-dropping-particle":"","parse-names":false,"suffix":""}],"container-title":"In die Skriflig/In Luce Verbi","id":"ITEM-1","issue":"4","issued":{"date-parts":[["2016"]]},"page":"8","title":"Some reflections on the ‘new covenant’ in Hebrews 12:24","type":"article-journal","volume":"50"},"uris":["http://www.mendeley.com/documents/?uuid=eeeccff0-ad26-4bf7-b39f-69a0f58be21b"]}],"mendeley":{"formattedCitation":"Gert J.C. Jordaan, “Some Reflections on the ‘New Covenant’ in Hebrews 12:24,” &lt;i&gt;In Die Skriflig/In Luce Verbi&lt;/i&gt; 50, no. 4 (2016): 8, https://doi.org/10.4102/ids.v50i4.2140.","plainTextFormattedCitation":"Gert J.C. Jordaan, “Some Reflections on the ‘New Covenant’ in Hebrews 12:24,” In Die Skriflig/In Luce Verbi 50, no. 4 (2016): 8, https://doi.org/10.4102/ids.v50i4.2140.","previouslyFormattedCitation":"(Jordaan, 2016)"},"properties":{"noteIndex":28},"schema":"https://github.com/citation-style-language/schema/raw/master/csl-citation.json"}</w:instrText>
      </w:r>
      <w:r w:rsidRPr="004A0C99">
        <w:rPr>
          <w:lang w:val="en-US"/>
        </w:rPr>
        <w:fldChar w:fldCharType="separate"/>
      </w:r>
      <w:r w:rsidRPr="004A0C99">
        <w:rPr>
          <w:lang w:val="en-US"/>
        </w:rPr>
        <w:t xml:space="preserve">Gert J.C. Jordaan, “Some Reflections on the ‘New Covenant’ in Hebrews 12:24,” </w:t>
      </w:r>
      <w:r w:rsidRPr="004A0C99">
        <w:rPr>
          <w:i/>
          <w:lang w:val="en-US"/>
        </w:rPr>
        <w:t>In Die Skriflig/In Luce Verbi</w:t>
      </w:r>
      <w:r w:rsidRPr="004A0C99">
        <w:rPr>
          <w:lang w:val="en-US"/>
        </w:rPr>
        <w:t xml:space="preserve"> 50, no. 4 (2016): 8, https://doi.org/10.4102/ids.v50i4.2140.</w:t>
      </w:r>
      <w:r w:rsidRPr="004A0C99">
        <w:rPr>
          <w:lang w:val="en-US"/>
        </w:rPr>
        <w:fldChar w:fldCharType="end"/>
      </w:r>
    </w:p>
  </w:footnote>
  <w:footnote w:id="29">
    <w:p w14:paraId="199271F6"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{"citationItems":[{"id":"ITEM-1","itemData":{"DOI":"10.19166/dil.v2i1.2285","abstract":"Both Westminster Confession of Faith and Heidelberg Catechism discuss the core of Reformed teaching on Justification. The purpose of this paper is to analyze the doctrine of justification on both. As the result, the two documents point out similar essences of justification in Reformed theology. It is the work of Jesus Christ in fullfilling satisfaction to his Father’s justice in the elect behalf. Christ’s righteousness is imputed to the believers and their sin to Christ. Double imputation. Faith taking a role as an instrument for God’s people to be justified, and both documents emphasize that it is also God’s grace. Westminster Confession of Faith and Heidelberg Catechism are aligned in teaching the doctrine of justification.","author":[{"dropping-particle":"","family":"Kaligis","given":"Fergindo Reza","non-dropping-particle":"","parse-names":false,"suffix":""},{"dropping-particle":"","family":"Manogu","given":"Ridwanta","non-dropping-particle":"","parse-names":false,"suffix":""}],"container-title":"Diligentia: Journal of Theology and Christian Education","id":"ITEM-1","issue":"1","issued":{"date-parts":[["2020"]]},"page":"102","publisher":"Universitas Pelita Harapan","title":"Analisis Teologis Konsep Pembenaran Berdasarkan Pengakuan Iman Westminster dan Katekismus Heidelberg [A Theological Analysis of the Concept of Justification Based on the Westminster Confession of Faith and the Heidelberg Catechism]","type":"article-journal","volume":"2"},"uris":["http://www.mendeley.com/documents/?uuid=a30dbddf-6ecd-4c6e-90e4-cd47078751c3"]}],"mendeley":{"formattedCitation":"Fergindo Reza Kaligis and Ridwanta Manogu, “Analisis Teologis Konsep Pembenaran Berdasarkan Pengakuan Iman Westminster Dan Katekismus Heidelberg [A Theological Analysis of the Concept of Justification Based on the Westminster Confession of Faith and the Heidelberg Catechism],” &lt;i&gt;Diligentia: Journal of Theology and Christian Education&lt;/i&gt; 2, no. 1 (2020): 102, https://doi.org/10.19166/dil.v2i1.2285.","plainTextFormattedCitation":"Fergindo Reza Kaligis and Ridwanta Manogu, “Analisis Teologis Konsep Pembenaran Berdasarkan Pengakuan Iman Westminster Dan Katekismus Heidelberg [A Theological Analysis of the Concept of Justification Based on the Westminster Confession of Faith and the Heidelberg Catechism],” Diligentia: Journal of Theology and Christian Education 2, no. 1 (2020): 102, https://doi.org/10.19166/dil.v2i1.2285.","previouslyFormattedCitation":"(Kaligis &amp; Manogu, 2020)"},"properties":{"noteIndex":29},"schema":"https://github.com/citation-style-language/schema/raw/master/csl-citation.json"}</w:instrText>
      </w:r>
      <w:r w:rsidRPr="004A0C99">
        <w:rPr>
          <w:lang w:val="en-US"/>
        </w:rPr>
        <w:fldChar w:fldCharType="separate"/>
      </w:r>
      <w:r w:rsidRPr="004A0C99">
        <w:rPr>
          <w:lang w:val="en-US"/>
        </w:rPr>
        <w:t xml:space="preserve">Fergindo Reza Kaligis and Ridwanta Manogu, “Analisis Teologis Konsep Pembenaran Berdasarkan Pengakuan Iman Westminster Dan Katekismus Heidelberg [A Theological Analysis of the Concept of Justification Based on the Westminster Confession of Faith and the Heidelberg Catechism],” </w:t>
      </w:r>
      <w:r w:rsidRPr="004A0C99">
        <w:rPr>
          <w:i/>
          <w:lang w:val="en-US"/>
        </w:rPr>
        <w:t>Diligentia: Journal of Theology and Christian Education</w:t>
      </w:r>
      <w:r w:rsidRPr="004A0C99">
        <w:rPr>
          <w:lang w:val="en-US"/>
        </w:rPr>
        <w:t xml:space="preserve"> 2, no. 1 (2020): 102, https://doi.org/10.19166/dil.v2i1.2285.</w:t>
      </w:r>
      <w:r w:rsidRPr="004A0C99">
        <w:rPr>
          <w:lang w:val="en-US"/>
        </w:rPr>
        <w:fldChar w:fldCharType="end"/>
      </w:r>
    </w:p>
  </w:footnote>
  <w:footnote w:id="30">
    <w:p w14:paraId="222AA5F0"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Pesah","non-dropping-particle":"","parse-names":false,"suffix":""},{"dropping-particle":"","family":"Halawa","given":"Iman Kristina","non-dropping-particle":"","parse-names":false,"suffix":""},{"dropping-particle":"","family":"Panggabean","given":"Saut Maruli P","non-dropping-particle":"","parse-names":false,"suffix":""}],"container-title":"DIEGESIS - Jurnal Teologi Kharismatika","id":"ITEM-1","issue":"2","issued":{"date-parts":[["2024"]]},"page":"165-182","publisher":"https://ojs.sttrealbatam.ac.id/index.php/diegesis/article/view/574 (https~…","title":"Harmoni Teologi: “Unconditional Election” dan Teologi Kovenan bagi Kehidupan Rohani Jemaat","type":"article-journal","volume":"7"},"uris":["http://www.mendeley.com/documents/?uuid=9def6587-e08e-4515-9ba3-ec482f264093"]}],"mendeley":{"formattedCitation":"Daniel Pesah Purwonugroho, Iman Kristina Halawa, and Saut Maruli P Panggabean, “Harmoni Teologi: ‘Unconditional Election’ Dan Teologi Kovenan Bagi Kehidupan Rohani Jemaat,” &lt;i&gt;DIEGESIS - Jurnal Teologi Kharismatika&lt;/i&gt; 7, no. 2 (2024): 165–82.","plainTextFormattedCitation":"Daniel Pesah Purwonugroho, Iman Kristina Halawa, and Saut Maruli P Panggabean, “Harmoni Teologi: ‘Unconditional Election’ Dan Teologi Kovenan Bagi Kehidupan Rohani Jemaat,” DIEGESIS - Jurnal Teologi Kharismatika 7, no. 2 (2024): 165–82.","previouslyFormattedCitation":"(Purwonugroho et al., 2024)"},"properties":{"noteIndex":30},"schema":"https://github.com/citation-style-language/schema/raw/master/csl-citation.json"}</w:instrText>
      </w:r>
      <w:r w:rsidRPr="004A0C99">
        <w:rPr>
          <w:lang w:val="en-US"/>
        </w:rPr>
        <w:fldChar w:fldCharType="separate"/>
      </w:r>
      <w:r w:rsidRPr="004A0C99">
        <w:rPr>
          <w:lang w:val="en-US"/>
        </w:rPr>
        <w:t xml:space="preserve">Daniel Pesah Purwonugroho, Iman Kristina Halawa, and Saut Maruli P Panggabean, “Harmoni Teologi: ‘Unconditional Election’ Dan Teologi Kovenan Bagi Kehidupan Rohani Jemaat,” </w:t>
      </w:r>
      <w:r w:rsidRPr="004A0C99">
        <w:rPr>
          <w:i/>
          <w:lang w:val="en-US"/>
        </w:rPr>
        <w:t>DIEGESIS - Jurnal Teologi Kharismatika</w:t>
      </w:r>
      <w:r w:rsidRPr="004A0C99">
        <w:rPr>
          <w:lang w:val="en-US"/>
        </w:rPr>
        <w:t xml:space="preserve"> 7, no. 2 (2024): 165–82.</w:t>
      </w:r>
      <w:r w:rsidRPr="004A0C99">
        <w:rPr>
          <w:lang w:val="en-US"/>
        </w:rPr>
        <w:fldChar w:fldCharType="end"/>
      </w:r>
    </w:p>
  </w:footnote>
  <w:footnote w:id="31">
    <w:p w14:paraId="592CAB2C"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{"citationItems":[{"id":"ITEM-1","itemData":{"DOI":"10.2307/j.ctv1x6779g.8","author":[{"dropping-particle":"","family":"Nessan","given":"Craig L.","non-dropping-particle":"","parse-names":false,"suffix":""}],"container-title":"Free in Deed","id":"ITEM-1","issued":{"date-parts":[["2021"]]},"page":"67-80","title":"Justification and Sanctification","type":"chapter"},"uris":["http://www.mendeley.com/documents/?uuid=9154fe07-f4af-42e7-b3b2-e94db79724ba"]}],"mendeley":{"formattedCitation":"Craig L. Nessan, “Justification and Sanctification,” in &lt;i&gt;Free in Deed&lt;/i&gt;, 2021, 67–80, https://doi.org/10.2307/j.ctv1x6779g.8.","plainTextFormattedCitation":"Craig L. Nessan, “Justification and Sanctification,” in Free in Deed, 2021, 67–80, https://doi.org/10.2307/j.ctv1x6779g.8.","previouslyFormattedCitation":"(Nessan, 2021)"},"properties":{"noteIndex":31},"schema":"https://github.com/citation-style-language/schema/raw/master/csl-citation.json"}</w:instrText>
      </w:r>
      <w:r w:rsidRPr="004A0C99">
        <w:rPr>
          <w:lang w:val="en-US"/>
        </w:rPr>
        <w:fldChar w:fldCharType="separate"/>
      </w:r>
      <w:r w:rsidRPr="004A0C99">
        <w:rPr>
          <w:lang w:val="en-US"/>
        </w:rPr>
        <w:t xml:space="preserve">Craig L. Nessan, “Justification and Sanctification,” in </w:t>
      </w:r>
      <w:r w:rsidRPr="004A0C99">
        <w:rPr>
          <w:i/>
          <w:lang w:val="en-US"/>
        </w:rPr>
        <w:t>Free in Deed</w:t>
      </w:r>
      <w:r w:rsidRPr="004A0C99">
        <w:rPr>
          <w:lang w:val="en-US"/>
        </w:rPr>
        <w:t>, 2021, 67–80, https://doi.org/10.2307/j.ctv1x6779g.8.</w:t>
      </w:r>
      <w:r w:rsidRPr="004A0C99">
        <w:rPr>
          <w:lang w:val="en-US"/>
        </w:rPr>
        <w:fldChar w:fldCharType="end"/>
      </w:r>
    </w:p>
  </w:footnote>
  <w:footnote w:id="32">
    <w:p w14:paraId="21AF9FA9" w14:textId="77777777" w:rsidR="004A0C99" w:rsidRPr="004A0C99"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{"citationItems":[{"id":"ITEM-1","itemData":{"DOI":"10.3390/rel14121442","ISSN":"20771444","abstract":"This article is a systematic overview of Packer’s theology of justification from the perspective of descriptive, analytical, and critical methodologies. A series of books written by Packer were investigated in order to identify various references to justification, which led to a categorization consisting of six features (justification as the legacy of the Reformation, eternal status, a precursor of sanctification, trust in Christ, covenant reality, and a divine promise). Two of Packer’s most important books used for this research, Keep in Step with the Spirit: Finding Fullness in Our Walk with God (2005) and Concise Theology: a Guide to Historic Christian Beliefs (2011), also revealed the theological foundation of justification, which I present as the two pillars on which Packer’s theology of justification stands: God’s being and Christ’s incarnation. These two pillars reveal not only God’s invisible being as Trinity but also his self-disclosure in Christ as an exclusive focus of the sinners’ belief of justification. The six features and the two pillars of Packer’s theology of justification demonstrate not only how he received and appropriated the classical Protestant teaching about God’s decision to consider sinners righteous despite their sins but also how it generates, through faith in Christ, a consistently new life.","author":[{"dropping-particle":"","family":"Simuț","given":"Corneliu C.","non-dropping-particle":"","parse-names":false,"suffix":""}],"container-title":"Religions","id":"ITEM-1","issue":"12","issued":{"date-parts":[["2023"]]},"title":"J. I. Packer’s Theology of Justification—His Reception and Appropriation of a Classic Protestant Doctrine","type":"article-journal","volume":"14"},"uris":["http://www.mendeley.com/documents/?uuid=9c073742-1b0e-41e3-8df4-d3260cee01b1"]}],"mendeley":{"formattedCitation":"Corneliu C. Simuț, “J. I. Packer’s Theology of Justification—His Reception and Appropriation of a Classic Protestant Doctrine,” &lt;i&gt;Religions&lt;/i&gt; 14, no. 12 (2023), https://doi.org/10.3390/rel14121442.","plainTextFormattedCitation":"Corneliu C. Simuț, “J. I. Packer’s Theology of Justification—His Reception and Appropriation of a Classic Protestant Doctrine,” Religions 14, no. 12 (2023), https://doi.org/10.3390/rel14121442.","previouslyFormattedCitation":"(Simuț, 2023)"},"properties":{"noteIndex":32},"schema":"https://github.com/citation-style-language/schema/raw/master/csl-citation.json"}</w:instrText>
      </w:r>
      <w:r w:rsidRPr="004A0C99">
        <w:rPr>
          <w:lang w:val="en-US"/>
        </w:rPr>
        <w:fldChar w:fldCharType="separate"/>
      </w:r>
      <w:r w:rsidRPr="004A0C99">
        <w:rPr>
          <w:lang w:val="en-US"/>
        </w:rPr>
        <w:t xml:space="preserve">Corneliu C. Simuț, “J. I. Packer’s Theology of Justification—His Reception and Appropriation of a Classic Protestant Doctrine,” </w:t>
      </w:r>
      <w:r w:rsidRPr="004A0C99">
        <w:rPr>
          <w:i/>
          <w:lang w:val="en-US"/>
        </w:rPr>
        <w:t>Religions</w:t>
      </w:r>
      <w:r w:rsidRPr="004A0C99">
        <w:rPr>
          <w:lang w:val="en-US"/>
        </w:rPr>
        <w:t xml:space="preserve"> 14, no. 12 (2023), https://doi.org/10.3390/rel14121442.</w:t>
      </w:r>
      <w:r w:rsidRPr="004A0C99">
        <w:rPr>
          <w:lang w:val="en-US"/>
        </w:rPr>
        <w:fldChar w:fldCharType="end"/>
      </w:r>
    </w:p>
  </w:footnote>
  <w:footnote w:id="33">
    <w:p w14:paraId="698CE6B7" w14:textId="77777777" w:rsidR="004A0C99" w:rsidRPr="00D735A4" w:rsidRDefault="004A0C99" w:rsidP="004A0C99">
      <w:pPr>
        <w:pStyle w:val="TeksCatatanKaki"/>
        <w:ind w:firstLine="720"/>
        <w:rPr>
          <w:lang w:val="en-US"/>
        </w:rPr>
      </w:pPr>
      <w:r w:rsidRPr="004A0C99">
        <w:rPr>
          <w:rStyle w:val="ReferensiCatatanKaki"/>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{"citationItems":[{"id":"ITEM-1","itemData":{"author":[{"dropping-particle":"","family":"Cosme De Moraes","given":"L","non-dropping-particle":"","parse-names":false,"suffix":""}],"id":"ITEM-1","issued":{"date-parts":[["2019"]]},"publisher":"North-West University","title":"Justification by faith in Galatians 2.15-21: An exegetical study","type":"thesis"},"uris":["http://www.mendeley.com/documents/?uuid=7414fdb7-4f0a-4a28-8928-be2c87f02125"]}],"mendeley":{"formattedCitation":"Cosme De Moraes, “Justification by Faith in Galatians 2.15-21: An Exegetical Study.”","plainTextFormattedCitation":"Cosme De Moraes, “Justification by Faith in Galatians 2.15-21: An Exegetical Study.”","previouslyFormattedCitation":"(Cosme De Moraes, 2019)"},"properties":{"noteIndex":33},"schema":"https://github.com/citation-style-language/schema/raw/master/csl-citation.json"}</w:instrText>
      </w:r>
      <w:r w:rsidRPr="004A0C99">
        <w:rPr>
          <w:lang w:val="en-US"/>
        </w:rPr>
        <w:fldChar w:fldCharType="separate"/>
      </w:r>
      <w:r w:rsidRPr="004A0C99">
        <w:rPr>
          <w:lang w:val="en-US"/>
        </w:rPr>
        <w:t>Cosme De Moraes, “Justification by Faith in Galatians 2.15-21: An Exegetical Study.”</w:t>
      </w:r>
      <w:r w:rsidRPr="004A0C99">
        <w:rPr>
          <w:lang w:val="en-US"/>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Pr="004A0C99"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sidRPr="004A0C99">
      <w:rPr>
        <w:rFonts w:ascii="Cambria" w:eastAsia="Cambria" w:hAnsi="Cambria" w:cs="Cambria"/>
        <w:b/>
        <w:i/>
        <w:color w:val="000000"/>
      </w:rPr>
      <w:t>Jurnal Arrabona</w:t>
    </w:r>
    <w:r w:rsidRPr="004A0C99">
      <w:rPr>
        <w:rFonts w:ascii="Garamond" w:eastAsia="Garamond" w:hAnsi="Garamond" w:cs="Garamond"/>
        <w:color w:val="000000"/>
        <w:sz w:val="22"/>
        <w:szCs w:val="22"/>
      </w:rPr>
      <w:t xml:space="preserve">| Volume </w:t>
    </w:r>
    <w:r w:rsidR="00273E5A" w:rsidRPr="004A0C99">
      <w:rPr>
        <w:rFonts w:ascii="Garamond" w:eastAsia="Garamond" w:hAnsi="Garamond" w:cs="Garamond"/>
        <w:color w:val="000000"/>
        <w:sz w:val="22"/>
        <w:szCs w:val="22"/>
      </w:rPr>
      <w:t>8</w:t>
    </w:r>
    <w:r w:rsidRPr="004A0C99">
      <w:rPr>
        <w:rFonts w:ascii="Garamond" w:eastAsia="Garamond" w:hAnsi="Garamond" w:cs="Garamond"/>
        <w:color w:val="000000"/>
        <w:sz w:val="22"/>
        <w:szCs w:val="22"/>
      </w:rPr>
      <w:t xml:space="preserve">, Nomor </w:t>
    </w:r>
    <w:r w:rsidR="00273E5A" w:rsidRPr="004A0C99">
      <w:rPr>
        <w:rFonts w:ascii="Garamond" w:eastAsia="Garamond" w:hAnsi="Garamond" w:cs="Garamond"/>
        <w:color w:val="000000"/>
        <w:sz w:val="22"/>
        <w:szCs w:val="22"/>
      </w:rPr>
      <w:t>2</w:t>
    </w:r>
    <w:r w:rsidRPr="004A0C99">
      <w:rPr>
        <w:rFonts w:ascii="Garamond" w:eastAsia="Garamond" w:hAnsi="Garamond" w:cs="Garamond"/>
        <w:color w:val="000000"/>
        <w:sz w:val="22"/>
        <w:szCs w:val="22"/>
      </w:rPr>
      <w:t>, (</w:t>
    </w:r>
    <w:r w:rsidR="00273E5A" w:rsidRPr="004A0C99">
      <w:rPr>
        <w:rFonts w:ascii="Garamond" w:eastAsia="Garamond" w:hAnsi="Garamond" w:cs="Garamond"/>
        <w:color w:val="000000"/>
        <w:sz w:val="22"/>
        <w:szCs w:val="22"/>
      </w:rPr>
      <w:t>Februari</w:t>
    </w:r>
    <w:r w:rsidRPr="004A0C99">
      <w:rPr>
        <w:rFonts w:ascii="Garamond" w:eastAsia="Garamond" w:hAnsi="Garamond" w:cs="Garamond"/>
        <w:color w:val="000000"/>
        <w:sz w:val="22"/>
        <w:szCs w:val="22"/>
      </w:rPr>
      <w:t>, 202</w:t>
    </w:r>
    <w:r w:rsidR="00273E5A" w:rsidRPr="004A0C99">
      <w:rPr>
        <w:rFonts w:ascii="Garamond" w:eastAsia="Garamond" w:hAnsi="Garamond" w:cs="Garamond"/>
        <w:color w:val="000000"/>
        <w:sz w:val="22"/>
        <w:szCs w:val="22"/>
      </w:rPr>
      <w:t>6</w:t>
    </w:r>
    <w:r w:rsidRPr="004A0C99">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Pr="004A0C99"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07169"/>
    <w:multiLevelType w:val="multilevel"/>
    <w:tmpl w:val="21EE2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2E0FC0"/>
    <w:multiLevelType w:val="multilevel"/>
    <w:tmpl w:val="BAD03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0E72EF"/>
    <w:multiLevelType w:val="multilevel"/>
    <w:tmpl w:val="2C6EF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7342D7"/>
    <w:multiLevelType w:val="multilevel"/>
    <w:tmpl w:val="F7448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781267"/>
    <w:multiLevelType w:val="hybridMultilevel"/>
    <w:tmpl w:val="DB18D4B2"/>
    <w:lvl w:ilvl="0" w:tplc="D9A2DDAE">
      <w:numFmt w:val="bullet"/>
      <w:lvlText w:val="-"/>
      <w:lvlJc w:val="left"/>
      <w:pPr>
        <w:ind w:left="720" w:hanging="360"/>
      </w:pPr>
      <w:rPr>
        <w:rFonts w:ascii="Times New Roman" w:eastAsia="SimSu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629824062">
    <w:abstractNumId w:val="3"/>
  </w:num>
  <w:num w:numId="2" w16cid:durableId="1702363955">
    <w:abstractNumId w:val="0"/>
  </w:num>
  <w:num w:numId="3" w16cid:durableId="58216968">
    <w:abstractNumId w:val="1"/>
  </w:num>
  <w:num w:numId="4" w16cid:durableId="177276555">
    <w:abstractNumId w:val="2"/>
  </w:num>
  <w:num w:numId="5" w16cid:durableId="6557194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C1CB7"/>
    <w:rsid w:val="001E711E"/>
    <w:rsid w:val="00273E5A"/>
    <w:rsid w:val="00307A38"/>
    <w:rsid w:val="00310A31"/>
    <w:rsid w:val="00353E95"/>
    <w:rsid w:val="003A4350"/>
    <w:rsid w:val="004A0C99"/>
    <w:rsid w:val="00544730"/>
    <w:rsid w:val="005B1EE1"/>
    <w:rsid w:val="00616BD0"/>
    <w:rsid w:val="00656974"/>
    <w:rsid w:val="00745C43"/>
    <w:rsid w:val="007A27DB"/>
    <w:rsid w:val="007B77E0"/>
    <w:rsid w:val="00887A9F"/>
    <w:rsid w:val="009F4195"/>
    <w:rsid w:val="00A47CAE"/>
    <w:rsid w:val="00A659C8"/>
    <w:rsid w:val="00AE35FD"/>
    <w:rsid w:val="00B62B96"/>
    <w:rsid w:val="00B66877"/>
    <w:rsid w:val="00C12A14"/>
    <w:rsid w:val="00C30472"/>
    <w:rsid w:val="00CA3261"/>
    <w:rsid w:val="00CB166E"/>
    <w:rsid w:val="00D74ACF"/>
    <w:rsid w:val="00DF3D85"/>
    <w:rsid w:val="00F55765"/>
    <w:rsid w:val="00F903B5"/>
    <w:rsid w:val="00F9420E"/>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noProof/>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4A0C99"/>
    <w:rPr>
      <w:rFonts w:eastAsiaTheme="minorHAnsi" w:cstheme="minorBidi"/>
      <w:kern w:val="2"/>
      <w:sz w:val="20"/>
      <w:szCs w:val="20"/>
      <w:lang w:val="id-ID" w:eastAsia="en-US"/>
      <w14:ligatures w14:val="standardContextual"/>
    </w:rPr>
  </w:style>
  <w:style w:type="character" w:customStyle="1" w:styleId="TeksCatatanKakiKAR">
    <w:name w:val="Teks Catatan Kaki KAR"/>
    <w:basedOn w:val="FontParagrafDefault"/>
    <w:link w:val="TeksCatatanKaki"/>
    <w:uiPriority w:val="99"/>
    <w:semiHidden/>
    <w:rsid w:val="004A0C99"/>
    <w:rPr>
      <w:rFonts w:eastAsiaTheme="minorHAnsi" w:cstheme="minorBidi"/>
      <w:noProof/>
      <w:kern w:val="2"/>
      <w:sz w:val="20"/>
      <w:szCs w:val="20"/>
      <w:lang w:val="id-ID" w:eastAsia="en-US"/>
      <w14:ligatures w14:val="standardContextual"/>
    </w:rPr>
  </w:style>
  <w:style w:type="character" w:styleId="ReferensiCatatanKaki">
    <w:name w:val="footnote reference"/>
    <w:basedOn w:val="FontParagrafDefault"/>
    <w:uiPriority w:val="99"/>
    <w:semiHidden/>
    <w:unhideWhenUsed/>
    <w:rsid w:val="004A0C99"/>
    <w:rPr>
      <w:vertAlign w:val="superscript"/>
    </w:rPr>
  </w:style>
  <w:style w:type="character" w:styleId="ReferensiKomentar">
    <w:name w:val="annotation reference"/>
    <w:basedOn w:val="FontParagrafDefault"/>
    <w:uiPriority w:val="99"/>
    <w:semiHidden/>
    <w:unhideWhenUsed/>
    <w:rsid w:val="00D74ACF"/>
    <w:rPr>
      <w:sz w:val="16"/>
      <w:szCs w:val="16"/>
    </w:rPr>
  </w:style>
  <w:style w:type="paragraph" w:styleId="TeksKomentar">
    <w:name w:val="annotation text"/>
    <w:basedOn w:val="Normal"/>
    <w:link w:val="TeksKomentarKAR"/>
    <w:uiPriority w:val="99"/>
    <w:semiHidden/>
    <w:unhideWhenUsed/>
    <w:rsid w:val="00D74ACF"/>
    <w:rPr>
      <w:sz w:val="20"/>
      <w:szCs w:val="20"/>
    </w:rPr>
  </w:style>
  <w:style w:type="character" w:customStyle="1" w:styleId="TeksKomentarKAR">
    <w:name w:val="Teks Komentar KAR"/>
    <w:basedOn w:val="FontParagrafDefault"/>
    <w:link w:val="TeksKomentar"/>
    <w:uiPriority w:val="99"/>
    <w:semiHidden/>
    <w:rsid w:val="00D74ACF"/>
    <w:rPr>
      <w:rFonts w:eastAsia="SimSun"/>
      <w:noProof/>
      <w:sz w:val="20"/>
      <w:szCs w:val="20"/>
      <w:lang w:eastAsia="zh-CN"/>
    </w:rPr>
  </w:style>
  <w:style w:type="paragraph" w:styleId="SubjekKomentar">
    <w:name w:val="annotation subject"/>
    <w:basedOn w:val="TeksKomentar"/>
    <w:next w:val="TeksKomentar"/>
    <w:link w:val="SubjekKomentarKAR"/>
    <w:uiPriority w:val="99"/>
    <w:semiHidden/>
    <w:unhideWhenUsed/>
    <w:rsid w:val="00D74ACF"/>
    <w:rPr>
      <w:b/>
      <w:bCs/>
    </w:rPr>
  </w:style>
  <w:style w:type="character" w:customStyle="1" w:styleId="SubjekKomentarKAR">
    <w:name w:val="Subjek Komentar KAR"/>
    <w:basedOn w:val="TeksKomentarKAR"/>
    <w:link w:val="SubjekKomentar"/>
    <w:uiPriority w:val="99"/>
    <w:semiHidden/>
    <w:rsid w:val="00D74ACF"/>
    <w:rPr>
      <w:rFonts w:eastAsia="SimSun"/>
      <w:b/>
      <w:bCs/>
      <w:noProof/>
      <w:sz w:val="20"/>
      <w:szCs w:val="20"/>
      <w:lang w:eastAsia="zh-CN"/>
    </w:rPr>
  </w:style>
  <w:style w:type="paragraph" w:styleId="Revisi">
    <w:name w:val="Revision"/>
    <w:hidden/>
    <w:uiPriority w:val="99"/>
    <w:semiHidden/>
    <w:rsid w:val="00544730"/>
    <w:rPr>
      <w:rFonts w:eastAsia="SimSun"/>
      <w:noProof/>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14</Pages>
  <Words>6928</Words>
  <Characters>39493</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8</cp:revision>
  <dcterms:created xsi:type="dcterms:W3CDTF">2026-06-08T06:38:00Z</dcterms:created>
  <dcterms:modified xsi:type="dcterms:W3CDTF">2026-07-27T02:48:00Z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